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069" w:rsidRDefault="000F7069">
      <w:pPr>
        <w:spacing w:line="240" w:lineRule="auto"/>
        <w:jc w:val="center"/>
        <w:rPr>
          <w:b/>
          <w:sz w:val="22"/>
          <w:szCs w:val="22"/>
        </w:rPr>
      </w:pPr>
      <w:bookmarkStart w:id="0" w:name="_Ref146459126"/>
      <w:bookmarkEnd w:id="0"/>
      <w:r>
        <w:rPr>
          <w:b/>
          <w:sz w:val="22"/>
          <w:szCs w:val="22"/>
        </w:rPr>
        <w:t xml:space="preserve">BEFORE THE </w:t>
      </w:r>
      <w:r w:rsidR="001944C3">
        <w:rPr>
          <w:b/>
          <w:sz w:val="22"/>
          <w:szCs w:val="22"/>
        </w:rPr>
        <w:t xml:space="preserve">HON’BLE </w:t>
      </w:r>
      <w:smartTag w:uri="urn:schemas-microsoft-com:office:smarttags" w:element="place">
        <w:smartTag w:uri="urn:schemas-microsoft-com:office:smarttags" w:element="City">
          <w:r>
            <w:rPr>
              <w:b/>
              <w:sz w:val="22"/>
              <w:szCs w:val="22"/>
            </w:rPr>
            <w:t>DELHI</w:t>
          </w:r>
        </w:smartTag>
      </w:smartTag>
      <w:r>
        <w:rPr>
          <w:b/>
          <w:sz w:val="22"/>
          <w:szCs w:val="22"/>
        </w:rPr>
        <w:t xml:space="preserve"> ELECTRICITY REGULATORY COMMISSION</w:t>
      </w:r>
    </w:p>
    <w:p w:rsidR="000F7069" w:rsidRDefault="000F7069">
      <w:pPr>
        <w:spacing w:line="240" w:lineRule="auto"/>
        <w:jc w:val="center"/>
        <w:rPr>
          <w:sz w:val="22"/>
          <w:szCs w:val="22"/>
        </w:rPr>
      </w:pPr>
    </w:p>
    <w:p w:rsidR="000F7069" w:rsidRDefault="000F7069">
      <w:pPr>
        <w:rPr>
          <w:sz w:val="22"/>
          <w:szCs w:val="22"/>
        </w:rPr>
      </w:pPr>
    </w:p>
    <w:p w:rsidR="000F7069" w:rsidRPr="002F2312" w:rsidRDefault="000B25B7">
      <w:pPr>
        <w:rPr>
          <w:b/>
          <w:bCs/>
          <w:sz w:val="22"/>
          <w:szCs w:val="22"/>
        </w:rPr>
      </w:pPr>
      <w:r>
        <w:rPr>
          <w:b/>
          <w:bCs/>
          <w:sz w:val="22"/>
          <w:szCs w:val="22"/>
        </w:rPr>
        <w:t xml:space="preserve">Petition </w:t>
      </w:r>
      <w:r w:rsidR="000F7069" w:rsidRPr="002F2312">
        <w:rPr>
          <w:b/>
          <w:bCs/>
          <w:sz w:val="22"/>
          <w:szCs w:val="22"/>
        </w:rPr>
        <w:t>No. :</w:t>
      </w:r>
    </w:p>
    <w:p w:rsidR="000F7069" w:rsidRDefault="000F7069">
      <w:pPr>
        <w:tabs>
          <w:tab w:val="left" w:pos="2880"/>
        </w:tabs>
        <w:rPr>
          <w:sz w:val="22"/>
          <w:szCs w:val="22"/>
        </w:rPr>
      </w:pPr>
      <w:r>
        <w:rPr>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7137"/>
      </w:tblGrid>
      <w:tr w:rsidR="00D536D5" w:rsidTr="00027F0F">
        <w:tc>
          <w:tcPr>
            <w:tcW w:w="2151" w:type="dxa"/>
          </w:tcPr>
          <w:p w:rsidR="00D536D5" w:rsidRPr="00DE7305" w:rsidRDefault="00D536D5">
            <w:pPr>
              <w:rPr>
                <w:b/>
                <w:bCs/>
                <w:sz w:val="22"/>
                <w:szCs w:val="22"/>
              </w:rPr>
            </w:pPr>
            <w:r w:rsidRPr="00DE7305">
              <w:rPr>
                <w:b/>
                <w:bCs/>
                <w:sz w:val="22"/>
                <w:szCs w:val="22"/>
              </w:rPr>
              <w:t>IN THE MATTER OF</w:t>
            </w:r>
          </w:p>
        </w:tc>
        <w:tc>
          <w:tcPr>
            <w:tcW w:w="7137" w:type="dxa"/>
          </w:tcPr>
          <w:p w:rsidR="00D536D5" w:rsidRDefault="00D536D5" w:rsidP="002C04E5">
            <w:pPr>
              <w:rPr>
                <w:sz w:val="22"/>
                <w:szCs w:val="22"/>
              </w:rPr>
            </w:pPr>
            <w:r>
              <w:rPr>
                <w:sz w:val="22"/>
                <w:szCs w:val="22"/>
              </w:rPr>
              <w:t>Filing of Tariff Petition under section 62 of the Electricity Act, 2003 for determination of Generation Tariff for the Financial Year 2015</w:t>
            </w:r>
            <w:r w:rsidR="00A70EED">
              <w:rPr>
                <w:sz w:val="22"/>
                <w:szCs w:val="22"/>
              </w:rPr>
              <w:t>-16</w:t>
            </w:r>
            <w:r>
              <w:rPr>
                <w:sz w:val="22"/>
                <w:szCs w:val="22"/>
              </w:rPr>
              <w:t xml:space="preserve"> and truing up for the previous Period </w:t>
            </w:r>
            <w:r w:rsidR="00A70EED">
              <w:rPr>
                <w:sz w:val="22"/>
                <w:szCs w:val="22"/>
              </w:rPr>
              <w:t>of</w:t>
            </w:r>
            <w:r w:rsidR="004A183B">
              <w:rPr>
                <w:sz w:val="22"/>
                <w:szCs w:val="22"/>
              </w:rPr>
              <w:t xml:space="preserve"> </w:t>
            </w:r>
            <w:r>
              <w:rPr>
                <w:sz w:val="22"/>
                <w:szCs w:val="22"/>
              </w:rPr>
              <w:t>FY  2012</w:t>
            </w:r>
            <w:r w:rsidR="00A70EED">
              <w:rPr>
                <w:sz w:val="22"/>
                <w:szCs w:val="22"/>
              </w:rPr>
              <w:t xml:space="preserve">-13 to </w:t>
            </w:r>
            <w:r w:rsidR="002C04E5">
              <w:rPr>
                <w:sz w:val="22"/>
                <w:szCs w:val="22"/>
              </w:rPr>
              <w:t>2013-14</w:t>
            </w:r>
            <w:r w:rsidR="004A183B">
              <w:rPr>
                <w:sz w:val="22"/>
                <w:szCs w:val="22"/>
              </w:rPr>
              <w:t xml:space="preserve"> of current MYT</w:t>
            </w:r>
            <w:r w:rsidR="00A70EED">
              <w:rPr>
                <w:sz w:val="22"/>
                <w:szCs w:val="22"/>
              </w:rPr>
              <w:t>.</w:t>
            </w:r>
          </w:p>
        </w:tc>
      </w:tr>
      <w:tr w:rsidR="000F7069" w:rsidTr="00027F0F">
        <w:tc>
          <w:tcPr>
            <w:tcW w:w="2151" w:type="dxa"/>
          </w:tcPr>
          <w:p w:rsidR="000F7069" w:rsidRPr="00DE7305" w:rsidRDefault="000F7069">
            <w:pPr>
              <w:rPr>
                <w:b/>
                <w:bCs/>
                <w:sz w:val="22"/>
                <w:szCs w:val="22"/>
              </w:rPr>
            </w:pPr>
            <w:r w:rsidRPr="00DE7305">
              <w:rPr>
                <w:b/>
                <w:bCs/>
                <w:sz w:val="22"/>
                <w:szCs w:val="22"/>
              </w:rPr>
              <w:t>AND</w:t>
            </w:r>
          </w:p>
        </w:tc>
        <w:tc>
          <w:tcPr>
            <w:tcW w:w="7137" w:type="dxa"/>
          </w:tcPr>
          <w:p w:rsidR="000F7069" w:rsidRDefault="000F7069"/>
        </w:tc>
      </w:tr>
      <w:tr w:rsidR="000F7069" w:rsidTr="00027F0F">
        <w:tc>
          <w:tcPr>
            <w:tcW w:w="2151" w:type="dxa"/>
          </w:tcPr>
          <w:p w:rsidR="000F7069" w:rsidRPr="00DE7305" w:rsidRDefault="000F7069">
            <w:pPr>
              <w:rPr>
                <w:b/>
                <w:bCs/>
                <w:sz w:val="22"/>
                <w:szCs w:val="22"/>
              </w:rPr>
            </w:pPr>
            <w:r w:rsidRPr="00DE7305">
              <w:rPr>
                <w:b/>
                <w:bCs/>
                <w:sz w:val="22"/>
                <w:szCs w:val="22"/>
              </w:rPr>
              <w:t>IN THE MATTER OF</w:t>
            </w:r>
          </w:p>
        </w:tc>
        <w:tc>
          <w:tcPr>
            <w:tcW w:w="7137" w:type="dxa"/>
          </w:tcPr>
          <w:p w:rsidR="000F7069" w:rsidRPr="00881D8F" w:rsidRDefault="00833BDC">
            <w:pPr>
              <w:rPr>
                <w:b/>
                <w:bCs/>
                <w:sz w:val="22"/>
                <w:szCs w:val="22"/>
              </w:rPr>
            </w:pPr>
            <w:r w:rsidRPr="00881D8F">
              <w:rPr>
                <w:b/>
                <w:bCs/>
                <w:sz w:val="22"/>
                <w:szCs w:val="22"/>
              </w:rPr>
              <w:t>Pragati</w:t>
            </w:r>
            <w:r w:rsidR="000F7069" w:rsidRPr="00881D8F">
              <w:rPr>
                <w:b/>
                <w:bCs/>
                <w:sz w:val="22"/>
                <w:szCs w:val="22"/>
              </w:rPr>
              <w:t xml:space="preserve"> Power </w:t>
            </w:r>
            <w:r w:rsidR="00AD1505" w:rsidRPr="00881D8F">
              <w:rPr>
                <w:b/>
                <w:bCs/>
                <w:sz w:val="22"/>
                <w:szCs w:val="22"/>
              </w:rPr>
              <w:t>Corporation</w:t>
            </w:r>
            <w:r w:rsidR="000F7069" w:rsidRPr="00881D8F">
              <w:rPr>
                <w:b/>
                <w:bCs/>
                <w:sz w:val="22"/>
                <w:szCs w:val="22"/>
              </w:rPr>
              <w:t xml:space="preserve"> Limited</w:t>
            </w:r>
          </w:p>
          <w:p w:rsidR="000F7069" w:rsidRDefault="00DE7305">
            <w:pPr>
              <w:rPr>
                <w:sz w:val="22"/>
                <w:szCs w:val="22"/>
              </w:rPr>
            </w:pPr>
            <w:r>
              <w:rPr>
                <w:sz w:val="22"/>
                <w:szCs w:val="22"/>
              </w:rPr>
              <w:t xml:space="preserve">Regd. Office </w:t>
            </w:r>
            <w:r w:rsidR="000F7069">
              <w:rPr>
                <w:sz w:val="22"/>
                <w:szCs w:val="22"/>
              </w:rPr>
              <w:t>“Himadri”, Rajghat Power House Complex,</w:t>
            </w:r>
          </w:p>
          <w:p w:rsidR="000F7069" w:rsidRDefault="000F7069">
            <w:pPr>
              <w:rPr>
                <w:sz w:val="22"/>
                <w:szCs w:val="22"/>
              </w:rPr>
            </w:pPr>
            <w:smartTag w:uri="urn:schemas-microsoft-com:office:smarttags" w:element="place">
              <w:smartTag w:uri="urn:schemas-microsoft-com:office:smarttags" w:element="City">
                <w:r>
                  <w:rPr>
                    <w:sz w:val="22"/>
                    <w:szCs w:val="22"/>
                  </w:rPr>
                  <w:t>New Delhi</w:t>
                </w:r>
              </w:smartTag>
            </w:smartTag>
            <w:r>
              <w:rPr>
                <w:sz w:val="22"/>
                <w:szCs w:val="22"/>
              </w:rPr>
              <w:t xml:space="preserve"> - 110002</w:t>
            </w:r>
          </w:p>
          <w:p w:rsidR="000F7069" w:rsidRPr="00881D8F" w:rsidRDefault="000F7069">
            <w:pPr>
              <w:rPr>
                <w:b/>
                <w:bCs/>
                <w:sz w:val="22"/>
                <w:szCs w:val="22"/>
              </w:rPr>
            </w:pPr>
            <w:r w:rsidRPr="00881D8F">
              <w:rPr>
                <w:b/>
                <w:bCs/>
                <w:sz w:val="22"/>
                <w:szCs w:val="22"/>
              </w:rPr>
              <w:t>PETITIONER</w:t>
            </w:r>
          </w:p>
        </w:tc>
      </w:tr>
    </w:tbl>
    <w:p w:rsidR="000F7069" w:rsidRDefault="000F7069">
      <w:pPr>
        <w:rPr>
          <w:sz w:val="22"/>
          <w:szCs w:val="22"/>
        </w:rPr>
      </w:pPr>
    </w:p>
    <w:p w:rsidR="000F7069" w:rsidRDefault="000F7069">
      <w:pPr>
        <w:rPr>
          <w:sz w:val="22"/>
          <w:szCs w:val="22"/>
        </w:rPr>
      </w:pPr>
    </w:p>
    <w:p w:rsidR="000F7069" w:rsidRDefault="000F7069">
      <w:pPr>
        <w:rPr>
          <w:sz w:val="22"/>
          <w:szCs w:val="22"/>
        </w:rPr>
      </w:pPr>
    </w:p>
    <w:p w:rsidR="000F7069" w:rsidRDefault="000F7069">
      <w:pPr>
        <w:rPr>
          <w:sz w:val="22"/>
          <w:szCs w:val="22"/>
        </w:rPr>
      </w:pPr>
    </w:p>
    <w:p w:rsidR="00D536D5" w:rsidRDefault="00D536D5">
      <w:pPr>
        <w:rPr>
          <w:sz w:val="22"/>
          <w:szCs w:val="22"/>
        </w:rPr>
      </w:pPr>
    </w:p>
    <w:p w:rsidR="00D536D5" w:rsidRDefault="00D536D5">
      <w:pPr>
        <w:rPr>
          <w:sz w:val="22"/>
          <w:szCs w:val="22"/>
        </w:rPr>
      </w:pPr>
    </w:p>
    <w:p w:rsidR="000F7069" w:rsidRDefault="000F7069">
      <w:pPr>
        <w:rPr>
          <w:sz w:val="22"/>
          <w:szCs w:val="22"/>
        </w:rPr>
      </w:pPr>
    </w:p>
    <w:p w:rsidR="000F7069" w:rsidRDefault="000F7069">
      <w:pPr>
        <w:spacing w:line="240" w:lineRule="auto"/>
        <w:jc w:val="center"/>
        <w:rPr>
          <w:sz w:val="22"/>
          <w:szCs w:val="22"/>
        </w:rPr>
      </w:pPr>
      <w:r>
        <w:rPr>
          <w:sz w:val="22"/>
          <w:szCs w:val="22"/>
        </w:rPr>
        <w:t>THE APPLICANT ABOVE NAMED RESPECTFULLY SUBMITS</w:t>
      </w:r>
    </w:p>
    <w:p w:rsidR="000F7069" w:rsidRDefault="000F7069">
      <w:pPr>
        <w:rPr>
          <w:sz w:val="22"/>
          <w:szCs w:val="22"/>
        </w:rPr>
      </w:pPr>
    </w:p>
    <w:p w:rsidR="000F7069" w:rsidRDefault="000F7069">
      <w:pPr>
        <w:rPr>
          <w:sz w:val="22"/>
          <w:szCs w:val="22"/>
        </w:rPr>
      </w:pPr>
      <w:r>
        <w:rPr>
          <w:sz w:val="22"/>
          <w:szCs w:val="22"/>
        </w:rPr>
        <w:br w:type="page"/>
      </w:r>
    </w:p>
    <w:p w:rsidR="000F7069" w:rsidRDefault="000F7069">
      <w:pPr>
        <w:spacing w:line="240" w:lineRule="auto"/>
        <w:jc w:val="center"/>
        <w:rPr>
          <w:b/>
          <w:sz w:val="32"/>
          <w:szCs w:val="22"/>
        </w:rPr>
      </w:pPr>
      <w:r>
        <w:rPr>
          <w:b/>
          <w:sz w:val="32"/>
          <w:szCs w:val="22"/>
        </w:rPr>
        <w:lastRenderedPageBreak/>
        <w:t>Table of Contents</w:t>
      </w:r>
    </w:p>
    <w:p w:rsidR="000F406F" w:rsidRDefault="009F72BB">
      <w:pPr>
        <w:pStyle w:val="TOC1"/>
        <w:tabs>
          <w:tab w:val="right" w:leader="dot" w:pos="9242"/>
        </w:tabs>
        <w:rPr>
          <w:rFonts w:asciiTheme="minorHAnsi" w:eastAsiaTheme="minorEastAsia" w:hAnsiTheme="minorHAnsi" w:cstheme="minorBidi"/>
          <w:noProof/>
          <w:sz w:val="22"/>
          <w:szCs w:val="22"/>
        </w:rPr>
      </w:pPr>
      <w:r>
        <w:rPr>
          <w:sz w:val="22"/>
          <w:szCs w:val="22"/>
        </w:rPr>
        <w:fldChar w:fldCharType="begin"/>
      </w:r>
      <w:r w:rsidR="00E85575">
        <w:rPr>
          <w:sz w:val="22"/>
          <w:szCs w:val="22"/>
        </w:rPr>
        <w:instrText xml:space="preserve"> TOC \o "1-3" \h \z \u </w:instrText>
      </w:r>
      <w:r>
        <w:rPr>
          <w:sz w:val="22"/>
          <w:szCs w:val="22"/>
        </w:rPr>
        <w:fldChar w:fldCharType="separate"/>
      </w:r>
      <w:hyperlink w:anchor="_Toc411603910" w:history="1">
        <w:r w:rsidR="000F406F" w:rsidRPr="00220998">
          <w:rPr>
            <w:rStyle w:val="Hyperlink"/>
            <w:noProof/>
          </w:rPr>
          <w:t>Chapter 1 : Background</w:t>
        </w:r>
        <w:r w:rsidR="000F406F">
          <w:rPr>
            <w:noProof/>
            <w:webHidden/>
          </w:rPr>
          <w:tab/>
        </w:r>
        <w:r>
          <w:rPr>
            <w:noProof/>
            <w:webHidden/>
          </w:rPr>
          <w:fldChar w:fldCharType="begin"/>
        </w:r>
        <w:r w:rsidR="000F406F">
          <w:rPr>
            <w:noProof/>
            <w:webHidden/>
          </w:rPr>
          <w:instrText xml:space="preserve"> PAGEREF _Toc411603910 \h </w:instrText>
        </w:r>
        <w:r>
          <w:rPr>
            <w:noProof/>
            <w:webHidden/>
          </w:rPr>
        </w:r>
        <w:r>
          <w:rPr>
            <w:noProof/>
            <w:webHidden/>
          </w:rPr>
          <w:fldChar w:fldCharType="separate"/>
        </w:r>
        <w:r w:rsidR="000F406F">
          <w:rPr>
            <w:noProof/>
            <w:webHidden/>
          </w:rPr>
          <w:t>4</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11" w:history="1">
        <w:r w:rsidR="000F406F" w:rsidRPr="00220998">
          <w:rPr>
            <w:rStyle w:val="Hyperlink"/>
            <w:noProof/>
          </w:rPr>
          <w:t>1.1</w:t>
        </w:r>
        <w:r w:rsidR="000F406F">
          <w:rPr>
            <w:rFonts w:asciiTheme="minorHAnsi" w:eastAsiaTheme="minorEastAsia" w:hAnsiTheme="minorHAnsi" w:cstheme="minorBidi"/>
            <w:noProof/>
            <w:sz w:val="22"/>
            <w:szCs w:val="22"/>
          </w:rPr>
          <w:tab/>
        </w:r>
        <w:r w:rsidR="000F406F" w:rsidRPr="00220998">
          <w:rPr>
            <w:rStyle w:val="Hyperlink"/>
            <w:noProof/>
          </w:rPr>
          <w:t>Introduction</w:t>
        </w:r>
        <w:r w:rsidR="000F406F">
          <w:rPr>
            <w:noProof/>
            <w:webHidden/>
          </w:rPr>
          <w:tab/>
        </w:r>
        <w:r>
          <w:rPr>
            <w:noProof/>
            <w:webHidden/>
          </w:rPr>
          <w:fldChar w:fldCharType="begin"/>
        </w:r>
        <w:r w:rsidR="000F406F">
          <w:rPr>
            <w:noProof/>
            <w:webHidden/>
          </w:rPr>
          <w:instrText xml:space="preserve"> PAGEREF _Toc411603911 \h </w:instrText>
        </w:r>
        <w:r>
          <w:rPr>
            <w:noProof/>
            <w:webHidden/>
          </w:rPr>
        </w:r>
        <w:r>
          <w:rPr>
            <w:noProof/>
            <w:webHidden/>
          </w:rPr>
          <w:fldChar w:fldCharType="separate"/>
        </w:r>
        <w:r w:rsidR="000F406F">
          <w:rPr>
            <w:noProof/>
            <w:webHidden/>
          </w:rPr>
          <w:t>4</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12" w:history="1">
        <w:r w:rsidR="000F406F" w:rsidRPr="00220998">
          <w:rPr>
            <w:rStyle w:val="Hyperlink"/>
            <w:noProof/>
          </w:rPr>
          <w:t>1.2</w:t>
        </w:r>
        <w:r w:rsidR="000F406F">
          <w:rPr>
            <w:rFonts w:asciiTheme="minorHAnsi" w:eastAsiaTheme="minorEastAsia" w:hAnsiTheme="minorHAnsi" w:cstheme="minorBidi"/>
            <w:noProof/>
            <w:sz w:val="22"/>
            <w:szCs w:val="22"/>
          </w:rPr>
          <w:tab/>
        </w:r>
        <w:r w:rsidR="000F406F" w:rsidRPr="00220998">
          <w:rPr>
            <w:rStyle w:val="Hyperlink"/>
            <w:noProof/>
          </w:rPr>
          <w:t>Brief Company Profile</w:t>
        </w:r>
        <w:r w:rsidR="000F406F">
          <w:rPr>
            <w:noProof/>
            <w:webHidden/>
          </w:rPr>
          <w:tab/>
        </w:r>
        <w:r>
          <w:rPr>
            <w:noProof/>
            <w:webHidden/>
          </w:rPr>
          <w:fldChar w:fldCharType="begin"/>
        </w:r>
        <w:r w:rsidR="000F406F">
          <w:rPr>
            <w:noProof/>
            <w:webHidden/>
          </w:rPr>
          <w:instrText xml:space="preserve"> PAGEREF _Toc411603912 \h </w:instrText>
        </w:r>
        <w:r>
          <w:rPr>
            <w:noProof/>
            <w:webHidden/>
          </w:rPr>
        </w:r>
        <w:r>
          <w:rPr>
            <w:noProof/>
            <w:webHidden/>
          </w:rPr>
          <w:fldChar w:fldCharType="separate"/>
        </w:r>
        <w:r w:rsidR="000F406F">
          <w:rPr>
            <w:noProof/>
            <w:webHidden/>
          </w:rPr>
          <w:t>5</w:t>
        </w:r>
        <w:r>
          <w:rPr>
            <w:noProof/>
            <w:webHidden/>
          </w:rPr>
          <w:fldChar w:fldCharType="end"/>
        </w:r>
      </w:hyperlink>
    </w:p>
    <w:p w:rsidR="000F406F" w:rsidRDefault="009F72BB">
      <w:pPr>
        <w:pStyle w:val="TOC1"/>
        <w:tabs>
          <w:tab w:val="right" w:leader="dot" w:pos="9242"/>
        </w:tabs>
        <w:rPr>
          <w:rFonts w:asciiTheme="minorHAnsi" w:eastAsiaTheme="minorEastAsia" w:hAnsiTheme="minorHAnsi" w:cstheme="minorBidi"/>
          <w:noProof/>
          <w:sz w:val="22"/>
          <w:szCs w:val="22"/>
        </w:rPr>
      </w:pPr>
      <w:hyperlink w:anchor="_Toc411603913" w:history="1">
        <w:r w:rsidR="000F406F" w:rsidRPr="00220998">
          <w:rPr>
            <w:rStyle w:val="Hyperlink"/>
            <w:noProof/>
          </w:rPr>
          <w:t>Chapter 2 : Submissions</w:t>
        </w:r>
        <w:r w:rsidR="000F406F">
          <w:rPr>
            <w:noProof/>
            <w:webHidden/>
          </w:rPr>
          <w:tab/>
        </w:r>
        <w:r>
          <w:rPr>
            <w:noProof/>
            <w:webHidden/>
          </w:rPr>
          <w:fldChar w:fldCharType="begin"/>
        </w:r>
        <w:r w:rsidR="000F406F">
          <w:rPr>
            <w:noProof/>
            <w:webHidden/>
          </w:rPr>
          <w:instrText xml:space="preserve"> PAGEREF _Toc411603913 \h </w:instrText>
        </w:r>
        <w:r>
          <w:rPr>
            <w:noProof/>
            <w:webHidden/>
          </w:rPr>
        </w:r>
        <w:r>
          <w:rPr>
            <w:noProof/>
            <w:webHidden/>
          </w:rPr>
          <w:fldChar w:fldCharType="separate"/>
        </w:r>
        <w:r w:rsidR="000F406F">
          <w:rPr>
            <w:noProof/>
            <w:webHidden/>
          </w:rPr>
          <w:t>7</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14" w:history="1">
        <w:r w:rsidR="000F406F" w:rsidRPr="00220998">
          <w:rPr>
            <w:rStyle w:val="Hyperlink"/>
            <w:noProof/>
          </w:rPr>
          <w:t>2.1</w:t>
        </w:r>
        <w:r w:rsidR="000F406F">
          <w:rPr>
            <w:rFonts w:asciiTheme="minorHAnsi" w:eastAsiaTheme="minorEastAsia" w:hAnsiTheme="minorHAnsi" w:cstheme="minorBidi"/>
            <w:noProof/>
            <w:sz w:val="22"/>
            <w:szCs w:val="22"/>
          </w:rPr>
          <w:tab/>
        </w:r>
        <w:r w:rsidR="000F406F" w:rsidRPr="00220998">
          <w:rPr>
            <w:rStyle w:val="Hyperlink"/>
            <w:noProof/>
          </w:rPr>
          <w:t>Submission Plan</w:t>
        </w:r>
        <w:r w:rsidR="000F406F">
          <w:rPr>
            <w:noProof/>
            <w:webHidden/>
          </w:rPr>
          <w:tab/>
        </w:r>
        <w:r>
          <w:rPr>
            <w:noProof/>
            <w:webHidden/>
          </w:rPr>
          <w:fldChar w:fldCharType="begin"/>
        </w:r>
        <w:r w:rsidR="000F406F">
          <w:rPr>
            <w:noProof/>
            <w:webHidden/>
          </w:rPr>
          <w:instrText xml:space="preserve"> PAGEREF _Toc411603914 \h </w:instrText>
        </w:r>
        <w:r>
          <w:rPr>
            <w:noProof/>
            <w:webHidden/>
          </w:rPr>
        </w:r>
        <w:r>
          <w:rPr>
            <w:noProof/>
            <w:webHidden/>
          </w:rPr>
          <w:fldChar w:fldCharType="separate"/>
        </w:r>
        <w:r w:rsidR="000F406F">
          <w:rPr>
            <w:noProof/>
            <w:webHidden/>
          </w:rPr>
          <w:t>7</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15" w:history="1">
        <w:r w:rsidR="000F406F" w:rsidRPr="00220998">
          <w:rPr>
            <w:rStyle w:val="Hyperlink"/>
            <w:noProof/>
          </w:rPr>
          <w:t>2.2</w:t>
        </w:r>
        <w:r w:rsidR="000F406F">
          <w:rPr>
            <w:rFonts w:asciiTheme="minorHAnsi" w:eastAsiaTheme="minorEastAsia" w:hAnsiTheme="minorHAnsi" w:cstheme="minorBidi"/>
            <w:noProof/>
            <w:sz w:val="22"/>
            <w:szCs w:val="22"/>
          </w:rPr>
          <w:tab/>
        </w:r>
        <w:r w:rsidR="000F406F" w:rsidRPr="00220998">
          <w:rPr>
            <w:rStyle w:val="Hyperlink"/>
            <w:noProof/>
          </w:rPr>
          <w:t>Brief of Submissions</w:t>
        </w:r>
        <w:r w:rsidR="000F406F">
          <w:rPr>
            <w:noProof/>
            <w:webHidden/>
          </w:rPr>
          <w:tab/>
        </w:r>
        <w:r>
          <w:rPr>
            <w:noProof/>
            <w:webHidden/>
          </w:rPr>
          <w:fldChar w:fldCharType="begin"/>
        </w:r>
        <w:r w:rsidR="000F406F">
          <w:rPr>
            <w:noProof/>
            <w:webHidden/>
          </w:rPr>
          <w:instrText xml:space="preserve"> PAGEREF _Toc411603915 \h </w:instrText>
        </w:r>
        <w:r>
          <w:rPr>
            <w:noProof/>
            <w:webHidden/>
          </w:rPr>
        </w:r>
        <w:r>
          <w:rPr>
            <w:noProof/>
            <w:webHidden/>
          </w:rPr>
          <w:fldChar w:fldCharType="separate"/>
        </w:r>
        <w:r w:rsidR="000F406F">
          <w:rPr>
            <w:noProof/>
            <w:webHidden/>
          </w:rPr>
          <w:t>7</w:t>
        </w:r>
        <w:r>
          <w:rPr>
            <w:noProof/>
            <w:webHidden/>
          </w:rPr>
          <w:fldChar w:fldCharType="end"/>
        </w:r>
      </w:hyperlink>
    </w:p>
    <w:p w:rsidR="000F406F" w:rsidRDefault="009F72BB">
      <w:pPr>
        <w:pStyle w:val="TOC1"/>
        <w:tabs>
          <w:tab w:val="right" w:leader="dot" w:pos="9242"/>
        </w:tabs>
        <w:rPr>
          <w:rFonts w:asciiTheme="minorHAnsi" w:eastAsiaTheme="minorEastAsia" w:hAnsiTheme="minorHAnsi" w:cstheme="minorBidi"/>
          <w:noProof/>
          <w:sz w:val="22"/>
          <w:szCs w:val="22"/>
        </w:rPr>
      </w:pPr>
      <w:hyperlink w:anchor="_Toc411603916" w:history="1">
        <w:r w:rsidR="000F406F" w:rsidRPr="00220998">
          <w:rPr>
            <w:rStyle w:val="Hyperlink"/>
            <w:noProof/>
          </w:rPr>
          <w:t>Chapter 3 : Estimation of Variable Cost</w:t>
        </w:r>
        <w:r w:rsidR="000F406F">
          <w:rPr>
            <w:noProof/>
            <w:webHidden/>
          </w:rPr>
          <w:tab/>
        </w:r>
        <w:r>
          <w:rPr>
            <w:noProof/>
            <w:webHidden/>
          </w:rPr>
          <w:fldChar w:fldCharType="begin"/>
        </w:r>
        <w:r w:rsidR="000F406F">
          <w:rPr>
            <w:noProof/>
            <w:webHidden/>
          </w:rPr>
          <w:instrText xml:space="preserve"> PAGEREF _Toc411603916 \h </w:instrText>
        </w:r>
        <w:r>
          <w:rPr>
            <w:noProof/>
            <w:webHidden/>
          </w:rPr>
        </w:r>
        <w:r>
          <w:rPr>
            <w:noProof/>
            <w:webHidden/>
          </w:rPr>
          <w:fldChar w:fldCharType="separate"/>
        </w:r>
        <w:r w:rsidR="000F406F">
          <w:rPr>
            <w:noProof/>
            <w:webHidden/>
          </w:rPr>
          <w:t>14</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17" w:history="1">
        <w:r w:rsidR="000F406F" w:rsidRPr="00220998">
          <w:rPr>
            <w:rStyle w:val="Hyperlink"/>
            <w:noProof/>
          </w:rPr>
          <w:t>3.1 Norms for Operation</w:t>
        </w:r>
        <w:r w:rsidR="000F406F">
          <w:rPr>
            <w:noProof/>
            <w:webHidden/>
          </w:rPr>
          <w:tab/>
        </w:r>
        <w:r>
          <w:rPr>
            <w:noProof/>
            <w:webHidden/>
          </w:rPr>
          <w:fldChar w:fldCharType="begin"/>
        </w:r>
        <w:r w:rsidR="000F406F">
          <w:rPr>
            <w:noProof/>
            <w:webHidden/>
          </w:rPr>
          <w:instrText xml:space="preserve"> PAGEREF _Toc411603917 \h </w:instrText>
        </w:r>
        <w:r>
          <w:rPr>
            <w:noProof/>
            <w:webHidden/>
          </w:rPr>
        </w:r>
        <w:r>
          <w:rPr>
            <w:noProof/>
            <w:webHidden/>
          </w:rPr>
          <w:fldChar w:fldCharType="separate"/>
        </w:r>
        <w:r w:rsidR="000F406F">
          <w:rPr>
            <w:noProof/>
            <w:webHidden/>
          </w:rPr>
          <w:t>14</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18" w:history="1">
        <w:r w:rsidR="000F406F" w:rsidRPr="00220998">
          <w:rPr>
            <w:rStyle w:val="Hyperlink"/>
            <w:noProof/>
          </w:rPr>
          <w:t>3.2 Gross Generation and Net Generation</w:t>
        </w:r>
        <w:r w:rsidR="000F406F">
          <w:rPr>
            <w:noProof/>
            <w:webHidden/>
          </w:rPr>
          <w:tab/>
        </w:r>
        <w:r>
          <w:rPr>
            <w:noProof/>
            <w:webHidden/>
          </w:rPr>
          <w:fldChar w:fldCharType="begin"/>
        </w:r>
        <w:r w:rsidR="000F406F">
          <w:rPr>
            <w:noProof/>
            <w:webHidden/>
          </w:rPr>
          <w:instrText xml:space="preserve"> PAGEREF _Toc411603918 \h </w:instrText>
        </w:r>
        <w:r>
          <w:rPr>
            <w:noProof/>
            <w:webHidden/>
          </w:rPr>
        </w:r>
        <w:r>
          <w:rPr>
            <w:noProof/>
            <w:webHidden/>
          </w:rPr>
          <w:fldChar w:fldCharType="separate"/>
        </w:r>
        <w:r w:rsidR="000F406F">
          <w:rPr>
            <w:noProof/>
            <w:webHidden/>
          </w:rPr>
          <w:t>18</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19" w:history="1">
        <w:r w:rsidR="000F406F" w:rsidRPr="00220998">
          <w:rPr>
            <w:rStyle w:val="Hyperlink"/>
            <w:noProof/>
          </w:rPr>
          <w:t>3.3 Variable Cost for PPS-I</w:t>
        </w:r>
        <w:r w:rsidR="000F406F">
          <w:rPr>
            <w:noProof/>
            <w:webHidden/>
          </w:rPr>
          <w:tab/>
        </w:r>
        <w:r>
          <w:rPr>
            <w:noProof/>
            <w:webHidden/>
          </w:rPr>
          <w:fldChar w:fldCharType="begin"/>
        </w:r>
        <w:r w:rsidR="000F406F">
          <w:rPr>
            <w:noProof/>
            <w:webHidden/>
          </w:rPr>
          <w:instrText xml:space="preserve"> PAGEREF _Toc411603919 \h </w:instrText>
        </w:r>
        <w:r>
          <w:rPr>
            <w:noProof/>
            <w:webHidden/>
          </w:rPr>
        </w:r>
        <w:r>
          <w:rPr>
            <w:noProof/>
            <w:webHidden/>
          </w:rPr>
          <w:fldChar w:fldCharType="separate"/>
        </w:r>
        <w:r w:rsidR="000F406F">
          <w:rPr>
            <w:noProof/>
            <w:webHidden/>
          </w:rPr>
          <w:t>19</w:t>
        </w:r>
        <w:r>
          <w:rPr>
            <w:noProof/>
            <w:webHidden/>
          </w:rPr>
          <w:fldChar w:fldCharType="end"/>
        </w:r>
      </w:hyperlink>
    </w:p>
    <w:p w:rsidR="000F406F" w:rsidRDefault="009F72BB">
      <w:pPr>
        <w:pStyle w:val="TOC1"/>
        <w:tabs>
          <w:tab w:val="right" w:leader="dot" w:pos="9242"/>
        </w:tabs>
        <w:rPr>
          <w:rFonts w:asciiTheme="minorHAnsi" w:eastAsiaTheme="minorEastAsia" w:hAnsiTheme="minorHAnsi" w:cstheme="minorBidi"/>
          <w:noProof/>
          <w:sz w:val="22"/>
          <w:szCs w:val="22"/>
        </w:rPr>
      </w:pPr>
      <w:hyperlink w:anchor="_Toc411603920" w:history="1">
        <w:r w:rsidR="000F406F" w:rsidRPr="00220998">
          <w:rPr>
            <w:rStyle w:val="Hyperlink"/>
            <w:noProof/>
          </w:rPr>
          <w:t>Chapter 4 : Estimation of Fixed Cost</w:t>
        </w:r>
        <w:r w:rsidR="000F406F">
          <w:rPr>
            <w:noProof/>
            <w:webHidden/>
          </w:rPr>
          <w:tab/>
        </w:r>
        <w:r>
          <w:rPr>
            <w:noProof/>
            <w:webHidden/>
          </w:rPr>
          <w:fldChar w:fldCharType="begin"/>
        </w:r>
        <w:r w:rsidR="000F406F">
          <w:rPr>
            <w:noProof/>
            <w:webHidden/>
          </w:rPr>
          <w:instrText xml:space="preserve"> PAGEREF _Toc411603920 \h </w:instrText>
        </w:r>
        <w:r>
          <w:rPr>
            <w:noProof/>
            <w:webHidden/>
          </w:rPr>
        </w:r>
        <w:r>
          <w:rPr>
            <w:noProof/>
            <w:webHidden/>
          </w:rPr>
          <w:fldChar w:fldCharType="separate"/>
        </w:r>
        <w:r w:rsidR="000F406F">
          <w:rPr>
            <w:noProof/>
            <w:webHidden/>
          </w:rPr>
          <w:t>22</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21" w:history="1">
        <w:r w:rsidR="000F406F" w:rsidRPr="00220998">
          <w:rPr>
            <w:rStyle w:val="Hyperlink"/>
            <w:noProof/>
          </w:rPr>
          <w:t>4.1      Parameters for Fixed Cost</w:t>
        </w:r>
        <w:r w:rsidR="000F406F">
          <w:rPr>
            <w:noProof/>
            <w:webHidden/>
          </w:rPr>
          <w:tab/>
        </w:r>
        <w:r>
          <w:rPr>
            <w:noProof/>
            <w:webHidden/>
          </w:rPr>
          <w:fldChar w:fldCharType="begin"/>
        </w:r>
        <w:r w:rsidR="000F406F">
          <w:rPr>
            <w:noProof/>
            <w:webHidden/>
          </w:rPr>
          <w:instrText xml:space="preserve"> PAGEREF _Toc411603921 \h </w:instrText>
        </w:r>
        <w:r>
          <w:rPr>
            <w:noProof/>
            <w:webHidden/>
          </w:rPr>
        </w:r>
        <w:r>
          <w:rPr>
            <w:noProof/>
            <w:webHidden/>
          </w:rPr>
          <w:fldChar w:fldCharType="separate"/>
        </w:r>
        <w:r w:rsidR="000F406F">
          <w:rPr>
            <w:noProof/>
            <w:webHidden/>
          </w:rPr>
          <w:t>22</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22" w:history="1">
        <w:r w:rsidR="000F406F" w:rsidRPr="00220998">
          <w:rPr>
            <w:rStyle w:val="Hyperlink"/>
            <w:noProof/>
          </w:rPr>
          <w:t>4.2</w:t>
        </w:r>
        <w:r w:rsidR="000F406F">
          <w:rPr>
            <w:rFonts w:asciiTheme="minorHAnsi" w:eastAsiaTheme="minorEastAsia" w:hAnsiTheme="minorHAnsi" w:cstheme="minorBidi"/>
            <w:noProof/>
            <w:sz w:val="22"/>
            <w:szCs w:val="22"/>
          </w:rPr>
          <w:tab/>
        </w:r>
        <w:r w:rsidR="000F406F" w:rsidRPr="00220998">
          <w:rPr>
            <w:rStyle w:val="Hyperlink"/>
            <w:noProof/>
          </w:rPr>
          <w:t>Operation and Maintenance Expenses</w:t>
        </w:r>
        <w:r w:rsidR="000F406F">
          <w:rPr>
            <w:noProof/>
            <w:webHidden/>
          </w:rPr>
          <w:tab/>
        </w:r>
        <w:r>
          <w:rPr>
            <w:noProof/>
            <w:webHidden/>
          </w:rPr>
          <w:fldChar w:fldCharType="begin"/>
        </w:r>
        <w:r w:rsidR="000F406F">
          <w:rPr>
            <w:noProof/>
            <w:webHidden/>
          </w:rPr>
          <w:instrText xml:space="preserve"> PAGEREF _Toc411603922 \h </w:instrText>
        </w:r>
        <w:r>
          <w:rPr>
            <w:noProof/>
            <w:webHidden/>
          </w:rPr>
        </w:r>
        <w:r>
          <w:rPr>
            <w:noProof/>
            <w:webHidden/>
          </w:rPr>
          <w:fldChar w:fldCharType="separate"/>
        </w:r>
        <w:r w:rsidR="000F406F">
          <w:rPr>
            <w:noProof/>
            <w:webHidden/>
          </w:rPr>
          <w:t>22</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23" w:history="1">
        <w:r w:rsidR="000F406F" w:rsidRPr="00220998">
          <w:rPr>
            <w:rStyle w:val="Hyperlink"/>
            <w:noProof/>
          </w:rPr>
          <w:t>4.3      Interest on Loan</w:t>
        </w:r>
        <w:r w:rsidR="000F406F">
          <w:rPr>
            <w:noProof/>
            <w:webHidden/>
          </w:rPr>
          <w:tab/>
        </w:r>
        <w:r>
          <w:rPr>
            <w:noProof/>
            <w:webHidden/>
          </w:rPr>
          <w:fldChar w:fldCharType="begin"/>
        </w:r>
        <w:r w:rsidR="000F406F">
          <w:rPr>
            <w:noProof/>
            <w:webHidden/>
          </w:rPr>
          <w:instrText xml:space="preserve"> PAGEREF _Toc411603923 \h </w:instrText>
        </w:r>
        <w:r>
          <w:rPr>
            <w:noProof/>
            <w:webHidden/>
          </w:rPr>
        </w:r>
        <w:r>
          <w:rPr>
            <w:noProof/>
            <w:webHidden/>
          </w:rPr>
          <w:fldChar w:fldCharType="separate"/>
        </w:r>
        <w:r w:rsidR="000F406F">
          <w:rPr>
            <w:noProof/>
            <w:webHidden/>
          </w:rPr>
          <w:t>31</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24" w:history="1">
        <w:r w:rsidR="000F406F" w:rsidRPr="00220998">
          <w:rPr>
            <w:rStyle w:val="Hyperlink"/>
            <w:noProof/>
          </w:rPr>
          <w:t>4.4        Depreciation</w:t>
        </w:r>
        <w:r w:rsidR="000F406F">
          <w:rPr>
            <w:noProof/>
            <w:webHidden/>
          </w:rPr>
          <w:tab/>
        </w:r>
        <w:r>
          <w:rPr>
            <w:noProof/>
            <w:webHidden/>
          </w:rPr>
          <w:fldChar w:fldCharType="begin"/>
        </w:r>
        <w:r w:rsidR="000F406F">
          <w:rPr>
            <w:noProof/>
            <w:webHidden/>
          </w:rPr>
          <w:instrText xml:space="preserve"> PAGEREF _Toc411603924 \h </w:instrText>
        </w:r>
        <w:r>
          <w:rPr>
            <w:noProof/>
            <w:webHidden/>
          </w:rPr>
        </w:r>
        <w:r>
          <w:rPr>
            <w:noProof/>
            <w:webHidden/>
          </w:rPr>
          <w:fldChar w:fldCharType="separate"/>
        </w:r>
        <w:r w:rsidR="000F406F">
          <w:rPr>
            <w:noProof/>
            <w:webHidden/>
          </w:rPr>
          <w:t>31</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25" w:history="1">
        <w:r w:rsidR="000F406F" w:rsidRPr="00220998">
          <w:rPr>
            <w:rStyle w:val="Hyperlink"/>
            <w:noProof/>
          </w:rPr>
          <w:t>4.5      Return on Equity</w:t>
        </w:r>
        <w:r w:rsidR="000F406F">
          <w:rPr>
            <w:noProof/>
            <w:webHidden/>
          </w:rPr>
          <w:tab/>
        </w:r>
        <w:r>
          <w:rPr>
            <w:noProof/>
            <w:webHidden/>
          </w:rPr>
          <w:fldChar w:fldCharType="begin"/>
        </w:r>
        <w:r w:rsidR="000F406F">
          <w:rPr>
            <w:noProof/>
            <w:webHidden/>
          </w:rPr>
          <w:instrText xml:space="preserve"> PAGEREF _Toc411603925 \h </w:instrText>
        </w:r>
        <w:r>
          <w:rPr>
            <w:noProof/>
            <w:webHidden/>
          </w:rPr>
        </w:r>
        <w:r>
          <w:rPr>
            <w:noProof/>
            <w:webHidden/>
          </w:rPr>
          <w:fldChar w:fldCharType="separate"/>
        </w:r>
        <w:r w:rsidR="000F406F">
          <w:rPr>
            <w:noProof/>
            <w:webHidden/>
          </w:rPr>
          <w:t>33</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26" w:history="1">
        <w:r w:rsidR="000F406F" w:rsidRPr="00220998">
          <w:rPr>
            <w:rStyle w:val="Hyperlink"/>
            <w:noProof/>
          </w:rPr>
          <w:t>4.6</w:t>
        </w:r>
        <w:r w:rsidR="000F406F">
          <w:rPr>
            <w:rFonts w:asciiTheme="minorHAnsi" w:eastAsiaTheme="minorEastAsia" w:hAnsiTheme="minorHAnsi" w:cstheme="minorBidi"/>
            <w:noProof/>
            <w:sz w:val="22"/>
            <w:szCs w:val="22"/>
          </w:rPr>
          <w:tab/>
        </w:r>
        <w:r w:rsidR="000F406F" w:rsidRPr="00220998">
          <w:rPr>
            <w:rStyle w:val="Hyperlink"/>
            <w:noProof/>
          </w:rPr>
          <w:t>Interest on Working Capital</w:t>
        </w:r>
        <w:r w:rsidR="000F406F">
          <w:rPr>
            <w:noProof/>
            <w:webHidden/>
          </w:rPr>
          <w:tab/>
        </w:r>
        <w:r>
          <w:rPr>
            <w:noProof/>
            <w:webHidden/>
          </w:rPr>
          <w:fldChar w:fldCharType="begin"/>
        </w:r>
        <w:r w:rsidR="000F406F">
          <w:rPr>
            <w:noProof/>
            <w:webHidden/>
          </w:rPr>
          <w:instrText xml:space="preserve"> PAGEREF _Toc411603926 \h </w:instrText>
        </w:r>
        <w:r>
          <w:rPr>
            <w:noProof/>
            <w:webHidden/>
          </w:rPr>
        </w:r>
        <w:r>
          <w:rPr>
            <w:noProof/>
            <w:webHidden/>
          </w:rPr>
          <w:fldChar w:fldCharType="separate"/>
        </w:r>
        <w:r w:rsidR="000F406F">
          <w:rPr>
            <w:noProof/>
            <w:webHidden/>
          </w:rPr>
          <w:t>38</w:t>
        </w:r>
        <w:r>
          <w:rPr>
            <w:noProof/>
            <w:webHidden/>
          </w:rPr>
          <w:fldChar w:fldCharType="end"/>
        </w:r>
      </w:hyperlink>
    </w:p>
    <w:p w:rsidR="000F406F" w:rsidRDefault="009F72BB">
      <w:pPr>
        <w:pStyle w:val="TOC1"/>
        <w:tabs>
          <w:tab w:val="right" w:leader="dot" w:pos="9242"/>
        </w:tabs>
        <w:rPr>
          <w:rFonts w:asciiTheme="minorHAnsi" w:eastAsiaTheme="minorEastAsia" w:hAnsiTheme="minorHAnsi" w:cstheme="minorBidi"/>
          <w:noProof/>
          <w:sz w:val="22"/>
          <w:szCs w:val="22"/>
        </w:rPr>
      </w:pPr>
      <w:hyperlink w:anchor="_Toc411603927" w:history="1">
        <w:r w:rsidR="000F406F" w:rsidRPr="00220998">
          <w:rPr>
            <w:rStyle w:val="Hyperlink"/>
            <w:noProof/>
          </w:rPr>
          <w:t>Chapter 5: Capital Expenditure</w:t>
        </w:r>
        <w:r w:rsidR="000F406F">
          <w:rPr>
            <w:noProof/>
            <w:webHidden/>
          </w:rPr>
          <w:tab/>
        </w:r>
        <w:r>
          <w:rPr>
            <w:noProof/>
            <w:webHidden/>
          </w:rPr>
          <w:fldChar w:fldCharType="begin"/>
        </w:r>
        <w:r w:rsidR="000F406F">
          <w:rPr>
            <w:noProof/>
            <w:webHidden/>
          </w:rPr>
          <w:instrText xml:space="preserve"> PAGEREF _Toc411603927 \h </w:instrText>
        </w:r>
        <w:r>
          <w:rPr>
            <w:noProof/>
            <w:webHidden/>
          </w:rPr>
        </w:r>
        <w:r>
          <w:rPr>
            <w:noProof/>
            <w:webHidden/>
          </w:rPr>
          <w:fldChar w:fldCharType="separate"/>
        </w:r>
        <w:r w:rsidR="000F406F">
          <w:rPr>
            <w:noProof/>
            <w:webHidden/>
          </w:rPr>
          <w:t>41</w:t>
        </w:r>
        <w:r>
          <w:rPr>
            <w:noProof/>
            <w:webHidden/>
          </w:rPr>
          <w:fldChar w:fldCharType="end"/>
        </w:r>
      </w:hyperlink>
    </w:p>
    <w:p w:rsidR="000F406F" w:rsidRDefault="009F72BB">
      <w:pPr>
        <w:pStyle w:val="TOC2"/>
        <w:tabs>
          <w:tab w:val="left" w:pos="880"/>
          <w:tab w:val="right" w:leader="dot" w:pos="9242"/>
        </w:tabs>
        <w:rPr>
          <w:rFonts w:asciiTheme="minorHAnsi" w:eastAsiaTheme="minorEastAsia" w:hAnsiTheme="minorHAnsi" w:cstheme="minorBidi"/>
          <w:noProof/>
          <w:sz w:val="22"/>
          <w:szCs w:val="22"/>
        </w:rPr>
      </w:pPr>
      <w:hyperlink w:anchor="_Toc411603928" w:history="1">
        <w:r w:rsidR="000F406F" w:rsidRPr="00220998">
          <w:rPr>
            <w:rStyle w:val="Hyperlink"/>
            <w:noProof/>
          </w:rPr>
          <w:t>5.1</w:t>
        </w:r>
        <w:r w:rsidR="000F406F">
          <w:rPr>
            <w:rFonts w:asciiTheme="minorHAnsi" w:eastAsiaTheme="minorEastAsia" w:hAnsiTheme="minorHAnsi" w:cstheme="minorBidi"/>
            <w:noProof/>
            <w:sz w:val="22"/>
            <w:szCs w:val="22"/>
          </w:rPr>
          <w:tab/>
        </w:r>
        <w:r w:rsidR="000F406F" w:rsidRPr="00220998">
          <w:rPr>
            <w:rStyle w:val="Hyperlink"/>
            <w:noProof/>
          </w:rPr>
          <w:t>Capital Expenditure</w:t>
        </w:r>
        <w:r w:rsidR="000F406F">
          <w:rPr>
            <w:noProof/>
            <w:webHidden/>
          </w:rPr>
          <w:tab/>
        </w:r>
        <w:r>
          <w:rPr>
            <w:noProof/>
            <w:webHidden/>
          </w:rPr>
          <w:fldChar w:fldCharType="begin"/>
        </w:r>
        <w:r w:rsidR="000F406F">
          <w:rPr>
            <w:noProof/>
            <w:webHidden/>
          </w:rPr>
          <w:instrText xml:space="preserve"> PAGEREF _Toc411603928 \h </w:instrText>
        </w:r>
        <w:r>
          <w:rPr>
            <w:noProof/>
            <w:webHidden/>
          </w:rPr>
        </w:r>
        <w:r>
          <w:rPr>
            <w:noProof/>
            <w:webHidden/>
          </w:rPr>
          <w:fldChar w:fldCharType="separate"/>
        </w:r>
        <w:r w:rsidR="000F406F">
          <w:rPr>
            <w:noProof/>
            <w:webHidden/>
          </w:rPr>
          <w:t>41</w:t>
        </w:r>
        <w:r>
          <w:rPr>
            <w:noProof/>
            <w:webHidden/>
          </w:rPr>
          <w:fldChar w:fldCharType="end"/>
        </w:r>
      </w:hyperlink>
    </w:p>
    <w:p w:rsidR="000F406F" w:rsidRDefault="009F72BB">
      <w:pPr>
        <w:pStyle w:val="TOC1"/>
        <w:tabs>
          <w:tab w:val="right" w:leader="dot" w:pos="9242"/>
        </w:tabs>
        <w:rPr>
          <w:rFonts w:asciiTheme="minorHAnsi" w:eastAsiaTheme="minorEastAsia" w:hAnsiTheme="minorHAnsi" w:cstheme="minorBidi"/>
          <w:noProof/>
          <w:sz w:val="22"/>
          <w:szCs w:val="22"/>
        </w:rPr>
      </w:pPr>
      <w:hyperlink w:anchor="_Toc411603929" w:history="1">
        <w:r w:rsidR="000F406F" w:rsidRPr="00220998">
          <w:rPr>
            <w:rStyle w:val="Hyperlink"/>
            <w:noProof/>
          </w:rPr>
          <w:t>Chapter 6: Prayer</w:t>
        </w:r>
        <w:r w:rsidR="000F406F">
          <w:rPr>
            <w:noProof/>
            <w:webHidden/>
          </w:rPr>
          <w:tab/>
        </w:r>
        <w:r>
          <w:rPr>
            <w:noProof/>
            <w:webHidden/>
          </w:rPr>
          <w:fldChar w:fldCharType="begin"/>
        </w:r>
        <w:r w:rsidR="000F406F">
          <w:rPr>
            <w:noProof/>
            <w:webHidden/>
          </w:rPr>
          <w:instrText xml:space="preserve"> PAGEREF _Toc411603929 \h </w:instrText>
        </w:r>
        <w:r>
          <w:rPr>
            <w:noProof/>
            <w:webHidden/>
          </w:rPr>
        </w:r>
        <w:r>
          <w:rPr>
            <w:noProof/>
            <w:webHidden/>
          </w:rPr>
          <w:fldChar w:fldCharType="separate"/>
        </w:r>
        <w:r w:rsidR="000F406F">
          <w:rPr>
            <w:noProof/>
            <w:webHidden/>
          </w:rPr>
          <w:t>45</w:t>
        </w:r>
        <w:r>
          <w:rPr>
            <w:noProof/>
            <w:webHidden/>
          </w:rPr>
          <w:fldChar w:fldCharType="end"/>
        </w:r>
      </w:hyperlink>
    </w:p>
    <w:p w:rsidR="000F406F" w:rsidRDefault="009F72BB">
      <w:pPr>
        <w:pStyle w:val="TOC2"/>
        <w:tabs>
          <w:tab w:val="right" w:leader="dot" w:pos="9242"/>
        </w:tabs>
        <w:rPr>
          <w:rFonts w:asciiTheme="minorHAnsi" w:eastAsiaTheme="minorEastAsia" w:hAnsiTheme="minorHAnsi" w:cstheme="minorBidi"/>
          <w:noProof/>
          <w:sz w:val="22"/>
          <w:szCs w:val="22"/>
        </w:rPr>
      </w:pPr>
      <w:hyperlink w:anchor="_Toc411603930" w:history="1">
        <w:r w:rsidR="000F406F" w:rsidRPr="00220998">
          <w:rPr>
            <w:rStyle w:val="Hyperlink"/>
            <w:noProof/>
          </w:rPr>
          <w:t>6.1 Prayer</w:t>
        </w:r>
        <w:r w:rsidR="000F406F">
          <w:rPr>
            <w:noProof/>
            <w:webHidden/>
          </w:rPr>
          <w:tab/>
        </w:r>
        <w:r>
          <w:rPr>
            <w:noProof/>
            <w:webHidden/>
          </w:rPr>
          <w:fldChar w:fldCharType="begin"/>
        </w:r>
        <w:r w:rsidR="000F406F">
          <w:rPr>
            <w:noProof/>
            <w:webHidden/>
          </w:rPr>
          <w:instrText xml:space="preserve"> PAGEREF _Toc411603930 \h </w:instrText>
        </w:r>
        <w:r>
          <w:rPr>
            <w:noProof/>
            <w:webHidden/>
          </w:rPr>
        </w:r>
        <w:r>
          <w:rPr>
            <w:noProof/>
            <w:webHidden/>
          </w:rPr>
          <w:fldChar w:fldCharType="separate"/>
        </w:r>
        <w:r w:rsidR="000F406F">
          <w:rPr>
            <w:noProof/>
            <w:webHidden/>
          </w:rPr>
          <w:t>45</w:t>
        </w:r>
        <w:r>
          <w:rPr>
            <w:noProof/>
            <w:webHidden/>
          </w:rPr>
          <w:fldChar w:fldCharType="end"/>
        </w:r>
      </w:hyperlink>
    </w:p>
    <w:p w:rsidR="000F7069" w:rsidRDefault="009F72BB">
      <w:pPr>
        <w:rPr>
          <w:sz w:val="22"/>
          <w:szCs w:val="22"/>
        </w:rPr>
      </w:pPr>
      <w:r>
        <w:rPr>
          <w:sz w:val="22"/>
          <w:szCs w:val="22"/>
        </w:rPr>
        <w:fldChar w:fldCharType="end"/>
      </w:r>
    </w:p>
    <w:p w:rsidR="000F7069" w:rsidRDefault="000F7069">
      <w:pPr>
        <w:rPr>
          <w:sz w:val="22"/>
          <w:szCs w:val="22"/>
        </w:rPr>
      </w:pPr>
    </w:p>
    <w:p w:rsidR="000F7069" w:rsidRDefault="000F7069">
      <w:pPr>
        <w:rPr>
          <w:sz w:val="22"/>
          <w:szCs w:val="22"/>
        </w:rPr>
      </w:pPr>
    </w:p>
    <w:p w:rsidR="000F7069" w:rsidRDefault="000F7069">
      <w:pPr>
        <w:rPr>
          <w:sz w:val="22"/>
          <w:szCs w:val="22"/>
        </w:rPr>
      </w:pPr>
    </w:p>
    <w:p w:rsidR="000F7069" w:rsidRDefault="000F7069">
      <w:pPr>
        <w:rPr>
          <w:sz w:val="22"/>
          <w:szCs w:val="22"/>
        </w:rPr>
      </w:pPr>
      <w:r>
        <w:rPr>
          <w:sz w:val="22"/>
          <w:szCs w:val="22"/>
        </w:rPr>
        <w:br w:type="page"/>
      </w:r>
    </w:p>
    <w:p w:rsidR="000F7069" w:rsidRDefault="000F7069">
      <w:pPr>
        <w:spacing w:line="240" w:lineRule="auto"/>
        <w:jc w:val="center"/>
        <w:rPr>
          <w:b/>
          <w:sz w:val="32"/>
          <w:szCs w:val="22"/>
        </w:rPr>
      </w:pPr>
      <w:r>
        <w:rPr>
          <w:b/>
          <w:sz w:val="32"/>
          <w:szCs w:val="22"/>
        </w:rPr>
        <w:lastRenderedPageBreak/>
        <w:t>List of Tables</w:t>
      </w:r>
    </w:p>
    <w:p w:rsidR="000F7069" w:rsidRDefault="000F7069">
      <w:pPr>
        <w:spacing w:line="240" w:lineRule="auto"/>
        <w:jc w:val="center"/>
        <w:rPr>
          <w:b/>
          <w:sz w:val="22"/>
          <w:szCs w:val="22"/>
        </w:rPr>
      </w:pPr>
    </w:p>
    <w:p w:rsidR="00D51040" w:rsidRDefault="009F72BB">
      <w:pPr>
        <w:pStyle w:val="TableofFigures"/>
        <w:tabs>
          <w:tab w:val="right" w:leader="dot" w:pos="9242"/>
        </w:tabs>
        <w:rPr>
          <w:rFonts w:asciiTheme="minorHAnsi" w:eastAsiaTheme="minorEastAsia" w:hAnsiTheme="minorHAnsi" w:cstheme="minorBidi"/>
          <w:noProof/>
          <w:sz w:val="22"/>
          <w:szCs w:val="22"/>
        </w:rPr>
      </w:pPr>
      <w:r>
        <w:rPr>
          <w:sz w:val="22"/>
          <w:szCs w:val="22"/>
        </w:rPr>
        <w:fldChar w:fldCharType="begin"/>
      </w:r>
      <w:r w:rsidR="00894B37">
        <w:rPr>
          <w:sz w:val="22"/>
          <w:szCs w:val="22"/>
        </w:rPr>
        <w:instrText xml:space="preserve"> TOC \h \z \c "Table" </w:instrText>
      </w:r>
      <w:r>
        <w:rPr>
          <w:sz w:val="22"/>
          <w:szCs w:val="22"/>
        </w:rPr>
        <w:fldChar w:fldCharType="separate"/>
      </w:r>
      <w:hyperlink w:anchor="_Toc411525176" w:history="1">
        <w:r w:rsidR="00D51040" w:rsidRPr="00E6237B">
          <w:rPr>
            <w:rStyle w:val="Hyperlink"/>
            <w:noProof/>
          </w:rPr>
          <w:t>Table 1 : Station Heat Rates (kCal/kWh) for PPS-I</w:t>
        </w:r>
        <w:r w:rsidR="00D51040">
          <w:rPr>
            <w:noProof/>
            <w:webHidden/>
          </w:rPr>
          <w:tab/>
        </w:r>
        <w:r>
          <w:rPr>
            <w:noProof/>
            <w:webHidden/>
          </w:rPr>
          <w:fldChar w:fldCharType="begin"/>
        </w:r>
        <w:r w:rsidR="00D51040">
          <w:rPr>
            <w:noProof/>
            <w:webHidden/>
          </w:rPr>
          <w:instrText xml:space="preserve"> PAGEREF _Toc411525176 \h </w:instrText>
        </w:r>
        <w:r>
          <w:rPr>
            <w:noProof/>
            <w:webHidden/>
          </w:rPr>
        </w:r>
        <w:r>
          <w:rPr>
            <w:noProof/>
            <w:webHidden/>
          </w:rPr>
          <w:fldChar w:fldCharType="separate"/>
        </w:r>
        <w:r w:rsidR="000F406F">
          <w:rPr>
            <w:noProof/>
            <w:webHidden/>
          </w:rPr>
          <w:t>14</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77" w:history="1">
        <w:r w:rsidR="00D51040" w:rsidRPr="00E6237B">
          <w:rPr>
            <w:rStyle w:val="Hyperlink"/>
            <w:noProof/>
          </w:rPr>
          <w:t>Table 2 : Details of Back down &amp; Open cycle Generation for PPS-I</w:t>
        </w:r>
        <w:r w:rsidR="00D51040">
          <w:rPr>
            <w:noProof/>
            <w:webHidden/>
          </w:rPr>
          <w:tab/>
        </w:r>
        <w:r>
          <w:rPr>
            <w:noProof/>
            <w:webHidden/>
          </w:rPr>
          <w:fldChar w:fldCharType="begin"/>
        </w:r>
        <w:r w:rsidR="00D51040">
          <w:rPr>
            <w:noProof/>
            <w:webHidden/>
          </w:rPr>
          <w:instrText xml:space="preserve"> PAGEREF _Toc411525177 \h </w:instrText>
        </w:r>
        <w:r>
          <w:rPr>
            <w:noProof/>
            <w:webHidden/>
          </w:rPr>
        </w:r>
        <w:r>
          <w:rPr>
            <w:noProof/>
            <w:webHidden/>
          </w:rPr>
          <w:fldChar w:fldCharType="separate"/>
        </w:r>
        <w:r w:rsidR="000F406F">
          <w:rPr>
            <w:noProof/>
            <w:webHidden/>
          </w:rPr>
          <w:t>16</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78" w:history="1">
        <w:r w:rsidR="00D51040" w:rsidRPr="00E6237B">
          <w:rPr>
            <w:rStyle w:val="Hyperlink"/>
            <w:b/>
            <w:noProof/>
          </w:rPr>
          <w:t>Table 3 : Availability (%) for PPS-I</w:t>
        </w:r>
        <w:r w:rsidR="00D51040">
          <w:rPr>
            <w:noProof/>
            <w:webHidden/>
          </w:rPr>
          <w:tab/>
        </w:r>
        <w:r>
          <w:rPr>
            <w:noProof/>
            <w:webHidden/>
          </w:rPr>
          <w:fldChar w:fldCharType="begin"/>
        </w:r>
        <w:r w:rsidR="00D51040">
          <w:rPr>
            <w:noProof/>
            <w:webHidden/>
          </w:rPr>
          <w:instrText xml:space="preserve"> PAGEREF _Toc411525178 \h </w:instrText>
        </w:r>
        <w:r>
          <w:rPr>
            <w:noProof/>
            <w:webHidden/>
          </w:rPr>
        </w:r>
        <w:r>
          <w:rPr>
            <w:noProof/>
            <w:webHidden/>
          </w:rPr>
          <w:fldChar w:fldCharType="separate"/>
        </w:r>
        <w:r w:rsidR="000F406F">
          <w:rPr>
            <w:noProof/>
            <w:webHidden/>
          </w:rPr>
          <w:t>17</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79" w:history="1">
        <w:r w:rsidR="00D51040" w:rsidRPr="00E6237B">
          <w:rPr>
            <w:rStyle w:val="Hyperlink"/>
            <w:noProof/>
          </w:rPr>
          <w:t>Table 4 : Auxiliary Power Consumption (%) in CC mode</w:t>
        </w:r>
        <w:r w:rsidR="00D51040">
          <w:rPr>
            <w:noProof/>
            <w:webHidden/>
          </w:rPr>
          <w:tab/>
        </w:r>
        <w:r>
          <w:rPr>
            <w:noProof/>
            <w:webHidden/>
          </w:rPr>
          <w:fldChar w:fldCharType="begin"/>
        </w:r>
        <w:r w:rsidR="00D51040">
          <w:rPr>
            <w:noProof/>
            <w:webHidden/>
          </w:rPr>
          <w:instrText xml:space="preserve"> PAGEREF _Toc411525179 \h </w:instrText>
        </w:r>
        <w:r>
          <w:rPr>
            <w:noProof/>
            <w:webHidden/>
          </w:rPr>
        </w:r>
        <w:r>
          <w:rPr>
            <w:noProof/>
            <w:webHidden/>
          </w:rPr>
          <w:fldChar w:fldCharType="separate"/>
        </w:r>
        <w:r w:rsidR="000F406F">
          <w:rPr>
            <w:noProof/>
            <w:webHidden/>
          </w:rPr>
          <w:t>18</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0" w:history="1">
        <w:r w:rsidR="00D51040" w:rsidRPr="00E6237B">
          <w:rPr>
            <w:rStyle w:val="Hyperlink"/>
            <w:noProof/>
          </w:rPr>
          <w:t>Table 5 : Gross and Net Generation</w:t>
        </w:r>
        <w:r w:rsidR="00D51040">
          <w:rPr>
            <w:noProof/>
            <w:webHidden/>
          </w:rPr>
          <w:tab/>
        </w:r>
        <w:r>
          <w:rPr>
            <w:noProof/>
            <w:webHidden/>
          </w:rPr>
          <w:fldChar w:fldCharType="begin"/>
        </w:r>
        <w:r w:rsidR="00D51040">
          <w:rPr>
            <w:noProof/>
            <w:webHidden/>
          </w:rPr>
          <w:instrText xml:space="preserve"> PAGEREF _Toc411525180 \h </w:instrText>
        </w:r>
        <w:r>
          <w:rPr>
            <w:noProof/>
            <w:webHidden/>
          </w:rPr>
        </w:r>
        <w:r>
          <w:rPr>
            <w:noProof/>
            <w:webHidden/>
          </w:rPr>
          <w:fldChar w:fldCharType="separate"/>
        </w:r>
        <w:r w:rsidR="000F406F">
          <w:rPr>
            <w:noProof/>
            <w:webHidden/>
          </w:rPr>
          <w:t>19</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1" w:history="1">
        <w:r w:rsidR="00D51040" w:rsidRPr="00E6237B">
          <w:rPr>
            <w:rStyle w:val="Hyperlink"/>
            <w:noProof/>
          </w:rPr>
          <w:t>Table 6 : Total Consumption of Gas</w:t>
        </w:r>
        <w:r w:rsidR="00D51040">
          <w:rPr>
            <w:noProof/>
            <w:webHidden/>
          </w:rPr>
          <w:tab/>
        </w:r>
        <w:r>
          <w:rPr>
            <w:noProof/>
            <w:webHidden/>
          </w:rPr>
          <w:fldChar w:fldCharType="begin"/>
        </w:r>
        <w:r w:rsidR="00D51040">
          <w:rPr>
            <w:noProof/>
            <w:webHidden/>
          </w:rPr>
          <w:instrText xml:space="preserve"> PAGEREF _Toc411525181 \h </w:instrText>
        </w:r>
        <w:r>
          <w:rPr>
            <w:noProof/>
            <w:webHidden/>
          </w:rPr>
        </w:r>
        <w:r>
          <w:rPr>
            <w:noProof/>
            <w:webHidden/>
          </w:rPr>
          <w:fldChar w:fldCharType="separate"/>
        </w:r>
        <w:r w:rsidR="000F406F">
          <w:rPr>
            <w:noProof/>
            <w:webHidden/>
          </w:rPr>
          <w:t>20</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2" w:history="1">
        <w:r w:rsidR="00D51040" w:rsidRPr="00E6237B">
          <w:rPr>
            <w:rStyle w:val="Hyperlink"/>
            <w:noProof/>
          </w:rPr>
          <w:t>Table 7 : Total Variable Cost</w:t>
        </w:r>
        <w:r w:rsidR="00D51040">
          <w:rPr>
            <w:noProof/>
            <w:webHidden/>
          </w:rPr>
          <w:tab/>
        </w:r>
        <w:r>
          <w:rPr>
            <w:noProof/>
            <w:webHidden/>
          </w:rPr>
          <w:fldChar w:fldCharType="begin"/>
        </w:r>
        <w:r w:rsidR="00D51040">
          <w:rPr>
            <w:noProof/>
            <w:webHidden/>
          </w:rPr>
          <w:instrText xml:space="preserve"> PAGEREF _Toc411525182 \h </w:instrText>
        </w:r>
        <w:r>
          <w:rPr>
            <w:noProof/>
            <w:webHidden/>
          </w:rPr>
        </w:r>
        <w:r>
          <w:rPr>
            <w:noProof/>
            <w:webHidden/>
          </w:rPr>
          <w:fldChar w:fldCharType="separate"/>
        </w:r>
        <w:r w:rsidR="000F406F">
          <w:rPr>
            <w:noProof/>
            <w:webHidden/>
          </w:rPr>
          <w:t>21</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3" w:history="1">
        <w:r w:rsidR="00D51040" w:rsidRPr="00E6237B">
          <w:rPr>
            <w:rStyle w:val="Hyperlink"/>
            <w:noProof/>
          </w:rPr>
          <w:t>Table 8 : Computation of INDEX</w:t>
        </w:r>
        <w:r w:rsidR="00D51040">
          <w:rPr>
            <w:noProof/>
            <w:webHidden/>
          </w:rPr>
          <w:tab/>
        </w:r>
        <w:r>
          <w:rPr>
            <w:noProof/>
            <w:webHidden/>
          </w:rPr>
          <w:fldChar w:fldCharType="begin"/>
        </w:r>
        <w:r w:rsidR="00D51040">
          <w:rPr>
            <w:noProof/>
            <w:webHidden/>
          </w:rPr>
          <w:instrText xml:space="preserve"> PAGEREF _Toc411525183 \h </w:instrText>
        </w:r>
        <w:r>
          <w:rPr>
            <w:noProof/>
            <w:webHidden/>
          </w:rPr>
        </w:r>
        <w:r>
          <w:rPr>
            <w:noProof/>
            <w:webHidden/>
          </w:rPr>
          <w:fldChar w:fldCharType="separate"/>
        </w:r>
        <w:r w:rsidR="000F406F">
          <w:rPr>
            <w:noProof/>
            <w:webHidden/>
          </w:rPr>
          <w:t>23</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4" w:history="1">
        <w:r w:rsidR="00D51040" w:rsidRPr="00E6237B">
          <w:rPr>
            <w:rStyle w:val="Hyperlink"/>
            <w:noProof/>
          </w:rPr>
          <w:t>Table 9 : Employee Expense for PPS-I</w:t>
        </w:r>
        <w:r w:rsidR="00D51040">
          <w:rPr>
            <w:noProof/>
            <w:webHidden/>
          </w:rPr>
          <w:tab/>
        </w:r>
        <w:r>
          <w:rPr>
            <w:noProof/>
            <w:webHidden/>
          </w:rPr>
          <w:fldChar w:fldCharType="begin"/>
        </w:r>
        <w:r w:rsidR="00D51040">
          <w:rPr>
            <w:noProof/>
            <w:webHidden/>
          </w:rPr>
          <w:instrText xml:space="preserve"> PAGEREF _Toc411525184 \h </w:instrText>
        </w:r>
        <w:r>
          <w:rPr>
            <w:noProof/>
            <w:webHidden/>
          </w:rPr>
        </w:r>
        <w:r>
          <w:rPr>
            <w:noProof/>
            <w:webHidden/>
          </w:rPr>
          <w:fldChar w:fldCharType="separate"/>
        </w:r>
        <w:r w:rsidR="000F406F">
          <w:rPr>
            <w:noProof/>
            <w:webHidden/>
          </w:rPr>
          <w:t>25</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5" w:history="1">
        <w:r w:rsidR="00D51040" w:rsidRPr="00E6237B">
          <w:rPr>
            <w:rStyle w:val="Hyperlink"/>
            <w:noProof/>
          </w:rPr>
          <w:t>Table 10 : Expenditure for each STP</w:t>
        </w:r>
        <w:r w:rsidR="00D51040">
          <w:rPr>
            <w:noProof/>
            <w:webHidden/>
          </w:rPr>
          <w:tab/>
        </w:r>
        <w:r>
          <w:rPr>
            <w:noProof/>
            <w:webHidden/>
          </w:rPr>
          <w:fldChar w:fldCharType="begin"/>
        </w:r>
        <w:r w:rsidR="00D51040">
          <w:rPr>
            <w:noProof/>
            <w:webHidden/>
          </w:rPr>
          <w:instrText xml:space="preserve"> PAGEREF _Toc411525185 \h </w:instrText>
        </w:r>
        <w:r>
          <w:rPr>
            <w:noProof/>
            <w:webHidden/>
          </w:rPr>
        </w:r>
        <w:r>
          <w:rPr>
            <w:noProof/>
            <w:webHidden/>
          </w:rPr>
          <w:fldChar w:fldCharType="separate"/>
        </w:r>
        <w:r w:rsidR="000F406F">
          <w:rPr>
            <w:noProof/>
            <w:webHidden/>
          </w:rPr>
          <w:t>26</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6" w:history="1">
        <w:r w:rsidR="00D51040" w:rsidRPr="00E6237B">
          <w:rPr>
            <w:rStyle w:val="Hyperlink"/>
            <w:noProof/>
          </w:rPr>
          <w:t>Table 11 : R&amp;M Expenses of PPS-I</w:t>
        </w:r>
        <w:r w:rsidR="00D51040">
          <w:rPr>
            <w:noProof/>
            <w:webHidden/>
          </w:rPr>
          <w:tab/>
        </w:r>
        <w:r>
          <w:rPr>
            <w:noProof/>
            <w:webHidden/>
          </w:rPr>
          <w:fldChar w:fldCharType="begin"/>
        </w:r>
        <w:r w:rsidR="00D51040">
          <w:rPr>
            <w:noProof/>
            <w:webHidden/>
          </w:rPr>
          <w:instrText xml:space="preserve"> PAGEREF _Toc411525186 \h </w:instrText>
        </w:r>
        <w:r>
          <w:rPr>
            <w:noProof/>
            <w:webHidden/>
          </w:rPr>
        </w:r>
        <w:r>
          <w:rPr>
            <w:noProof/>
            <w:webHidden/>
          </w:rPr>
          <w:fldChar w:fldCharType="separate"/>
        </w:r>
        <w:r w:rsidR="000F406F">
          <w:rPr>
            <w:noProof/>
            <w:webHidden/>
          </w:rPr>
          <w:t>28</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7" w:history="1">
        <w:r w:rsidR="00D51040" w:rsidRPr="00E6237B">
          <w:rPr>
            <w:rStyle w:val="Hyperlink"/>
            <w:noProof/>
          </w:rPr>
          <w:t>Table 12 : Increase in DA of employees during FY 2012-13 to 2014-15</w:t>
        </w:r>
        <w:r w:rsidR="00D51040">
          <w:rPr>
            <w:noProof/>
            <w:webHidden/>
          </w:rPr>
          <w:tab/>
        </w:r>
        <w:r>
          <w:rPr>
            <w:noProof/>
            <w:webHidden/>
          </w:rPr>
          <w:fldChar w:fldCharType="begin"/>
        </w:r>
        <w:r w:rsidR="00D51040">
          <w:rPr>
            <w:noProof/>
            <w:webHidden/>
          </w:rPr>
          <w:instrText xml:space="preserve"> PAGEREF _Toc411525187 \h </w:instrText>
        </w:r>
        <w:r>
          <w:rPr>
            <w:noProof/>
            <w:webHidden/>
          </w:rPr>
        </w:r>
        <w:r>
          <w:rPr>
            <w:noProof/>
            <w:webHidden/>
          </w:rPr>
          <w:fldChar w:fldCharType="separate"/>
        </w:r>
        <w:r w:rsidR="000F406F">
          <w:rPr>
            <w:noProof/>
            <w:webHidden/>
          </w:rPr>
          <w:t>29</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8" w:history="1">
        <w:r w:rsidR="00D51040" w:rsidRPr="00E6237B">
          <w:rPr>
            <w:rStyle w:val="Hyperlink"/>
            <w:noProof/>
          </w:rPr>
          <w:t>Table 13 : A&amp;G Expenses</w:t>
        </w:r>
        <w:r w:rsidR="00D51040">
          <w:rPr>
            <w:noProof/>
            <w:webHidden/>
          </w:rPr>
          <w:tab/>
        </w:r>
        <w:r>
          <w:rPr>
            <w:noProof/>
            <w:webHidden/>
          </w:rPr>
          <w:fldChar w:fldCharType="begin"/>
        </w:r>
        <w:r w:rsidR="00D51040">
          <w:rPr>
            <w:noProof/>
            <w:webHidden/>
          </w:rPr>
          <w:instrText xml:space="preserve"> PAGEREF _Toc411525188 \h </w:instrText>
        </w:r>
        <w:r>
          <w:rPr>
            <w:noProof/>
            <w:webHidden/>
          </w:rPr>
        </w:r>
        <w:r>
          <w:rPr>
            <w:noProof/>
            <w:webHidden/>
          </w:rPr>
          <w:fldChar w:fldCharType="separate"/>
        </w:r>
        <w:r w:rsidR="000F406F">
          <w:rPr>
            <w:noProof/>
            <w:webHidden/>
          </w:rPr>
          <w:t>30</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89" w:history="1">
        <w:r w:rsidR="00D51040" w:rsidRPr="00E6237B">
          <w:rPr>
            <w:rStyle w:val="Hyperlink"/>
            <w:noProof/>
          </w:rPr>
          <w:t>Table 14 : O &amp; M Cost</w:t>
        </w:r>
        <w:r w:rsidR="00D51040">
          <w:rPr>
            <w:noProof/>
            <w:webHidden/>
          </w:rPr>
          <w:tab/>
        </w:r>
        <w:r>
          <w:rPr>
            <w:noProof/>
            <w:webHidden/>
          </w:rPr>
          <w:fldChar w:fldCharType="begin"/>
        </w:r>
        <w:r w:rsidR="00D51040">
          <w:rPr>
            <w:noProof/>
            <w:webHidden/>
          </w:rPr>
          <w:instrText xml:space="preserve"> PAGEREF _Toc411525189 \h </w:instrText>
        </w:r>
        <w:r>
          <w:rPr>
            <w:noProof/>
            <w:webHidden/>
          </w:rPr>
        </w:r>
        <w:r>
          <w:rPr>
            <w:noProof/>
            <w:webHidden/>
          </w:rPr>
          <w:fldChar w:fldCharType="separate"/>
        </w:r>
        <w:r w:rsidR="000F406F">
          <w:rPr>
            <w:noProof/>
            <w:webHidden/>
          </w:rPr>
          <w:t>30</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0" w:history="1">
        <w:r w:rsidR="00D51040" w:rsidRPr="00E6237B">
          <w:rPr>
            <w:rStyle w:val="Hyperlink"/>
            <w:noProof/>
          </w:rPr>
          <w:t>Table 15 : Interest Charges</w:t>
        </w:r>
        <w:r w:rsidR="00D51040">
          <w:rPr>
            <w:noProof/>
            <w:webHidden/>
          </w:rPr>
          <w:tab/>
        </w:r>
        <w:r>
          <w:rPr>
            <w:noProof/>
            <w:webHidden/>
          </w:rPr>
          <w:fldChar w:fldCharType="begin"/>
        </w:r>
        <w:r w:rsidR="00D51040">
          <w:rPr>
            <w:noProof/>
            <w:webHidden/>
          </w:rPr>
          <w:instrText xml:space="preserve"> PAGEREF _Toc411525190 \h </w:instrText>
        </w:r>
        <w:r>
          <w:rPr>
            <w:noProof/>
            <w:webHidden/>
          </w:rPr>
        </w:r>
        <w:r>
          <w:rPr>
            <w:noProof/>
            <w:webHidden/>
          </w:rPr>
          <w:fldChar w:fldCharType="separate"/>
        </w:r>
        <w:r w:rsidR="000F406F">
          <w:rPr>
            <w:noProof/>
            <w:webHidden/>
          </w:rPr>
          <w:t>31</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1" w:history="1">
        <w:r w:rsidR="00D51040" w:rsidRPr="00E6237B">
          <w:rPr>
            <w:rStyle w:val="Hyperlink"/>
            <w:noProof/>
          </w:rPr>
          <w:t>Table 16 :Details of accumulated  Depreciation</w:t>
        </w:r>
        <w:r w:rsidR="00D51040">
          <w:rPr>
            <w:noProof/>
            <w:webHidden/>
          </w:rPr>
          <w:tab/>
        </w:r>
        <w:r>
          <w:rPr>
            <w:noProof/>
            <w:webHidden/>
          </w:rPr>
          <w:fldChar w:fldCharType="begin"/>
        </w:r>
        <w:r w:rsidR="00D51040">
          <w:rPr>
            <w:noProof/>
            <w:webHidden/>
          </w:rPr>
          <w:instrText xml:space="preserve"> PAGEREF _Toc411525191 \h </w:instrText>
        </w:r>
        <w:r>
          <w:rPr>
            <w:noProof/>
            <w:webHidden/>
          </w:rPr>
        </w:r>
        <w:r>
          <w:rPr>
            <w:noProof/>
            <w:webHidden/>
          </w:rPr>
          <w:fldChar w:fldCharType="separate"/>
        </w:r>
        <w:r w:rsidR="000F406F">
          <w:rPr>
            <w:noProof/>
            <w:webHidden/>
          </w:rPr>
          <w:t>32</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2" w:history="1">
        <w:r w:rsidR="00D51040" w:rsidRPr="00E6237B">
          <w:rPr>
            <w:rStyle w:val="Hyperlink"/>
            <w:noProof/>
          </w:rPr>
          <w:t>Table 17 : Depreciation</w:t>
        </w:r>
        <w:r w:rsidR="00D51040">
          <w:rPr>
            <w:noProof/>
            <w:webHidden/>
          </w:rPr>
          <w:tab/>
        </w:r>
        <w:r>
          <w:rPr>
            <w:noProof/>
            <w:webHidden/>
          </w:rPr>
          <w:fldChar w:fldCharType="begin"/>
        </w:r>
        <w:r w:rsidR="00D51040">
          <w:rPr>
            <w:noProof/>
            <w:webHidden/>
          </w:rPr>
          <w:instrText xml:space="preserve"> PAGEREF _Toc411525192 \h </w:instrText>
        </w:r>
        <w:r>
          <w:rPr>
            <w:noProof/>
            <w:webHidden/>
          </w:rPr>
        </w:r>
        <w:r>
          <w:rPr>
            <w:noProof/>
            <w:webHidden/>
          </w:rPr>
          <w:fldChar w:fldCharType="separate"/>
        </w:r>
        <w:r w:rsidR="000F406F">
          <w:rPr>
            <w:noProof/>
            <w:webHidden/>
          </w:rPr>
          <w:t>33</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3" w:history="1">
        <w:r w:rsidR="00D51040" w:rsidRPr="00E6237B">
          <w:rPr>
            <w:rStyle w:val="Hyperlink"/>
            <w:noProof/>
          </w:rPr>
          <w:t>Table 18 : Return on Equity</w:t>
        </w:r>
        <w:r w:rsidR="00D51040">
          <w:rPr>
            <w:noProof/>
            <w:webHidden/>
          </w:rPr>
          <w:tab/>
        </w:r>
        <w:r>
          <w:rPr>
            <w:noProof/>
            <w:webHidden/>
          </w:rPr>
          <w:fldChar w:fldCharType="begin"/>
        </w:r>
        <w:r w:rsidR="00D51040">
          <w:rPr>
            <w:noProof/>
            <w:webHidden/>
          </w:rPr>
          <w:instrText xml:space="preserve"> PAGEREF _Toc411525193 \h </w:instrText>
        </w:r>
        <w:r>
          <w:rPr>
            <w:noProof/>
            <w:webHidden/>
          </w:rPr>
        </w:r>
        <w:r>
          <w:rPr>
            <w:noProof/>
            <w:webHidden/>
          </w:rPr>
          <w:fldChar w:fldCharType="separate"/>
        </w:r>
        <w:r w:rsidR="000F406F">
          <w:rPr>
            <w:noProof/>
            <w:webHidden/>
          </w:rPr>
          <w:t>37</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4" w:history="1">
        <w:r w:rsidR="00D51040" w:rsidRPr="00E6237B">
          <w:rPr>
            <w:rStyle w:val="Hyperlink"/>
            <w:noProof/>
          </w:rPr>
          <w:t>Table 19 : Income tax with grossed up ROE</w:t>
        </w:r>
        <w:r w:rsidR="00D51040">
          <w:rPr>
            <w:noProof/>
            <w:webHidden/>
          </w:rPr>
          <w:tab/>
        </w:r>
        <w:r>
          <w:rPr>
            <w:noProof/>
            <w:webHidden/>
          </w:rPr>
          <w:fldChar w:fldCharType="begin"/>
        </w:r>
        <w:r w:rsidR="00D51040">
          <w:rPr>
            <w:noProof/>
            <w:webHidden/>
          </w:rPr>
          <w:instrText xml:space="preserve"> PAGEREF _Toc411525194 \h </w:instrText>
        </w:r>
        <w:r>
          <w:rPr>
            <w:noProof/>
            <w:webHidden/>
          </w:rPr>
        </w:r>
        <w:r>
          <w:rPr>
            <w:noProof/>
            <w:webHidden/>
          </w:rPr>
          <w:fldChar w:fldCharType="separate"/>
        </w:r>
        <w:r w:rsidR="000F406F">
          <w:rPr>
            <w:noProof/>
            <w:webHidden/>
          </w:rPr>
          <w:t>38</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5" w:history="1">
        <w:r w:rsidR="00D51040" w:rsidRPr="00E6237B">
          <w:rPr>
            <w:rStyle w:val="Hyperlink"/>
            <w:noProof/>
          </w:rPr>
          <w:t>Table 20 : Revised Income tax with grossed up ROE for FY 2012-13 to 2014-15</w:t>
        </w:r>
        <w:r w:rsidR="00D51040">
          <w:rPr>
            <w:noProof/>
            <w:webHidden/>
          </w:rPr>
          <w:tab/>
        </w:r>
        <w:r>
          <w:rPr>
            <w:noProof/>
            <w:webHidden/>
          </w:rPr>
          <w:fldChar w:fldCharType="begin"/>
        </w:r>
        <w:r w:rsidR="00D51040">
          <w:rPr>
            <w:noProof/>
            <w:webHidden/>
          </w:rPr>
          <w:instrText xml:space="preserve"> PAGEREF _Toc411525195 \h </w:instrText>
        </w:r>
        <w:r>
          <w:rPr>
            <w:noProof/>
            <w:webHidden/>
          </w:rPr>
        </w:r>
        <w:r>
          <w:rPr>
            <w:noProof/>
            <w:webHidden/>
          </w:rPr>
          <w:fldChar w:fldCharType="separate"/>
        </w:r>
        <w:r w:rsidR="000F406F">
          <w:rPr>
            <w:noProof/>
            <w:webHidden/>
          </w:rPr>
          <w:t>38</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6" w:history="1">
        <w:r w:rsidR="00D51040" w:rsidRPr="00E6237B">
          <w:rPr>
            <w:rStyle w:val="Hyperlink"/>
            <w:noProof/>
          </w:rPr>
          <w:t>Table 21 : Total working Capital</w:t>
        </w:r>
        <w:r w:rsidR="00D51040">
          <w:rPr>
            <w:noProof/>
            <w:webHidden/>
          </w:rPr>
          <w:tab/>
        </w:r>
        <w:r>
          <w:rPr>
            <w:noProof/>
            <w:webHidden/>
          </w:rPr>
          <w:fldChar w:fldCharType="begin"/>
        </w:r>
        <w:r w:rsidR="00D51040">
          <w:rPr>
            <w:noProof/>
            <w:webHidden/>
          </w:rPr>
          <w:instrText xml:space="preserve"> PAGEREF _Toc411525196 \h </w:instrText>
        </w:r>
        <w:r>
          <w:rPr>
            <w:noProof/>
            <w:webHidden/>
          </w:rPr>
        </w:r>
        <w:r>
          <w:rPr>
            <w:noProof/>
            <w:webHidden/>
          </w:rPr>
          <w:fldChar w:fldCharType="separate"/>
        </w:r>
        <w:r w:rsidR="000F406F">
          <w:rPr>
            <w:noProof/>
            <w:webHidden/>
          </w:rPr>
          <w:t>39</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7" w:history="1">
        <w:r w:rsidR="00D51040" w:rsidRPr="00E6237B">
          <w:rPr>
            <w:rStyle w:val="Hyperlink"/>
            <w:noProof/>
          </w:rPr>
          <w:t>Table 22 : Interest on Working Capital</w:t>
        </w:r>
        <w:r w:rsidR="00D51040">
          <w:rPr>
            <w:noProof/>
            <w:webHidden/>
          </w:rPr>
          <w:tab/>
        </w:r>
        <w:r>
          <w:rPr>
            <w:noProof/>
            <w:webHidden/>
          </w:rPr>
          <w:fldChar w:fldCharType="begin"/>
        </w:r>
        <w:r w:rsidR="00D51040">
          <w:rPr>
            <w:noProof/>
            <w:webHidden/>
          </w:rPr>
          <w:instrText xml:space="preserve"> PAGEREF _Toc411525197 \h </w:instrText>
        </w:r>
        <w:r>
          <w:rPr>
            <w:noProof/>
            <w:webHidden/>
          </w:rPr>
        </w:r>
        <w:r>
          <w:rPr>
            <w:noProof/>
            <w:webHidden/>
          </w:rPr>
          <w:fldChar w:fldCharType="separate"/>
        </w:r>
        <w:r w:rsidR="000F406F">
          <w:rPr>
            <w:noProof/>
            <w:webHidden/>
          </w:rPr>
          <w:t>39</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8" w:history="1">
        <w:r w:rsidR="00D51040" w:rsidRPr="00E6237B">
          <w:rPr>
            <w:rStyle w:val="Hyperlink"/>
            <w:noProof/>
          </w:rPr>
          <w:t>Table 23 : Total Annual Fixed Cost</w:t>
        </w:r>
        <w:r w:rsidR="00D51040">
          <w:rPr>
            <w:noProof/>
            <w:webHidden/>
          </w:rPr>
          <w:tab/>
        </w:r>
        <w:r>
          <w:rPr>
            <w:noProof/>
            <w:webHidden/>
          </w:rPr>
          <w:fldChar w:fldCharType="begin"/>
        </w:r>
        <w:r w:rsidR="00D51040">
          <w:rPr>
            <w:noProof/>
            <w:webHidden/>
          </w:rPr>
          <w:instrText xml:space="preserve"> PAGEREF _Toc411525198 \h </w:instrText>
        </w:r>
        <w:r>
          <w:rPr>
            <w:noProof/>
            <w:webHidden/>
          </w:rPr>
        </w:r>
        <w:r>
          <w:rPr>
            <w:noProof/>
            <w:webHidden/>
          </w:rPr>
          <w:fldChar w:fldCharType="separate"/>
        </w:r>
        <w:r w:rsidR="000F406F">
          <w:rPr>
            <w:noProof/>
            <w:webHidden/>
          </w:rPr>
          <w:t>40</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199" w:history="1">
        <w:r w:rsidR="00D51040" w:rsidRPr="00E6237B">
          <w:rPr>
            <w:rStyle w:val="Hyperlink"/>
            <w:noProof/>
          </w:rPr>
          <w:t>Table 24 : Details of carry over capex schemes</w:t>
        </w:r>
        <w:r w:rsidR="00D51040">
          <w:rPr>
            <w:noProof/>
            <w:webHidden/>
          </w:rPr>
          <w:tab/>
        </w:r>
        <w:r>
          <w:rPr>
            <w:noProof/>
            <w:webHidden/>
          </w:rPr>
          <w:fldChar w:fldCharType="begin"/>
        </w:r>
        <w:r w:rsidR="00D51040">
          <w:rPr>
            <w:noProof/>
            <w:webHidden/>
          </w:rPr>
          <w:instrText xml:space="preserve"> PAGEREF _Toc411525199 \h </w:instrText>
        </w:r>
        <w:r>
          <w:rPr>
            <w:noProof/>
            <w:webHidden/>
          </w:rPr>
        </w:r>
        <w:r>
          <w:rPr>
            <w:noProof/>
            <w:webHidden/>
          </w:rPr>
          <w:fldChar w:fldCharType="separate"/>
        </w:r>
        <w:r w:rsidR="000F406F">
          <w:rPr>
            <w:noProof/>
            <w:webHidden/>
          </w:rPr>
          <w:t>42</w:t>
        </w:r>
        <w:r>
          <w:rPr>
            <w:noProof/>
            <w:webHidden/>
          </w:rPr>
          <w:fldChar w:fldCharType="end"/>
        </w:r>
      </w:hyperlink>
    </w:p>
    <w:p w:rsidR="00D51040" w:rsidRDefault="009F72BB">
      <w:pPr>
        <w:pStyle w:val="TableofFigures"/>
        <w:tabs>
          <w:tab w:val="right" w:leader="dot" w:pos="9242"/>
        </w:tabs>
        <w:rPr>
          <w:rFonts w:asciiTheme="minorHAnsi" w:eastAsiaTheme="minorEastAsia" w:hAnsiTheme="minorHAnsi" w:cstheme="minorBidi"/>
          <w:noProof/>
          <w:sz w:val="22"/>
          <w:szCs w:val="22"/>
        </w:rPr>
      </w:pPr>
      <w:hyperlink w:anchor="_Toc411525200" w:history="1">
        <w:r w:rsidR="00D51040" w:rsidRPr="00E6237B">
          <w:rPr>
            <w:rStyle w:val="Hyperlink"/>
            <w:noProof/>
          </w:rPr>
          <w:t>Table 25 : Details of proposed Capex Schemes</w:t>
        </w:r>
        <w:r w:rsidR="00D51040">
          <w:rPr>
            <w:noProof/>
            <w:webHidden/>
          </w:rPr>
          <w:tab/>
        </w:r>
        <w:r>
          <w:rPr>
            <w:noProof/>
            <w:webHidden/>
          </w:rPr>
          <w:fldChar w:fldCharType="begin"/>
        </w:r>
        <w:r w:rsidR="00D51040">
          <w:rPr>
            <w:noProof/>
            <w:webHidden/>
          </w:rPr>
          <w:instrText xml:space="preserve"> PAGEREF _Toc411525200 \h </w:instrText>
        </w:r>
        <w:r>
          <w:rPr>
            <w:noProof/>
            <w:webHidden/>
          </w:rPr>
        </w:r>
        <w:r>
          <w:rPr>
            <w:noProof/>
            <w:webHidden/>
          </w:rPr>
          <w:fldChar w:fldCharType="separate"/>
        </w:r>
        <w:r w:rsidR="000F406F">
          <w:rPr>
            <w:noProof/>
            <w:webHidden/>
          </w:rPr>
          <w:t>43</w:t>
        </w:r>
        <w:r>
          <w:rPr>
            <w:noProof/>
            <w:webHidden/>
          </w:rPr>
          <w:fldChar w:fldCharType="end"/>
        </w:r>
      </w:hyperlink>
    </w:p>
    <w:p w:rsidR="000F7069" w:rsidRDefault="009F72BB">
      <w:pPr>
        <w:spacing w:line="240" w:lineRule="auto"/>
        <w:rPr>
          <w:sz w:val="22"/>
          <w:szCs w:val="22"/>
        </w:rPr>
      </w:pPr>
      <w:r>
        <w:rPr>
          <w:sz w:val="22"/>
          <w:szCs w:val="22"/>
        </w:rPr>
        <w:fldChar w:fldCharType="end"/>
      </w:r>
    </w:p>
    <w:p w:rsidR="00894B37" w:rsidRDefault="00894B37">
      <w:pPr>
        <w:spacing w:line="240" w:lineRule="auto"/>
        <w:rPr>
          <w:sz w:val="22"/>
          <w:szCs w:val="22"/>
        </w:rPr>
      </w:pPr>
    </w:p>
    <w:p w:rsidR="00894B37" w:rsidRDefault="00894B37">
      <w:pPr>
        <w:spacing w:line="240" w:lineRule="auto"/>
        <w:rPr>
          <w:sz w:val="22"/>
          <w:szCs w:val="22"/>
        </w:rPr>
      </w:pPr>
    </w:p>
    <w:p w:rsidR="002044DB" w:rsidRDefault="002044DB">
      <w:pPr>
        <w:spacing w:line="240" w:lineRule="auto"/>
        <w:rPr>
          <w:sz w:val="22"/>
          <w:szCs w:val="22"/>
        </w:rPr>
      </w:pPr>
    </w:p>
    <w:p w:rsidR="002044DB" w:rsidRDefault="002044DB">
      <w:pPr>
        <w:spacing w:line="240" w:lineRule="auto"/>
        <w:rPr>
          <w:sz w:val="22"/>
          <w:szCs w:val="22"/>
        </w:rPr>
      </w:pPr>
    </w:p>
    <w:p w:rsidR="002044DB" w:rsidRDefault="002044DB">
      <w:pPr>
        <w:spacing w:line="240" w:lineRule="auto"/>
        <w:rPr>
          <w:sz w:val="22"/>
          <w:szCs w:val="22"/>
        </w:rPr>
      </w:pPr>
    </w:p>
    <w:p w:rsidR="002044DB" w:rsidRDefault="002044DB">
      <w:pPr>
        <w:spacing w:line="240" w:lineRule="auto"/>
        <w:rPr>
          <w:sz w:val="22"/>
          <w:szCs w:val="22"/>
        </w:rPr>
      </w:pPr>
    </w:p>
    <w:p w:rsidR="000F7069" w:rsidRDefault="000F7069">
      <w:pPr>
        <w:pStyle w:val="Heading1"/>
        <w:jc w:val="center"/>
      </w:pPr>
      <w:bookmarkStart w:id="1" w:name="_Toc411603910"/>
      <w:r>
        <w:lastRenderedPageBreak/>
        <w:t>: Background</w:t>
      </w:r>
      <w:bookmarkEnd w:id="1"/>
    </w:p>
    <w:p w:rsidR="000F7069" w:rsidRDefault="000F7069">
      <w:pPr>
        <w:rPr>
          <w:sz w:val="22"/>
          <w:szCs w:val="22"/>
        </w:rPr>
      </w:pPr>
      <w:r>
        <w:rPr>
          <w:sz w:val="22"/>
          <w:szCs w:val="22"/>
        </w:rPr>
        <w:t xml:space="preserve">This Chapter </w:t>
      </w:r>
      <w:r w:rsidR="000E28E7">
        <w:rPr>
          <w:sz w:val="22"/>
          <w:szCs w:val="22"/>
        </w:rPr>
        <w:t xml:space="preserve">deals </w:t>
      </w:r>
      <w:r w:rsidR="003B7825">
        <w:rPr>
          <w:sz w:val="22"/>
          <w:szCs w:val="22"/>
        </w:rPr>
        <w:t>with the</w:t>
      </w:r>
      <w:r>
        <w:rPr>
          <w:sz w:val="22"/>
          <w:szCs w:val="22"/>
        </w:rPr>
        <w:t xml:space="preserve"> background</w:t>
      </w:r>
      <w:r w:rsidR="000E28E7">
        <w:rPr>
          <w:sz w:val="22"/>
          <w:szCs w:val="22"/>
        </w:rPr>
        <w:t xml:space="preserve"> </w:t>
      </w:r>
      <w:r w:rsidR="00DC151D">
        <w:rPr>
          <w:sz w:val="22"/>
          <w:szCs w:val="22"/>
        </w:rPr>
        <w:t xml:space="preserve">of </w:t>
      </w:r>
      <w:r>
        <w:rPr>
          <w:sz w:val="22"/>
          <w:szCs w:val="22"/>
        </w:rPr>
        <w:t>this Petition.</w:t>
      </w:r>
    </w:p>
    <w:p w:rsidR="000F7069" w:rsidRDefault="000F7069" w:rsidP="004267DD">
      <w:pPr>
        <w:pStyle w:val="StyleHeading216ptJustifiedLinespacing15lines"/>
        <w:numPr>
          <w:ilvl w:val="1"/>
          <w:numId w:val="3"/>
        </w:numPr>
        <w:tabs>
          <w:tab w:val="clear" w:pos="360"/>
        </w:tabs>
        <w:ind w:left="540" w:hanging="540"/>
        <w:rPr>
          <w:color w:val="000080"/>
        </w:rPr>
      </w:pPr>
      <w:bookmarkStart w:id="2" w:name="_Toc411603911"/>
      <w:r>
        <w:rPr>
          <w:color w:val="000080"/>
        </w:rPr>
        <w:t>Introduction</w:t>
      </w:r>
      <w:bookmarkEnd w:id="2"/>
    </w:p>
    <w:p w:rsidR="00D536D5" w:rsidRDefault="000F7069" w:rsidP="00D536D5">
      <w:pPr>
        <w:ind w:left="900" w:hanging="360"/>
        <w:rPr>
          <w:sz w:val="22"/>
          <w:szCs w:val="22"/>
        </w:rPr>
      </w:pPr>
      <w:r>
        <w:rPr>
          <w:sz w:val="22"/>
          <w:szCs w:val="22"/>
        </w:rPr>
        <w:t>1.</w:t>
      </w:r>
      <w:r w:rsidR="00D536D5">
        <w:rPr>
          <w:sz w:val="22"/>
          <w:szCs w:val="22"/>
        </w:rPr>
        <w:tab/>
      </w:r>
      <w:r w:rsidR="00687ECA">
        <w:rPr>
          <w:sz w:val="22"/>
          <w:szCs w:val="22"/>
        </w:rPr>
        <w:t>T</w:t>
      </w:r>
      <w:r w:rsidR="00D536D5">
        <w:rPr>
          <w:sz w:val="22"/>
          <w:szCs w:val="22"/>
        </w:rPr>
        <w:t xml:space="preserve">he Electricity Act, 2003 </w:t>
      </w:r>
      <w:r w:rsidR="00AE3CE0">
        <w:rPr>
          <w:sz w:val="22"/>
          <w:szCs w:val="22"/>
        </w:rPr>
        <w:t xml:space="preserve">was notified </w:t>
      </w:r>
      <w:r w:rsidR="00D536D5">
        <w:rPr>
          <w:sz w:val="22"/>
          <w:szCs w:val="22"/>
        </w:rPr>
        <w:t xml:space="preserve">on </w:t>
      </w:r>
      <w:r w:rsidR="0016016B">
        <w:rPr>
          <w:sz w:val="22"/>
          <w:szCs w:val="22"/>
        </w:rPr>
        <w:t>10</w:t>
      </w:r>
      <w:r w:rsidR="0016016B" w:rsidRPr="00C1774C">
        <w:rPr>
          <w:sz w:val="22"/>
          <w:szCs w:val="22"/>
          <w:vertAlign w:val="superscript"/>
        </w:rPr>
        <w:t>th</w:t>
      </w:r>
      <w:r w:rsidR="0016016B">
        <w:rPr>
          <w:sz w:val="22"/>
          <w:szCs w:val="22"/>
        </w:rPr>
        <w:t xml:space="preserve"> June</w:t>
      </w:r>
      <w:r w:rsidR="00D536D5">
        <w:rPr>
          <w:sz w:val="22"/>
          <w:szCs w:val="22"/>
        </w:rPr>
        <w:t>, 2003 repealing the Indian Electricity Act-1910, the Electricity (Supply) Act</w:t>
      </w:r>
      <w:r w:rsidR="007B3EF2">
        <w:rPr>
          <w:sz w:val="22"/>
          <w:szCs w:val="22"/>
        </w:rPr>
        <w:t>, 1948</w:t>
      </w:r>
      <w:r w:rsidR="00D536D5">
        <w:rPr>
          <w:sz w:val="22"/>
          <w:szCs w:val="22"/>
        </w:rPr>
        <w:t xml:space="preserve"> and the E.R.C. Act, 1998. Among the tariff related provisions, the State Electricity Regulatory Commission (SERC) has to be guided by National Electricity Policy, National Tariff Policy</w:t>
      </w:r>
      <w:r w:rsidR="00D536D5" w:rsidRPr="007A5C06">
        <w:rPr>
          <w:sz w:val="22"/>
          <w:szCs w:val="22"/>
        </w:rPr>
        <w:t xml:space="preserve"> </w:t>
      </w:r>
      <w:r w:rsidR="00D536D5">
        <w:rPr>
          <w:sz w:val="22"/>
          <w:szCs w:val="22"/>
        </w:rPr>
        <w:t>and Central Electricity Regulatory Commission (CERC).</w:t>
      </w:r>
      <w:r w:rsidR="007B3EF2">
        <w:rPr>
          <w:sz w:val="22"/>
          <w:szCs w:val="22"/>
        </w:rPr>
        <w:t xml:space="preserve"> As per Section 86 (1)(a) of the Electricity Act, the State Commission shall discharge the function of determining the tariff for </w:t>
      </w:r>
      <w:r w:rsidR="00D536D5">
        <w:rPr>
          <w:sz w:val="22"/>
          <w:szCs w:val="22"/>
        </w:rPr>
        <w:t xml:space="preserve">generation, </w:t>
      </w:r>
      <w:r w:rsidR="007B3EF2">
        <w:rPr>
          <w:sz w:val="22"/>
          <w:szCs w:val="22"/>
        </w:rPr>
        <w:t>supply,</w:t>
      </w:r>
      <w:r w:rsidR="003F09CE">
        <w:rPr>
          <w:sz w:val="22"/>
          <w:szCs w:val="22"/>
        </w:rPr>
        <w:t xml:space="preserve"> </w:t>
      </w:r>
      <w:r w:rsidR="00D536D5">
        <w:rPr>
          <w:sz w:val="22"/>
          <w:szCs w:val="22"/>
        </w:rPr>
        <w:t xml:space="preserve">transmission and </w:t>
      </w:r>
      <w:r w:rsidR="007B3EF2">
        <w:rPr>
          <w:sz w:val="22"/>
          <w:szCs w:val="22"/>
        </w:rPr>
        <w:t xml:space="preserve">wheeling of electricity, wholesale, bulk or retail as the case may be within the state. </w:t>
      </w:r>
      <w:r w:rsidR="003F09CE">
        <w:rPr>
          <w:sz w:val="22"/>
          <w:szCs w:val="22"/>
        </w:rPr>
        <w:t xml:space="preserve">The generation, transmission and </w:t>
      </w:r>
      <w:r w:rsidR="00D536D5">
        <w:rPr>
          <w:sz w:val="22"/>
          <w:szCs w:val="22"/>
        </w:rPr>
        <w:t xml:space="preserve">distribution tariff have to be determined separately. </w:t>
      </w:r>
    </w:p>
    <w:p w:rsidR="00F72F48" w:rsidRPr="00F72F48" w:rsidRDefault="00F72F48" w:rsidP="0039723E">
      <w:pPr>
        <w:autoSpaceDE w:val="0"/>
        <w:autoSpaceDN w:val="0"/>
        <w:adjustRightInd w:val="0"/>
        <w:ind w:left="900" w:hanging="360"/>
        <w:rPr>
          <w:sz w:val="22"/>
          <w:szCs w:val="22"/>
        </w:rPr>
      </w:pPr>
      <w:r>
        <w:rPr>
          <w:sz w:val="22"/>
          <w:szCs w:val="22"/>
        </w:rPr>
        <w:t>2.</w:t>
      </w:r>
      <w:r w:rsidR="00367D77">
        <w:rPr>
          <w:sz w:val="22"/>
          <w:szCs w:val="22"/>
        </w:rPr>
        <w:t xml:space="preserve"> The </w:t>
      </w:r>
      <w:r w:rsidRPr="00F72F48">
        <w:rPr>
          <w:sz w:val="22"/>
          <w:szCs w:val="22"/>
        </w:rPr>
        <w:t>Section 61</w:t>
      </w:r>
      <w:r w:rsidR="00367D77">
        <w:rPr>
          <w:sz w:val="22"/>
          <w:szCs w:val="22"/>
        </w:rPr>
        <w:t xml:space="preserve"> of the Electricity Act, 2003 provides as under in respect of Tariff Regulations:</w:t>
      </w:r>
      <w:r w:rsidRPr="00F72F48">
        <w:rPr>
          <w:sz w:val="22"/>
          <w:szCs w:val="22"/>
        </w:rPr>
        <w:t xml:space="preserve"> </w:t>
      </w:r>
    </w:p>
    <w:p w:rsidR="00F72F48" w:rsidRPr="00AB1E52" w:rsidRDefault="00367D77" w:rsidP="0039723E">
      <w:pPr>
        <w:autoSpaceDE w:val="0"/>
        <w:autoSpaceDN w:val="0"/>
        <w:adjustRightInd w:val="0"/>
        <w:ind w:left="720"/>
        <w:rPr>
          <w:rFonts w:ascii="Trebuchet MS" w:hAnsi="Trebuchet MS"/>
          <w:b/>
          <w:bCs/>
          <w:i/>
          <w:iCs/>
          <w:sz w:val="22"/>
          <w:szCs w:val="22"/>
        </w:rPr>
      </w:pPr>
      <w:r w:rsidRPr="00AB1E52">
        <w:rPr>
          <w:rFonts w:ascii="Trebuchet MS" w:hAnsi="Trebuchet MS"/>
          <w:b/>
          <w:bCs/>
          <w:i/>
          <w:iCs/>
          <w:sz w:val="22"/>
          <w:szCs w:val="22"/>
        </w:rPr>
        <w:t>“</w:t>
      </w:r>
      <w:r w:rsidR="00F72F48" w:rsidRPr="00AB1E52">
        <w:rPr>
          <w:rFonts w:ascii="Trebuchet MS" w:hAnsi="Trebuchet MS"/>
          <w:b/>
          <w:bCs/>
          <w:i/>
          <w:iCs/>
          <w:sz w:val="22"/>
          <w:szCs w:val="22"/>
        </w:rPr>
        <w:t>The Appropriate Commission shall, subject to the provisions of this Act, specify the terms and conditions for the determination of tariff, and in doing so, shall be  guided by the following, namely:-</w:t>
      </w:r>
    </w:p>
    <w:p w:rsidR="00F72F48" w:rsidRPr="00AB1E52" w:rsidRDefault="00F72F48" w:rsidP="00F72F48">
      <w:pPr>
        <w:autoSpaceDE w:val="0"/>
        <w:autoSpaceDN w:val="0"/>
        <w:adjustRightInd w:val="0"/>
        <w:ind w:left="720"/>
        <w:rPr>
          <w:rFonts w:ascii="Trebuchet MS" w:hAnsi="Trebuchet MS"/>
          <w:b/>
          <w:bCs/>
          <w:i/>
          <w:iCs/>
          <w:sz w:val="22"/>
          <w:szCs w:val="22"/>
        </w:rPr>
      </w:pPr>
      <w:r w:rsidRPr="00AB1E52">
        <w:rPr>
          <w:rFonts w:ascii="Trebuchet MS" w:hAnsi="Trebuchet MS"/>
          <w:b/>
          <w:bCs/>
          <w:i/>
          <w:iCs/>
          <w:sz w:val="22"/>
          <w:szCs w:val="22"/>
        </w:rPr>
        <w:t xml:space="preserve">(a)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the principles and methodologies specified by the Central Commission for determination of the tariff applicable to generating companies and transmission licensees;</w:t>
      </w:r>
    </w:p>
    <w:p w:rsidR="00F72F48" w:rsidRPr="00AB1E52" w:rsidRDefault="00F72F48" w:rsidP="00F72F48">
      <w:pPr>
        <w:autoSpaceDE w:val="0"/>
        <w:autoSpaceDN w:val="0"/>
        <w:adjustRightInd w:val="0"/>
        <w:ind w:left="720"/>
        <w:rPr>
          <w:rFonts w:ascii="Trebuchet MS" w:hAnsi="Trebuchet MS"/>
          <w:b/>
          <w:bCs/>
          <w:i/>
          <w:iCs/>
          <w:sz w:val="22"/>
          <w:szCs w:val="22"/>
        </w:rPr>
      </w:pPr>
      <w:r w:rsidRPr="00AB1E52">
        <w:rPr>
          <w:rFonts w:ascii="Trebuchet MS" w:hAnsi="Trebuchet MS"/>
          <w:b/>
          <w:bCs/>
          <w:i/>
          <w:iCs/>
          <w:sz w:val="22"/>
          <w:szCs w:val="22"/>
        </w:rPr>
        <w:t xml:space="preserve">(b)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the generation, transmission, distribution and supply of electricity are conducted on commercial principles;</w:t>
      </w:r>
    </w:p>
    <w:p w:rsidR="00F72F48" w:rsidRPr="00AB1E52" w:rsidRDefault="00F72F48" w:rsidP="00F72F48">
      <w:pPr>
        <w:autoSpaceDE w:val="0"/>
        <w:autoSpaceDN w:val="0"/>
        <w:adjustRightInd w:val="0"/>
        <w:ind w:left="720"/>
        <w:rPr>
          <w:rFonts w:ascii="Trebuchet MS" w:hAnsi="Trebuchet MS"/>
          <w:b/>
          <w:bCs/>
          <w:i/>
          <w:iCs/>
          <w:sz w:val="22"/>
          <w:szCs w:val="22"/>
        </w:rPr>
      </w:pPr>
      <w:r w:rsidRPr="00AB1E52">
        <w:rPr>
          <w:rFonts w:ascii="Trebuchet MS" w:hAnsi="Trebuchet MS"/>
          <w:b/>
          <w:bCs/>
          <w:i/>
          <w:iCs/>
          <w:sz w:val="22"/>
          <w:szCs w:val="22"/>
        </w:rPr>
        <w:t>(c) the factors which would encourage competition, efficiency, economical use of the resources, good performance and optimum investments;</w:t>
      </w:r>
    </w:p>
    <w:p w:rsidR="00F72F48" w:rsidRPr="00AB1E52" w:rsidRDefault="00F72F48" w:rsidP="00F72F48">
      <w:pPr>
        <w:autoSpaceDE w:val="0"/>
        <w:autoSpaceDN w:val="0"/>
        <w:adjustRightInd w:val="0"/>
        <w:ind w:left="720"/>
        <w:rPr>
          <w:rFonts w:ascii="Trebuchet MS" w:hAnsi="Trebuchet MS"/>
          <w:b/>
          <w:bCs/>
          <w:i/>
          <w:iCs/>
          <w:sz w:val="22"/>
          <w:szCs w:val="22"/>
        </w:rPr>
      </w:pPr>
      <w:r w:rsidRPr="00AB1E52">
        <w:rPr>
          <w:rFonts w:ascii="Trebuchet MS" w:hAnsi="Trebuchet MS"/>
          <w:b/>
          <w:bCs/>
          <w:i/>
          <w:iCs/>
          <w:sz w:val="22"/>
          <w:szCs w:val="22"/>
        </w:rPr>
        <w:t>(d)</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 xml:space="preserve"> safeguarding of consumers' interest and at the same time, recovery of the cost of electricity in a reasonable manner;</w:t>
      </w:r>
    </w:p>
    <w:p w:rsidR="00F72F48" w:rsidRPr="00AB1E52" w:rsidRDefault="00F72F48" w:rsidP="009E19DE">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 xml:space="preserve">(e)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the principles rewarding efficiency in performance;</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 xml:space="preserve">(f)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multi year tariff principles;</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(g) that the tariff progressively reflects the cost of supply of electricity</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and also, reduces cross-subsidies in the manner specified by the</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Appropriate Commission;]</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 xml:space="preserve">(h)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the promotion of co-generation and generation of electricity from</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t>renewable sources of energy;</w:t>
      </w:r>
    </w:p>
    <w:p w:rsidR="00F72F48" w:rsidRPr="00AB1E52" w:rsidRDefault="00F72F48" w:rsidP="00F72F48">
      <w:pPr>
        <w:autoSpaceDE w:val="0"/>
        <w:autoSpaceDN w:val="0"/>
        <w:adjustRightInd w:val="0"/>
        <w:ind w:firstLine="720"/>
        <w:rPr>
          <w:rFonts w:ascii="Trebuchet MS" w:hAnsi="Trebuchet MS"/>
          <w:b/>
          <w:bCs/>
          <w:i/>
          <w:iCs/>
          <w:sz w:val="22"/>
          <w:szCs w:val="22"/>
        </w:rPr>
      </w:pPr>
      <w:r w:rsidRPr="00AB1E52">
        <w:rPr>
          <w:rFonts w:ascii="Trebuchet MS" w:hAnsi="Trebuchet MS"/>
          <w:b/>
          <w:bCs/>
          <w:i/>
          <w:iCs/>
          <w:sz w:val="22"/>
          <w:szCs w:val="22"/>
        </w:rPr>
        <w:lastRenderedPageBreak/>
        <w:t xml:space="preserve">(i) </w:t>
      </w:r>
      <w:r w:rsidR="009E19DE" w:rsidRPr="00AB1E52">
        <w:rPr>
          <w:rFonts w:ascii="Trebuchet MS" w:hAnsi="Trebuchet MS"/>
          <w:b/>
          <w:bCs/>
          <w:i/>
          <w:iCs/>
          <w:sz w:val="22"/>
          <w:szCs w:val="22"/>
        </w:rPr>
        <w:t xml:space="preserve"> </w:t>
      </w:r>
      <w:r w:rsidRPr="00AB1E52">
        <w:rPr>
          <w:rFonts w:ascii="Trebuchet MS" w:hAnsi="Trebuchet MS"/>
          <w:b/>
          <w:bCs/>
          <w:i/>
          <w:iCs/>
          <w:sz w:val="22"/>
          <w:szCs w:val="22"/>
        </w:rPr>
        <w:t>the National Electricity Policy and tariff policy:</w:t>
      </w:r>
    </w:p>
    <w:p w:rsidR="00F72F48" w:rsidRDefault="00F72F48" w:rsidP="00F72F48">
      <w:pPr>
        <w:autoSpaceDE w:val="0"/>
        <w:autoSpaceDN w:val="0"/>
        <w:adjustRightInd w:val="0"/>
        <w:ind w:left="720"/>
        <w:rPr>
          <w:sz w:val="22"/>
          <w:szCs w:val="22"/>
        </w:rPr>
      </w:pPr>
      <w:r w:rsidRPr="00F72F48">
        <w:rPr>
          <w:sz w:val="22"/>
          <w:szCs w:val="22"/>
        </w:rPr>
        <w:t>Provided that the terms and conditions for determination of tariff under</w:t>
      </w:r>
      <w:r>
        <w:rPr>
          <w:sz w:val="22"/>
          <w:szCs w:val="22"/>
        </w:rPr>
        <w:t xml:space="preserve"> </w:t>
      </w:r>
      <w:r w:rsidRPr="00F72F48">
        <w:rPr>
          <w:sz w:val="22"/>
          <w:szCs w:val="22"/>
        </w:rPr>
        <w:t>the Electricity (Supply) Act, 1948, the Electricity Regulatory Commission Act,</w:t>
      </w:r>
      <w:r>
        <w:rPr>
          <w:sz w:val="22"/>
          <w:szCs w:val="22"/>
        </w:rPr>
        <w:t xml:space="preserve"> </w:t>
      </w:r>
      <w:r w:rsidRPr="00F72F48">
        <w:rPr>
          <w:sz w:val="22"/>
          <w:szCs w:val="22"/>
        </w:rPr>
        <w:t>1998 and the enactments specified in the Schedule as they stood immediately before the appointed date, shall continue to apply for a period of one year or</w:t>
      </w:r>
      <w:r>
        <w:rPr>
          <w:sz w:val="22"/>
          <w:szCs w:val="22"/>
        </w:rPr>
        <w:t xml:space="preserve"> </w:t>
      </w:r>
      <w:r w:rsidRPr="00F72F48">
        <w:rPr>
          <w:sz w:val="22"/>
          <w:szCs w:val="22"/>
        </w:rPr>
        <w:t>until the terms and conditions for tariff are specified under this section,</w:t>
      </w:r>
      <w:r>
        <w:rPr>
          <w:sz w:val="22"/>
          <w:szCs w:val="22"/>
        </w:rPr>
        <w:t xml:space="preserve"> </w:t>
      </w:r>
      <w:r w:rsidRPr="00F72F48">
        <w:rPr>
          <w:sz w:val="22"/>
          <w:szCs w:val="22"/>
        </w:rPr>
        <w:t>whichever is earlier.</w:t>
      </w:r>
      <w:r w:rsidR="00367D77">
        <w:rPr>
          <w:sz w:val="22"/>
          <w:szCs w:val="22"/>
        </w:rPr>
        <w:t>”</w:t>
      </w:r>
    </w:p>
    <w:p w:rsidR="00FB002F" w:rsidRDefault="0039723E" w:rsidP="00FB002F">
      <w:pPr>
        <w:rPr>
          <w:sz w:val="22"/>
          <w:szCs w:val="22"/>
        </w:rPr>
      </w:pPr>
      <w:r>
        <w:rPr>
          <w:sz w:val="22"/>
          <w:szCs w:val="22"/>
        </w:rPr>
        <w:t>3.</w:t>
      </w:r>
      <w:r>
        <w:rPr>
          <w:sz w:val="22"/>
          <w:szCs w:val="22"/>
        </w:rPr>
        <w:tab/>
      </w:r>
      <w:r w:rsidR="00FB002F">
        <w:rPr>
          <w:sz w:val="22"/>
          <w:szCs w:val="22"/>
        </w:rPr>
        <w:t xml:space="preserve">The Delhi Electricity Regulatory Commission (hereinafter referred as “Commission”) has notified “Delhi Electricity Regulatory Commission (Terms and Conditions for  Determination  of Generation Tariff ) Regulations, </w:t>
      </w:r>
      <w:smartTag w:uri="urn:schemas-microsoft-com:office:smarttags" w:element="metricconverter">
        <w:smartTagPr>
          <w:attr w:name="ProductID" w:val="2011”"/>
        </w:smartTagPr>
        <w:r w:rsidR="00FB002F">
          <w:rPr>
            <w:sz w:val="22"/>
            <w:szCs w:val="22"/>
          </w:rPr>
          <w:t>2011”</w:t>
        </w:r>
      </w:smartTag>
      <w:r w:rsidR="00FB002F">
        <w:rPr>
          <w:sz w:val="22"/>
          <w:szCs w:val="22"/>
        </w:rPr>
        <w:t xml:space="preserve"> on 02.12.2011, specifying the terms and conditions for determination of tariff for the control period FY 2012-13 to FY 2014-15. Hon’ble Commission has further extended the principles of MYT control period FY 2012-13 to 2014-15 to the next FY 2015-16. </w:t>
      </w:r>
    </w:p>
    <w:p w:rsidR="00285361" w:rsidRDefault="0058216B" w:rsidP="0099420F">
      <w:pPr>
        <w:rPr>
          <w:sz w:val="22"/>
          <w:szCs w:val="22"/>
        </w:rPr>
      </w:pPr>
      <w:r>
        <w:rPr>
          <w:sz w:val="22"/>
          <w:szCs w:val="22"/>
        </w:rPr>
        <w:t>4.</w:t>
      </w:r>
      <w:r>
        <w:rPr>
          <w:sz w:val="22"/>
          <w:szCs w:val="22"/>
        </w:rPr>
        <w:tab/>
      </w:r>
      <w:r w:rsidR="0099420F">
        <w:rPr>
          <w:sz w:val="22"/>
          <w:szCs w:val="22"/>
        </w:rPr>
        <w:t xml:space="preserve">Earlier PPCL has filed the tariff petition for determination of aggregate revenue requirement for the FY 2012-13 to 2014-15 without prejudice to its right to challenge the “Delhi Electricity Regulatory Commission (Terms and Conditions for Determination of Generation Tariff) Regulations, </w:t>
      </w:r>
      <w:smartTag w:uri="urn:schemas-microsoft-com:office:smarttags" w:element="metricconverter">
        <w:smartTagPr>
          <w:attr w:name="ProductID" w:val="2011”"/>
        </w:smartTagPr>
        <w:r w:rsidR="0099420F">
          <w:rPr>
            <w:sz w:val="22"/>
            <w:szCs w:val="22"/>
          </w:rPr>
          <w:t>2011”</w:t>
        </w:r>
      </w:smartTag>
      <w:r w:rsidR="0099420F">
        <w:rPr>
          <w:sz w:val="22"/>
          <w:szCs w:val="22"/>
        </w:rPr>
        <w:t xml:space="preserve"> and subsequently PPCL have filed Appeal No. </w:t>
      </w:r>
      <w:r w:rsidR="0099420F" w:rsidRPr="001F36DD">
        <w:rPr>
          <w:sz w:val="22"/>
          <w:szCs w:val="22"/>
        </w:rPr>
        <w:t>2904 of 2013</w:t>
      </w:r>
      <w:r w:rsidR="0099420F">
        <w:rPr>
          <w:sz w:val="22"/>
          <w:szCs w:val="22"/>
        </w:rPr>
        <w:t xml:space="preserve"> before </w:t>
      </w:r>
      <w:r w:rsidR="009A4BEA">
        <w:rPr>
          <w:sz w:val="22"/>
          <w:szCs w:val="22"/>
        </w:rPr>
        <w:t xml:space="preserve">Hon’ble High Court </w:t>
      </w:r>
      <w:r w:rsidR="00DC7304">
        <w:rPr>
          <w:sz w:val="22"/>
          <w:szCs w:val="22"/>
        </w:rPr>
        <w:t>against the same</w:t>
      </w:r>
      <w:r w:rsidR="007C2E0F">
        <w:rPr>
          <w:sz w:val="22"/>
          <w:szCs w:val="22"/>
        </w:rPr>
        <w:t>.</w:t>
      </w:r>
      <w:r w:rsidR="00E36080">
        <w:rPr>
          <w:sz w:val="22"/>
          <w:szCs w:val="22"/>
        </w:rPr>
        <w:t xml:space="preserve"> </w:t>
      </w:r>
      <w:r w:rsidR="00B97875">
        <w:rPr>
          <w:sz w:val="22"/>
          <w:szCs w:val="22"/>
        </w:rPr>
        <w:t>The Petition has been accepted by Hon’ble Delhi High Court.</w:t>
      </w:r>
    </w:p>
    <w:p w:rsidR="00A9003F" w:rsidRPr="009B3DD4" w:rsidRDefault="00EA4767" w:rsidP="009B3DD4">
      <w:pPr>
        <w:pStyle w:val="ListParagraph"/>
        <w:numPr>
          <w:ilvl w:val="0"/>
          <w:numId w:val="32"/>
        </w:numPr>
        <w:ind w:left="-90" w:firstLine="0"/>
        <w:rPr>
          <w:sz w:val="22"/>
          <w:szCs w:val="22"/>
        </w:rPr>
      </w:pPr>
      <w:r w:rsidRPr="009B3DD4">
        <w:rPr>
          <w:sz w:val="22"/>
          <w:szCs w:val="22"/>
        </w:rPr>
        <w:t>PPCL</w:t>
      </w:r>
      <w:r w:rsidR="00E36080" w:rsidRPr="009B3DD4">
        <w:rPr>
          <w:sz w:val="22"/>
          <w:szCs w:val="22"/>
        </w:rPr>
        <w:t xml:space="preserve"> is filing this petition with certain relaxations.</w:t>
      </w:r>
      <w:r w:rsidR="00A9003F" w:rsidRPr="009B3DD4">
        <w:rPr>
          <w:sz w:val="22"/>
          <w:szCs w:val="22"/>
        </w:rPr>
        <w:t xml:space="preserve"> It is further submitted that PPCL is requesting the Hon’ble Commission to invoke its power of relaxation wherever required in the petition.  </w:t>
      </w:r>
    </w:p>
    <w:p w:rsidR="008A70EE" w:rsidRDefault="000F7069" w:rsidP="00F4446C">
      <w:pPr>
        <w:ind w:left="900" w:hanging="360"/>
        <w:rPr>
          <w:sz w:val="22"/>
          <w:szCs w:val="22"/>
        </w:rPr>
      </w:pPr>
      <w:r>
        <w:rPr>
          <w:sz w:val="22"/>
          <w:szCs w:val="22"/>
        </w:rPr>
        <w:t xml:space="preserve"> </w:t>
      </w:r>
    </w:p>
    <w:p w:rsidR="000F7069" w:rsidRDefault="000F7069" w:rsidP="004267DD">
      <w:pPr>
        <w:pStyle w:val="StyleHeading216ptJustifiedLinespacing15lines"/>
        <w:numPr>
          <w:ilvl w:val="1"/>
          <w:numId w:val="3"/>
        </w:numPr>
        <w:tabs>
          <w:tab w:val="clear" w:pos="360"/>
        </w:tabs>
        <w:ind w:left="540" w:hanging="540"/>
        <w:rPr>
          <w:color w:val="000080"/>
        </w:rPr>
      </w:pPr>
      <w:bookmarkStart w:id="3" w:name="_Toc411603912"/>
      <w:r>
        <w:rPr>
          <w:color w:val="000080"/>
        </w:rPr>
        <w:t>Brief Company Profile</w:t>
      </w:r>
      <w:bookmarkEnd w:id="3"/>
    </w:p>
    <w:p w:rsidR="000F7069" w:rsidRDefault="000F7069">
      <w:pPr>
        <w:rPr>
          <w:sz w:val="22"/>
          <w:szCs w:val="22"/>
        </w:rPr>
      </w:pPr>
    </w:p>
    <w:p w:rsidR="000F7069" w:rsidRDefault="000F7069">
      <w:pPr>
        <w:pStyle w:val="BodyText"/>
        <w:ind w:left="900" w:hanging="360"/>
        <w:rPr>
          <w:rFonts w:ascii="Century Gothic" w:hAnsi="Century Gothic"/>
          <w:szCs w:val="22"/>
        </w:rPr>
      </w:pPr>
      <w:r>
        <w:rPr>
          <w:rFonts w:ascii="Century Gothic" w:hAnsi="Century Gothic"/>
          <w:szCs w:val="22"/>
        </w:rPr>
        <w:t>1. “Pragati Power Corporation Ltd.” (</w:t>
      </w:r>
      <w:r w:rsidR="0044482F">
        <w:rPr>
          <w:rFonts w:ascii="Century Gothic" w:hAnsi="Century Gothic"/>
          <w:szCs w:val="22"/>
        </w:rPr>
        <w:t>PPCL</w:t>
      </w:r>
      <w:r w:rsidR="00D151C2">
        <w:rPr>
          <w:rFonts w:ascii="Century Gothic" w:hAnsi="Century Gothic"/>
          <w:szCs w:val="22"/>
        </w:rPr>
        <w:t>) is a Government Company engaged in</w:t>
      </w:r>
      <w:r>
        <w:rPr>
          <w:rFonts w:ascii="Century Gothic" w:hAnsi="Century Gothic"/>
          <w:szCs w:val="22"/>
        </w:rPr>
        <w:t xml:space="preserve"> Power generation within the meaning of Companies Act, 1956 and is wholly owned by the Government of National Capital Territory of Delhi. </w:t>
      </w:r>
    </w:p>
    <w:p w:rsidR="000F7069" w:rsidRDefault="000F7069">
      <w:pPr>
        <w:rPr>
          <w:sz w:val="22"/>
          <w:szCs w:val="22"/>
        </w:rPr>
      </w:pPr>
    </w:p>
    <w:p w:rsidR="00FD1DDE" w:rsidRDefault="000F7069">
      <w:pPr>
        <w:numPr>
          <w:ilvl w:val="0"/>
          <w:numId w:val="10"/>
        </w:numPr>
        <w:rPr>
          <w:sz w:val="22"/>
          <w:szCs w:val="22"/>
        </w:rPr>
      </w:pPr>
      <w:r>
        <w:rPr>
          <w:sz w:val="22"/>
          <w:szCs w:val="22"/>
        </w:rPr>
        <w:t>To</w:t>
      </w:r>
      <w:r w:rsidR="00EE4F72">
        <w:rPr>
          <w:sz w:val="22"/>
          <w:szCs w:val="22"/>
        </w:rPr>
        <w:t xml:space="preserve"> augment the power supply of city of </w:t>
      </w:r>
      <w:smartTag w:uri="urn:schemas-microsoft-com:office:smarttags" w:element="place">
        <w:smartTag w:uri="urn:schemas-microsoft-com:office:smarttags" w:element="City">
          <w:r w:rsidR="00EE4F72">
            <w:rPr>
              <w:sz w:val="22"/>
              <w:szCs w:val="22"/>
            </w:rPr>
            <w:t>Delhi</w:t>
          </w:r>
        </w:smartTag>
      </w:smartTag>
      <w:r>
        <w:rPr>
          <w:sz w:val="22"/>
          <w:szCs w:val="22"/>
        </w:rPr>
        <w:t xml:space="preserve">, </w:t>
      </w:r>
      <w:r w:rsidR="004F0217">
        <w:rPr>
          <w:sz w:val="22"/>
          <w:szCs w:val="22"/>
        </w:rPr>
        <w:t>Government of Delhi</w:t>
      </w:r>
      <w:r w:rsidR="006B36F5">
        <w:rPr>
          <w:sz w:val="22"/>
          <w:szCs w:val="22"/>
        </w:rPr>
        <w:t xml:space="preserve"> set </w:t>
      </w:r>
      <w:r w:rsidR="006E2889">
        <w:rPr>
          <w:sz w:val="22"/>
          <w:szCs w:val="22"/>
        </w:rPr>
        <w:t>up 330</w:t>
      </w:r>
      <w:r>
        <w:rPr>
          <w:sz w:val="22"/>
          <w:szCs w:val="22"/>
        </w:rPr>
        <w:t xml:space="preserve"> MW</w:t>
      </w:r>
      <w:r w:rsidR="00D151C2">
        <w:rPr>
          <w:sz w:val="22"/>
          <w:szCs w:val="22"/>
        </w:rPr>
        <w:t xml:space="preserve"> combined cycle gas based</w:t>
      </w:r>
      <w:r>
        <w:rPr>
          <w:sz w:val="22"/>
          <w:szCs w:val="22"/>
        </w:rPr>
        <w:t xml:space="preserve"> Pragati Power Project</w:t>
      </w:r>
      <w:r w:rsidR="00F4446C">
        <w:rPr>
          <w:sz w:val="22"/>
          <w:szCs w:val="22"/>
        </w:rPr>
        <w:t>-I</w:t>
      </w:r>
      <w:r>
        <w:rPr>
          <w:sz w:val="22"/>
          <w:szCs w:val="22"/>
        </w:rPr>
        <w:t xml:space="preserve"> on fast track basis. Further it is a Generating Company as defined under Section</w:t>
      </w:r>
      <w:r w:rsidR="00FD1DDE">
        <w:rPr>
          <w:sz w:val="22"/>
          <w:szCs w:val="22"/>
        </w:rPr>
        <w:t xml:space="preserve"> 2(28) of The Electricity Act.</w:t>
      </w:r>
    </w:p>
    <w:p w:rsidR="00226E21" w:rsidRDefault="00226E21" w:rsidP="00226E21">
      <w:pPr>
        <w:ind w:left="540"/>
        <w:rPr>
          <w:sz w:val="22"/>
          <w:szCs w:val="22"/>
        </w:rPr>
      </w:pPr>
    </w:p>
    <w:p w:rsidR="00FA0F74" w:rsidRPr="00F316B2" w:rsidRDefault="00FA0F74">
      <w:pPr>
        <w:numPr>
          <w:ilvl w:val="0"/>
          <w:numId w:val="10"/>
        </w:numPr>
        <w:rPr>
          <w:sz w:val="22"/>
          <w:szCs w:val="22"/>
        </w:rPr>
      </w:pPr>
      <w:r>
        <w:rPr>
          <w:sz w:val="22"/>
          <w:szCs w:val="22"/>
        </w:rPr>
        <w:lastRenderedPageBreak/>
        <w:t xml:space="preserve">PPCL </w:t>
      </w:r>
      <w:r w:rsidR="00D5309C">
        <w:rPr>
          <w:sz w:val="22"/>
          <w:szCs w:val="22"/>
        </w:rPr>
        <w:t xml:space="preserve">has </w:t>
      </w:r>
      <w:r w:rsidR="00F21933">
        <w:rPr>
          <w:sz w:val="22"/>
          <w:szCs w:val="22"/>
        </w:rPr>
        <w:t>installed</w:t>
      </w:r>
      <w:r w:rsidR="00D5309C">
        <w:rPr>
          <w:sz w:val="22"/>
          <w:szCs w:val="22"/>
        </w:rPr>
        <w:t xml:space="preserve"> another 1371.2 MW </w:t>
      </w:r>
      <w:r>
        <w:rPr>
          <w:sz w:val="22"/>
          <w:szCs w:val="22"/>
        </w:rPr>
        <w:t>CCGT plant at Bawana</w:t>
      </w:r>
      <w:r w:rsidR="00D5309C">
        <w:rPr>
          <w:sz w:val="22"/>
          <w:szCs w:val="22"/>
        </w:rPr>
        <w:t xml:space="preserve"> in Delhi</w:t>
      </w:r>
      <w:r>
        <w:rPr>
          <w:sz w:val="22"/>
          <w:szCs w:val="22"/>
        </w:rPr>
        <w:t>.</w:t>
      </w:r>
      <w:r w:rsidR="00D318D6">
        <w:rPr>
          <w:sz w:val="22"/>
          <w:szCs w:val="22"/>
        </w:rPr>
        <w:t xml:space="preserve">  The COD of the both modules of the stations has been declared on 27.03.2014.</w:t>
      </w:r>
      <w:r w:rsidR="007E3C99">
        <w:rPr>
          <w:sz w:val="22"/>
          <w:szCs w:val="22"/>
        </w:rPr>
        <w:t xml:space="preserve"> </w:t>
      </w:r>
      <w:r w:rsidR="007E3C99" w:rsidRPr="00F316B2">
        <w:rPr>
          <w:sz w:val="22"/>
          <w:szCs w:val="22"/>
        </w:rPr>
        <w:t xml:space="preserve">The power from the station </w:t>
      </w:r>
      <w:r w:rsidR="003603FE">
        <w:rPr>
          <w:sz w:val="22"/>
          <w:szCs w:val="22"/>
        </w:rPr>
        <w:t>is being</w:t>
      </w:r>
      <w:r w:rsidR="007E3C99" w:rsidRPr="00F316B2">
        <w:rPr>
          <w:sz w:val="22"/>
          <w:szCs w:val="22"/>
        </w:rPr>
        <w:t xml:space="preserve"> sold to </w:t>
      </w:r>
      <w:r w:rsidR="00F316B2" w:rsidRPr="00F316B2">
        <w:rPr>
          <w:sz w:val="22"/>
          <w:szCs w:val="22"/>
        </w:rPr>
        <w:t xml:space="preserve">states of </w:t>
      </w:r>
      <w:r w:rsidR="007E3C99" w:rsidRPr="00F316B2">
        <w:rPr>
          <w:sz w:val="22"/>
          <w:szCs w:val="22"/>
        </w:rPr>
        <w:t xml:space="preserve">Delhi, Haryana and Punjab. </w:t>
      </w:r>
      <w:r w:rsidR="00F316B2" w:rsidRPr="00F316B2">
        <w:rPr>
          <w:sz w:val="22"/>
          <w:szCs w:val="22"/>
        </w:rPr>
        <w:t xml:space="preserve">Since, </w:t>
      </w:r>
      <w:r w:rsidR="001937C7" w:rsidRPr="00F316B2">
        <w:rPr>
          <w:sz w:val="22"/>
          <w:szCs w:val="22"/>
        </w:rPr>
        <w:t xml:space="preserve">it is </w:t>
      </w:r>
      <w:r w:rsidR="00F316B2" w:rsidRPr="00F316B2">
        <w:rPr>
          <w:sz w:val="22"/>
          <w:szCs w:val="22"/>
        </w:rPr>
        <w:t>an inter</w:t>
      </w:r>
      <w:r w:rsidR="001937C7">
        <w:rPr>
          <w:sz w:val="22"/>
          <w:szCs w:val="22"/>
        </w:rPr>
        <w:t>-</w:t>
      </w:r>
      <w:r w:rsidR="00F316B2" w:rsidRPr="00F316B2">
        <w:rPr>
          <w:sz w:val="22"/>
          <w:szCs w:val="22"/>
        </w:rPr>
        <w:t>state generating station</w:t>
      </w:r>
      <w:r w:rsidR="00601DF4">
        <w:rPr>
          <w:sz w:val="22"/>
          <w:szCs w:val="22"/>
        </w:rPr>
        <w:t xml:space="preserve">.  Therefore, </w:t>
      </w:r>
      <w:r w:rsidR="001937C7">
        <w:rPr>
          <w:sz w:val="22"/>
          <w:szCs w:val="22"/>
        </w:rPr>
        <w:t xml:space="preserve">as per </w:t>
      </w:r>
      <w:r w:rsidR="00DB5267">
        <w:rPr>
          <w:sz w:val="22"/>
          <w:szCs w:val="22"/>
        </w:rPr>
        <w:t>Section</w:t>
      </w:r>
      <w:r w:rsidR="001937C7">
        <w:rPr>
          <w:sz w:val="22"/>
          <w:szCs w:val="22"/>
        </w:rPr>
        <w:t xml:space="preserve"> No.</w:t>
      </w:r>
      <w:r w:rsidR="00DB5267">
        <w:rPr>
          <w:sz w:val="22"/>
          <w:szCs w:val="22"/>
        </w:rPr>
        <w:t>79(1) (a) &amp; (b) of Electricity Act, 2003 determination of tariff of sub-generating station having composite scheme of generation and sale of electricity in more than one state</w:t>
      </w:r>
      <w:r w:rsidR="008E59BA">
        <w:rPr>
          <w:sz w:val="22"/>
          <w:szCs w:val="22"/>
        </w:rPr>
        <w:t xml:space="preserve"> is to be determined by </w:t>
      </w:r>
      <w:r w:rsidR="00C73C24" w:rsidRPr="00F316B2">
        <w:rPr>
          <w:sz w:val="22"/>
          <w:szCs w:val="22"/>
        </w:rPr>
        <w:t xml:space="preserve">Hon’ble </w:t>
      </w:r>
      <w:r w:rsidR="008E59BA">
        <w:rPr>
          <w:sz w:val="22"/>
          <w:szCs w:val="22"/>
        </w:rPr>
        <w:t>Central Electricity regulatory commission</w:t>
      </w:r>
      <w:r w:rsidR="00DB5267">
        <w:rPr>
          <w:sz w:val="22"/>
          <w:szCs w:val="22"/>
        </w:rPr>
        <w:t>.  T</w:t>
      </w:r>
      <w:r w:rsidR="007E3C99" w:rsidRPr="00F316B2">
        <w:rPr>
          <w:sz w:val="22"/>
          <w:szCs w:val="22"/>
        </w:rPr>
        <w:t xml:space="preserve">he tariff of the station </w:t>
      </w:r>
      <w:r w:rsidR="00521A3D">
        <w:rPr>
          <w:sz w:val="22"/>
          <w:szCs w:val="22"/>
        </w:rPr>
        <w:t>is being</w:t>
      </w:r>
      <w:r w:rsidR="007E3C99" w:rsidRPr="00F316B2">
        <w:rPr>
          <w:sz w:val="22"/>
          <w:szCs w:val="22"/>
        </w:rPr>
        <w:t xml:space="preserve"> determined by Hon’ble Central Electricity Regulatory Commission. </w:t>
      </w:r>
      <w:r w:rsidR="00C73C24">
        <w:rPr>
          <w:sz w:val="22"/>
          <w:szCs w:val="22"/>
        </w:rPr>
        <w:t xml:space="preserve"> </w:t>
      </w:r>
    </w:p>
    <w:p w:rsidR="009F0A85" w:rsidRDefault="009F0A85" w:rsidP="009F0A85">
      <w:pPr>
        <w:ind w:left="540"/>
        <w:rPr>
          <w:sz w:val="22"/>
          <w:szCs w:val="22"/>
        </w:rPr>
      </w:pPr>
    </w:p>
    <w:p w:rsidR="00067B08" w:rsidRDefault="00226E21" w:rsidP="00067B08">
      <w:pPr>
        <w:pStyle w:val="BodyText"/>
        <w:ind w:left="900" w:hanging="360"/>
        <w:rPr>
          <w:rFonts w:ascii="Century Gothic" w:hAnsi="Century Gothic"/>
          <w:szCs w:val="22"/>
        </w:rPr>
      </w:pPr>
      <w:r>
        <w:rPr>
          <w:rFonts w:ascii="Century Gothic" w:hAnsi="Century Gothic"/>
          <w:szCs w:val="22"/>
        </w:rPr>
        <w:t>4</w:t>
      </w:r>
      <w:r w:rsidR="00067B08">
        <w:rPr>
          <w:rFonts w:ascii="Century Gothic" w:hAnsi="Century Gothic"/>
          <w:szCs w:val="22"/>
        </w:rPr>
        <w:t>.</w:t>
      </w:r>
      <w:r w:rsidR="00067B08">
        <w:rPr>
          <w:rFonts w:ascii="Century Gothic" w:hAnsi="Century Gothic"/>
          <w:szCs w:val="22"/>
        </w:rPr>
        <w:tab/>
        <w:t xml:space="preserve">Pursuant to the applicable provisions of the Delhi Electricity Reforms Act, 2000, the Government of National Capital Territory of Delhi undertook the reform and restructuring of the erstwhile Delhi Vidyut Board (DVB), which was implemented through a statutory transfer scheme. The Transfer Scheme rules notified provided for reorganization of DVB including transfer of its properties, assets, liabilities etc. The transfer scheme provided for unbundling of the erstwhile DVB into five companies. PPCL </w:t>
      </w:r>
      <w:r w:rsidR="000643F7">
        <w:rPr>
          <w:rFonts w:ascii="Century Gothic" w:hAnsi="Century Gothic"/>
          <w:szCs w:val="22"/>
        </w:rPr>
        <w:t xml:space="preserve">also </w:t>
      </w:r>
      <w:r w:rsidR="00067B08">
        <w:rPr>
          <w:rFonts w:ascii="Century Gothic" w:hAnsi="Century Gothic"/>
          <w:szCs w:val="22"/>
        </w:rPr>
        <w:t xml:space="preserve">took over certain assets and liabilities relating to Pragati Power Station-I from erstwhile DVB </w:t>
      </w:r>
      <w:r w:rsidR="00FA33E9">
        <w:rPr>
          <w:rFonts w:ascii="Century Gothic" w:hAnsi="Century Gothic"/>
          <w:szCs w:val="22"/>
        </w:rPr>
        <w:t>w.e.f.</w:t>
      </w:r>
      <w:r w:rsidR="00067B08">
        <w:rPr>
          <w:rFonts w:ascii="Century Gothic" w:hAnsi="Century Gothic"/>
          <w:szCs w:val="22"/>
        </w:rPr>
        <w:t xml:space="preserve"> 01.07.2002.</w:t>
      </w:r>
    </w:p>
    <w:p w:rsidR="00067B08" w:rsidRDefault="00067B08" w:rsidP="00067B08">
      <w:pPr>
        <w:ind w:left="540"/>
        <w:rPr>
          <w:sz w:val="22"/>
          <w:szCs w:val="22"/>
        </w:rPr>
      </w:pPr>
    </w:p>
    <w:p w:rsidR="000F7069" w:rsidRDefault="000F7069" w:rsidP="00FD1DDE">
      <w:pPr>
        <w:ind w:left="540"/>
        <w:rPr>
          <w:sz w:val="22"/>
          <w:szCs w:val="22"/>
        </w:rPr>
      </w:pPr>
    </w:p>
    <w:p w:rsidR="00000B74" w:rsidRDefault="00000B74" w:rsidP="00FD1DDE">
      <w:pPr>
        <w:ind w:left="540"/>
        <w:rPr>
          <w:sz w:val="22"/>
          <w:szCs w:val="22"/>
        </w:rPr>
      </w:pPr>
    </w:p>
    <w:p w:rsidR="00FD1DDE" w:rsidRDefault="00FD1DDE" w:rsidP="00FD1DDE">
      <w:pPr>
        <w:ind w:left="540"/>
        <w:rPr>
          <w:sz w:val="22"/>
          <w:szCs w:val="22"/>
        </w:rPr>
      </w:pPr>
    </w:p>
    <w:p w:rsidR="00FD1DDE" w:rsidRDefault="00FD1DDE" w:rsidP="00FD1DDE">
      <w:pPr>
        <w:ind w:left="540"/>
        <w:rPr>
          <w:sz w:val="22"/>
          <w:szCs w:val="22"/>
        </w:rPr>
      </w:pPr>
    </w:p>
    <w:p w:rsidR="00BA0595" w:rsidRDefault="00BA0595" w:rsidP="00FD1DDE">
      <w:pPr>
        <w:ind w:left="540"/>
        <w:rPr>
          <w:sz w:val="22"/>
          <w:szCs w:val="22"/>
        </w:rPr>
      </w:pPr>
    </w:p>
    <w:p w:rsidR="00BA0595" w:rsidRDefault="00BA0595" w:rsidP="00FD1DDE">
      <w:pPr>
        <w:ind w:left="540"/>
        <w:rPr>
          <w:sz w:val="22"/>
          <w:szCs w:val="22"/>
        </w:rPr>
      </w:pPr>
    </w:p>
    <w:p w:rsidR="004C6559" w:rsidRDefault="004C6559" w:rsidP="00FD1DDE">
      <w:pPr>
        <w:ind w:left="540"/>
        <w:rPr>
          <w:sz w:val="22"/>
          <w:szCs w:val="22"/>
        </w:rPr>
      </w:pPr>
    </w:p>
    <w:p w:rsidR="004C6559" w:rsidRDefault="004C6559" w:rsidP="00FD1DDE">
      <w:pPr>
        <w:ind w:left="540"/>
        <w:rPr>
          <w:sz w:val="22"/>
          <w:szCs w:val="22"/>
        </w:rPr>
      </w:pPr>
    </w:p>
    <w:p w:rsidR="004C6559" w:rsidRDefault="004C6559" w:rsidP="00FD1DDE">
      <w:pPr>
        <w:ind w:left="540"/>
        <w:rPr>
          <w:sz w:val="22"/>
          <w:szCs w:val="22"/>
        </w:rPr>
      </w:pPr>
    </w:p>
    <w:p w:rsidR="000F6698" w:rsidRDefault="000F6698" w:rsidP="00FD1DDE">
      <w:pPr>
        <w:ind w:left="540"/>
        <w:rPr>
          <w:sz w:val="22"/>
          <w:szCs w:val="22"/>
        </w:rPr>
      </w:pPr>
    </w:p>
    <w:p w:rsidR="004C6559" w:rsidRDefault="004C6559" w:rsidP="00FD1DDE">
      <w:pPr>
        <w:ind w:left="540"/>
        <w:rPr>
          <w:sz w:val="22"/>
          <w:szCs w:val="22"/>
        </w:rPr>
      </w:pPr>
    </w:p>
    <w:p w:rsidR="00FD1DDE" w:rsidRDefault="00FD1DDE" w:rsidP="00FD1DDE">
      <w:pPr>
        <w:ind w:left="540"/>
        <w:rPr>
          <w:sz w:val="22"/>
          <w:szCs w:val="22"/>
        </w:rPr>
      </w:pPr>
    </w:p>
    <w:p w:rsidR="000F7069" w:rsidRDefault="000F7069">
      <w:pPr>
        <w:pStyle w:val="Heading1"/>
        <w:jc w:val="center"/>
      </w:pPr>
      <w:bookmarkStart w:id="4" w:name="_Toc411603913"/>
      <w:r>
        <w:lastRenderedPageBreak/>
        <w:t>: Submissions</w:t>
      </w:r>
      <w:bookmarkEnd w:id="4"/>
    </w:p>
    <w:p w:rsidR="000F7069" w:rsidRDefault="000F7069">
      <w:pPr>
        <w:rPr>
          <w:sz w:val="22"/>
          <w:szCs w:val="22"/>
        </w:rPr>
      </w:pPr>
    </w:p>
    <w:p w:rsidR="000F7069" w:rsidRDefault="000F7069">
      <w:pPr>
        <w:ind w:left="900" w:hanging="360"/>
        <w:rPr>
          <w:sz w:val="22"/>
          <w:szCs w:val="22"/>
        </w:rPr>
      </w:pPr>
      <w:r>
        <w:rPr>
          <w:sz w:val="22"/>
          <w:szCs w:val="22"/>
        </w:rPr>
        <w:t>1.  This Chapter lays down the modality of making submissions to the Hon</w:t>
      </w:r>
      <w:r w:rsidR="00D00072">
        <w:rPr>
          <w:sz w:val="22"/>
          <w:szCs w:val="22"/>
        </w:rPr>
        <w:t>’</w:t>
      </w:r>
      <w:r>
        <w:rPr>
          <w:sz w:val="22"/>
          <w:szCs w:val="22"/>
        </w:rPr>
        <w:t xml:space="preserve">ble Commission in support of the Prayers made out </w:t>
      </w:r>
      <w:r w:rsidR="005065EA">
        <w:rPr>
          <w:sz w:val="22"/>
          <w:szCs w:val="22"/>
        </w:rPr>
        <w:t xml:space="preserve">as </w:t>
      </w:r>
      <w:r>
        <w:rPr>
          <w:sz w:val="22"/>
          <w:szCs w:val="22"/>
        </w:rPr>
        <w:t>under.</w:t>
      </w:r>
    </w:p>
    <w:p w:rsidR="000F7069" w:rsidRDefault="000F7069">
      <w:pPr>
        <w:rPr>
          <w:sz w:val="22"/>
          <w:szCs w:val="22"/>
        </w:rPr>
      </w:pPr>
    </w:p>
    <w:p w:rsidR="000F7069" w:rsidRDefault="000F7069">
      <w:pPr>
        <w:pStyle w:val="StyleHeading216ptJustifiedLinespacing15lines"/>
        <w:numPr>
          <w:ilvl w:val="1"/>
          <w:numId w:val="9"/>
        </w:numPr>
        <w:rPr>
          <w:color w:val="000080"/>
        </w:rPr>
      </w:pPr>
      <w:bookmarkStart w:id="5" w:name="_Toc115252368"/>
      <w:r>
        <w:rPr>
          <w:color w:val="000080"/>
        </w:rPr>
        <w:t xml:space="preserve"> </w:t>
      </w:r>
      <w:bookmarkStart w:id="6" w:name="_Toc411603914"/>
      <w:r>
        <w:rPr>
          <w:color w:val="000080"/>
        </w:rPr>
        <w:t>Submission Plan</w:t>
      </w:r>
      <w:bookmarkEnd w:id="5"/>
      <w:bookmarkEnd w:id="6"/>
    </w:p>
    <w:p w:rsidR="000F7069" w:rsidRDefault="000F7069">
      <w:pPr>
        <w:pStyle w:val="StyleHeading216ptJustifiedLinespacing15lines"/>
        <w:numPr>
          <w:ilvl w:val="0"/>
          <w:numId w:val="0"/>
        </w:numPr>
        <w:rPr>
          <w:color w:val="000080"/>
        </w:rPr>
      </w:pPr>
    </w:p>
    <w:p w:rsidR="000F7069" w:rsidRDefault="000F7069">
      <w:pPr>
        <w:ind w:left="900" w:hanging="360"/>
        <w:rPr>
          <w:sz w:val="22"/>
          <w:szCs w:val="22"/>
        </w:rPr>
      </w:pPr>
      <w:r>
        <w:rPr>
          <w:sz w:val="22"/>
          <w:szCs w:val="22"/>
        </w:rPr>
        <w:t xml:space="preserve">1.  </w:t>
      </w:r>
      <w:r w:rsidR="0019456B">
        <w:rPr>
          <w:sz w:val="22"/>
          <w:szCs w:val="22"/>
        </w:rPr>
        <w:t>PPS-I</w:t>
      </w:r>
      <w:r>
        <w:rPr>
          <w:sz w:val="22"/>
          <w:szCs w:val="22"/>
        </w:rPr>
        <w:t xml:space="preserve"> </w:t>
      </w:r>
      <w:r w:rsidR="00E86EE7">
        <w:rPr>
          <w:sz w:val="22"/>
          <w:szCs w:val="22"/>
        </w:rPr>
        <w:t>propose</w:t>
      </w:r>
      <w:r>
        <w:rPr>
          <w:sz w:val="22"/>
          <w:szCs w:val="22"/>
        </w:rPr>
        <w:t xml:space="preserve"> to make submissions to the Hon</w:t>
      </w:r>
      <w:r w:rsidR="007E2CCF">
        <w:rPr>
          <w:sz w:val="22"/>
          <w:szCs w:val="22"/>
        </w:rPr>
        <w:t>’</w:t>
      </w:r>
      <w:r>
        <w:rPr>
          <w:sz w:val="22"/>
          <w:szCs w:val="22"/>
        </w:rPr>
        <w:t>ble Commission in support of this Petition as under:</w:t>
      </w:r>
    </w:p>
    <w:p w:rsidR="000F7069" w:rsidRDefault="000F7069">
      <w:pPr>
        <w:ind w:left="900" w:hanging="360"/>
        <w:rPr>
          <w:sz w:val="22"/>
          <w:szCs w:val="22"/>
        </w:rPr>
      </w:pPr>
    </w:p>
    <w:p w:rsidR="000F7069" w:rsidRDefault="000F7069" w:rsidP="004267DD">
      <w:pPr>
        <w:numPr>
          <w:ilvl w:val="0"/>
          <w:numId w:val="4"/>
        </w:numPr>
        <w:ind w:left="1260"/>
        <w:rPr>
          <w:sz w:val="22"/>
          <w:szCs w:val="22"/>
        </w:rPr>
      </w:pPr>
      <w:r>
        <w:rPr>
          <w:sz w:val="22"/>
          <w:szCs w:val="22"/>
        </w:rPr>
        <w:t xml:space="preserve">Operational Parameters for </w:t>
      </w:r>
      <w:r w:rsidR="00EE3BCA">
        <w:rPr>
          <w:sz w:val="22"/>
          <w:szCs w:val="22"/>
        </w:rPr>
        <w:t>the Pragati Power Station</w:t>
      </w:r>
      <w:r w:rsidR="00E218AA">
        <w:rPr>
          <w:sz w:val="22"/>
          <w:szCs w:val="22"/>
        </w:rPr>
        <w:t>-I</w:t>
      </w:r>
    </w:p>
    <w:p w:rsidR="000F7069" w:rsidRDefault="000F7069" w:rsidP="004267DD">
      <w:pPr>
        <w:numPr>
          <w:ilvl w:val="0"/>
          <w:numId w:val="4"/>
        </w:numPr>
        <w:ind w:left="1260"/>
        <w:rPr>
          <w:sz w:val="22"/>
          <w:szCs w:val="22"/>
        </w:rPr>
      </w:pPr>
      <w:r>
        <w:rPr>
          <w:sz w:val="22"/>
          <w:szCs w:val="22"/>
        </w:rPr>
        <w:t>Financial</w:t>
      </w:r>
      <w:r w:rsidR="00DE28F3">
        <w:rPr>
          <w:sz w:val="22"/>
          <w:szCs w:val="22"/>
        </w:rPr>
        <w:t xml:space="preserve"> Parameters for Prag</w:t>
      </w:r>
      <w:r w:rsidR="00E218AA">
        <w:rPr>
          <w:sz w:val="22"/>
          <w:szCs w:val="22"/>
        </w:rPr>
        <w:t>a</w:t>
      </w:r>
      <w:r w:rsidR="00DE28F3">
        <w:rPr>
          <w:sz w:val="22"/>
          <w:szCs w:val="22"/>
        </w:rPr>
        <w:t>ti Power S</w:t>
      </w:r>
      <w:r w:rsidR="00E218AA">
        <w:rPr>
          <w:sz w:val="22"/>
          <w:szCs w:val="22"/>
        </w:rPr>
        <w:t>t</w:t>
      </w:r>
      <w:r w:rsidR="00DE28F3">
        <w:rPr>
          <w:sz w:val="22"/>
          <w:szCs w:val="22"/>
        </w:rPr>
        <w:t>ation</w:t>
      </w:r>
      <w:r w:rsidR="00E218AA">
        <w:rPr>
          <w:sz w:val="22"/>
          <w:szCs w:val="22"/>
        </w:rPr>
        <w:t>-I</w:t>
      </w:r>
    </w:p>
    <w:p w:rsidR="007F2D8F" w:rsidRDefault="007F2D8F" w:rsidP="004267DD">
      <w:pPr>
        <w:numPr>
          <w:ilvl w:val="0"/>
          <w:numId w:val="4"/>
        </w:numPr>
        <w:ind w:left="1260"/>
        <w:rPr>
          <w:sz w:val="22"/>
          <w:szCs w:val="22"/>
        </w:rPr>
      </w:pPr>
      <w:r>
        <w:rPr>
          <w:sz w:val="22"/>
          <w:szCs w:val="22"/>
        </w:rPr>
        <w:t>Capital Expenditure</w:t>
      </w:r>
      <w:r w:rsidR="003A3D34">
        <w:rPr>
          <w:sz w:val="22"/>
          <w:szCs w:val="22"/>
        </w:rPr>
        <w:t xml:space="preserve"> for Pragati Power Station-I</w:t>
      </w:r>
    </w:p>
    <w:p w:rsidR="000F7069" w:rsidRDefault="000F7069" w:rsidP="004267DD">
      <w:pPr>
        <w:numPr>
          <w:ilvl w:val="0"/>
          <w:numId w:val="4"/>
        </w:numPr>
        <w:ind w:left="1260"/>
        <w:rPr>
          <w:sz w:val="22"/>
          <w:szCs w:val="22"/>
        </w:rPr>
      </w:pPr>
      <w:r>
        <w:rPr>
          <w:sz w:val="22"/>
          <w:szCs w:val="22"/>
        </w:rPr>
        <w:t>Prayer</w:t>
      </w:r>
    </w:p>
    <w:p w:rsidR="00FB5D7B" w:rsidRDefault="00FB5D7B" w:rsidP="00FB5D7B">
      <w:pPr>
        <w:ind w:left="900"/>
        <w:rPr>
          <w:sz w:val="22"/>
          <w:szCs w:val="22"/>
        </w:rPr>
      </w:pPr>
    </w:p>
    <w:p w:rsidR="00E731E3" w:rsidRDefault="00E731E3" w:rsidP="00BC1397">
      <w:pPr>
        <w:pStyle w:val="StyleHeading216ptJustifiedLinespacing15lines"/>
        <w:numPr>
          <w:ilvl w:val="0"/>
          <w:numId w:val="0"/>
        </w:numPr>
        <w:rPr>
          <w:sz w:val="22"/>
          <w:szCs w:val="22"/>
        </w:rPr>
      </w:pPr>
      <w:bookmarkStart w:id="7" w:name="_Toc411603915"/>
      <w:r>
        <w:rPr>
          <w:sz w:val="22"/>
          <w:szCs w:val="22"/>
        </w:rPr>
        <w:t>2.2</w:t>
      </w:r>
      <w:r>
        <w:rPr>
          <w:sz w:val="22"/>
          <w:szCs w:val="22"/>
        </w:rPr>
        <w:tab/>
      </w:r>
      <w:r w:rsidRPr="00BC1397">
        <w:rPr>
          <w:color w:val="000080"/>
        </w:rPr>
        <w:t>Brief</w:t>
      </w:r>
      <w:r>
        <w:rPr>
          <w:sz w:val="22"/>
          <w:szCs w:val="22"/>
        </w:rPr>
        <w:t xml:space="preserve"> </w:t>
      </w:r>
      <w:r w:rsidRPr="00BC1397">
        <w:rPr>
          <w:color w:val="000080"/>
        </w:rPr>
        <w:t>of</w:t>
      </w:r>
      <w:r>
        <w:rPr>
          <w:sz w:val="22"/>
          <w:szCs w:val="22"/>
        </w:rPr>
        <w:t xml:space="preserve"> </w:t>
      </w:r>
      <w:r w:rsidRPr="00BC1397">
        <w:rPr>
          <w:color w:val="000080"/>
        </w:rPr>
        <w:t>Submissions</w:t>
      </w:r>
      <w:bookmarkEnd w:id="7"/>
    </w:p>
    <w:p w:rsidR="004954DC" w:rsidRDefault="001D226A" w:rsidP="002219EB">
      <w:pPr>
        <w:ind w:left="720"/>
        <w:rPr>
          <w:sz w:val="22"/>
          <w:szCs w:val="22"/>
        </w:rPr>
      </w:pPr>
      <w:r>
        <w:rPr>
          <w:sz w:val="22"/>
          <w:szCs w:val="22"/>
        </w:rPr>
        <w:t xml:space="preserve"> </w:t>
      </w:r>
      <w:r w:rsidR="004954DC">
        <w:rPr>
          <w:sz w:val="22"/>
          <w:szCs w:val="22"/>
        </w:rPr>
        <w:t>The petitioner requests the Hon’ble Commission to give due considerations to the following facts while evaluating the present tariff petition:</w:t>
      </w:r>
    </w:p>
    <w:p w:rsidR="004954DC" w:rsidRDefault="004954DC" w:rsidP="004954DC">
      <w:pPr>
        <w:rPr>
          <w:sz w:val="22"/>
          <w:szCs w:val="22"/>
        </w:rPr>
      </w:pPr>
      <w:r>
        <w:rPr>
          <w:sz w:val="22"/>
          <w:szCs w:val="22"/>
        </w:rPr>
        <w:tab/>
      </w:r>
    </w:p>
    <w:p w:rsidR="004954DC" w:rsidRDefault="004954DC" w:rsidP="004954DC">
      <w:pPr>
        <w:numPr>
          <w:ilvl w:val="0"/>
          <w:numId w:val="21"/>
        </w:numPr>
        <w:rPr>
          <w:sz w:val="22"/>
          <w:szCs w:val="22"/>
        </w:rPr>
      </w:pPr>
      <w:r>
        <w:rPr>
          <w:sz w:val="22"/>
          <w:szCs w:val="22"/>
        </w:rPr>
        <w:t>The Hon’ble Commission has extended the principles of MYT control period FY2</w:t>
      </w:r>
      <w:r w:rsidR="00FB09F4">
        <w:rPr>
          <w:sz w:val="22"/>
          <w:szCs w:val="22"/>
        </w:rPr>
        <w:t>012-13</w:t>
      </w:r>
      <w:r>
        <w:rPr>
          <w:sz w:val="22"/>
          <w:szCs w:val="22"/>
        </w:rPr>
        <w:t xml:space="preserve"> to </w:t>
      </w:r>
      <w:r w:rsidR="00FB09F4">
        <w:rPr>
          <w:sz w:val="22"/>
          <w:szCs w:val="22"/>
        </w:rPr>
        <w:t xml:space="preserve">2014-15 to </w:t>
      </w:r>
      <w:r>
        <w:rPr>
          <w:sz w:val="22"/>
          <w:szCs w:val="22"/>
        </w:rPr>
        <w:t>the next FY 201</w:t>
      </w:r>
      <w:r w:rsidR="00FB09F4">
        <w:rPr>
          <w:sz w:val="22"/>
          <w:szCs w:val="22"/>
        </w:rPr>
        <w:t>5-16</w:t>
      </w:r>
      <w:r>
        <w:rPr>
          <w:sz w:val="22"/>
          <w:szCs w:val="22"/>
        </w:rPr>
        <w:t>.</w:t>
      </w:r>
      <w:r w:rsidR="00FB09F4">
        <w:rPr>
          <w:sz w:val="22"/>
          <w:szCs w:val="22"/>
        </w:rPr>
        <w:t xml:space="preserve"> </w:t>
      </w:r>
      <w:r w:rsidR="008313BB">
        <w:rPr>
          <w:sz w:val="22"/>
          <w:szCs w:val="22"/>
        </w:rPr>
        <w:t xml:space="preserve"> It is submitted that CERC has issued </w:t>
      </w:r>
      <w:r w:rsidR="00315C42">
        <w:rPr>
          <w:sz w:val="22"/>
          <w:szCs w:val="22"/>
        </w:rPr>
        <w:t>Central Electricity Regulatory Commission (Terms and Conditions of Tariff), Regulations, 2009</w:t>
      </w:r>
      <w:r w:rsidR="00600651">
        <w:rPr>
          <w:sz w:val="22"/>
          <w:szCs w:val="22"/>
        </w:rPr>
        <w:t xml:space="preserve">. The Central Commission has modified number of parameters in the regulations. </w:t>
      </w:r>
      <w:r w:rsidR="003C068D">
        <w:rPr>
          <w:sz w:val="22"/>
          <w:szCs w:val="22"/>
        </w:rPr>
        <w:t xml:space="preserve">The present </w:t>
      </w:r>
      <w:r w:rsidR="00600651">
        <w:rPr>
          <w:sz w:val="22"/>
          <w:szCs w:val="22"/>
        </w:rPr>
        <w:t>DERC MYT Regulations were framed in</w:t>
      </w:r>
      <w:r w:rsidR="00280394">
        <w:rPr>
          <w:sz w:val="22"/>
          <w:szCs w:val="22"/>
        </w:rPr>
        <w:t xml:space="preserve"> the</w:t>
      </w:r>
      <w:r w:rsidR="003C068D">
        <w:rPr>
          <w:sz w:val="22"/>
          <w:szCs w:val="22"/>
        </w:rPr>
        <w:t xml:space="preserve"> year 2011</w:t>
      </w:r>
      <w:r w:rsidR="00280AB5">
        <w:rPr>
          <w:sz w:val="22"/>
          <w:szCs w:val="22"/>
        </w:rPr>
        <w:t xml:space="preserve"> for the c</w:t>
      </w:r>
      <w:r w:rsidR="00600651">
        <w:rPr>
          <w:sz w:val="22"/>
          <w:szCs w:val="22"/>
        </w:rPr>
        <w:t xml:space="preserve">ontrol period from </w:t>
      </w:r>
      <w:r w:rsidR="003C068D">
        <w:rPr>
          <w:sz w:val="22"/>
          <w:szCs w:val="22"/>
        </w:rPr>
        <w:t>FY</w:t>
      </w:r>
      <w:r w:rsidR="00BA0595">
        <w:rPr>
          <w:sz w:val="22"/>
          <w:szCs w:val="22"/>
        </w:rPr>
        <w:t xml:space="preserve"> </w:t>
      </w:r>
      <w:r w:rsidR="003C068D">
        <w:rPr>
          <w:sz w:val="22"/>
          <w:szCs w:val="22"/>
        </w:rPr>
        <w:t>2012-13 to 2014-15</w:t>
      </w:r>
      <w:r w:rsidR="00600651">
        <w:rPr>
          <w:sz w:val="22"/>
          <w:szCs w:val="22"/>
        </w:rPr>
        <w:t>.</w:t>
      </w:r>
      <w:r w:rsidR="003C068D">
        <w:rPr>
          <w:sz w:val="22"/>
          <w:szCs w:val="22"/>
        </w:rPr>
        <w:t xml:space="preserve"> </w:t>
      </w:r>
      <w:r w:rsidR="004B1BC2" w:rsidRPr="004B1BC2">
        <w:rPr>
          <w:sz w:val="22"/>
          <w:szCs w:val="22"/>
        </w:rPr>
        <w:t xml:space="preserve"> </w:t>
      </w:r>
      <w:r w:rsidR="004B1BC2">
        <w:rPr>
          <w:sz w:val="22"/>
          <w:szCs w:val="22"/>
        </w:rPr>
        <w:t>It may be appreciated that</w:t>
      </w:r>
      <w:r w:rsidR="00266D87">
        <w:rPr>
          <w:sz w:val="22"/>
          <w:szCs w:val="22"/>
        </w:rPr>
        <w:t xml:space="preserve"> various circumstances and applicable principles have </w:t>
      </w:r>
      <w:r w:rsidR="00EB6360">
        <w:rPr>
          <w:sz w:val="22"/>
          <w:szCs w:val="22"/>
        </w:rPr>
        <w:t xml:space="preserve">now </w:t>
      </w:r>
      <w:r w:rsidR="00266D87">
        <w:rPr>
          <w:sz w:val="22"/>
          <w:szCs w:val="22"/>
        </w:rPr>
        <w:t>changed</w:t>
      </w:r>
      <w:r w:rsidR="001F37CD">
        <w:rPr>
          <w:sz w:val="22"/>
          <w:szCs w:val="22"/>
        </w:rPr>
        <w:t>. Hence, the principles as mentioned in the MYT Regula</w:t>
      </w:r>
      <w:r w:rsidR="006A7AAF">
        <w:rPr>
          <w:sz w:val="22"/>
          <w:szCs w:val="22"/>
        </w:rPr>
        <w:t xml:space="preserve">tions </w:t>
      </w:r>
      <w:r w:rsidR="00C16643">
        <w:rPr>
          <w:sz w:val="22"/>
          <w:szCs w:val="22"/>
        </w:rPr>
        <w:t>cannot</w:t>
      </w:r>
      <w:r w:rsidR="006A7AAF">
        <w:rPr>
          <w:sz w:val="22"/>
          <w:szCs w:val="22"/>
        </w:rPr>
        <w:t xml:space="preserve"> be extended in Toto</w:t>
      </w:r>
      <w:r w:rsidR="001F37CD">
        <w:rPr>
          <w:sz w:val="22"/>
          <w:szCs w:val="22"/>
        </w:rPr>
        <w:t xml:space="preserve"> </w:t>
      </w:r>
      <w:r w:rsidR="005C1AE5">
        <w:rPr>
          <w:sz w:val="22"/>
          <w:szCs w:val="22"/>
        </w:rPr>
        <w:t xml:space="preserve">to </w:t>
      </w:r>
      <w:r w:rsidR="001F37CD">
        <w:rPr>
          <w:sz w:val="22"/>
          <w:szCs w:val="22"/>
        </w:rPr>
        <w:t>FY 201</w:t>
      </w:r>
      <w:r w:rsidR="006A7AAF">
        <w:rPr>
          <w:sz w:val="22"/>
          <w:szCs w:val="22"/>
        </w:rPr>
        <w:t>5-</w:t>
      </w:r>
      <w:bookmarkStart w:id="8" w:name="OLE_LINK1"/>
      <w:r w:rsidR="006A7AAF">
        <w:rPr>
          <w:sz w:val="22"/>
          <w:szCs w:val="22"/>
        </w:rPr>
        <w:t>16.  As</w:t>
      </w:r>
      <w:r w:rsidR="00A17FE9">
        <w:rPr>
          <w:sz w:val="22"/>
          <w:szCs w:val="22"/>
        </w:rPr>
        <w:t xml:space="preserve"> per Section 61 of Electricity Act</w:t>
      </w:r>
      <w:r w:rsidR="00FF2C8E">
        <w:rPr>
          <w:sz w:val="22"/>
          <w:szCs w:val="22"/>
        </w:rPr>
        <w:t>, the State Electricity Regulatory Commission (SERC) has to be guided by National Electricity Policy</w:t>
      </w:r>
      <w:r w:rsidR="003536D8">
        <w:rPr>
          <w:sz w:val="22"/>
          <w:szCs w:val="22"/>
        </w:rPr>
        <w:t>, National</w:t>
      </w:r>
      <w:r w:rsidR="00FF2C8E">
        <w:rPr>
          <w:sz w:val="22"/>
          <w:szCs w:val="22"/>
        </w:rPr>
        <w:t xml:space="preserve"> Tariff Policy</w:t>
      </w:r>
      <w:r w:rsidR="009C482D" w:rsidRPr="009C482D">
        <w:rPr>
          <w:sz w:val="22"/>
          <w:szCs w:val="22"/>
        </w:rPr>
        <w:t xml:space="preserve"> </w:t>
      </w:r>
      <w:r w:rsidR="009C482D">
        <w:rPr>
          <w:sz w:val="22"/>
          <w:szCs w:val="22"/>
        </w:rPr>
        <w:t>and CERC Regulations</w:t>
      </w:r>
      <w:r w:rsidR="00FF2C8E">
        <w:rPr>
          <w:sz w:val="22"/>
          <w:szCs w:val="22"/>
        </w:rPr>
        <w:t>.</w:t>
      </w:r>
      <w:r w:rsidR="00BE43E6">
        <w:rPr>
          <w:sz w:val="22"/>
          <w:szCs w:val="22"/>
        </w:rPr>
        <w:t xml:space="preserve"> It is submitted that the extension of the principles of MYT Regulations for FY </w:t>
      </w:r>
      <w:r w:rsidR="006A7AAF">
        <w:rPr>
          <w:sz w:val="22"/>
          <w:szCs w:val="22"/>
        </w:rPr>
        <w:t>2015-16 is</w:t>
      </w:r>
      <w:r w:rsidR="00BE43E6">
        <w:rPr>
          <w:sz w:val="22"/>
          <w:szCs w:val="22"/>
        </w:rPr>
        <w:t xml:space="preserve"> detrimental to the interest of the Company</w:t>
      </w:r>
      <w:r w:rsidR="00053625">
        <w:rPr>
          <w:sz w:val="22"/>
          <w:szCs w:val="22"/>
        </w:rPr>
        <w:t xml:space="preserve"> on number of aspects</w:t>
      </w:r>
      <w:r w:rsidR="00BE43E6">
        <w:rPr>
          <w:sz w:val="22"/>
          <w:szCs w:val="22"/>
        </w:rPr>
        <w:t xml:space="preserve">. </w:t>
      </w:r>
      <w:bookmarkEnd w:id="8"/>
      <w:r w:rsidR="0017131F">
        <w:rPr>
          <w:sz w:val="22"/>
          <w:szCs w:val="22"/>
        </w:rPr>
        <w:t xml:space="preserve">It is prayed that the </w:t>
      </w:r>
      <w:r w:rsidR="0017131F">
        <w:rPr>
          <w:sz w:val="22"/>
          <w:szCs w:val="22"/>
        </w:rPr>
        <w:lastRenderedPageBreak/>
        <w:t xml:space="preserve">norms for FY </w:t>
      </w:r>
      <w:r w:rsidR="00FA1C9F">
        <w:rPr>
          <w:sz w:val="22"/>
          <w:szCs w:val="22"/>
        </w:rPr>
        <w:t>2015-16</w:t>
      </w:r>
      <w:r w:rsidR="0017131F">
        <w:rPr>
          <w:sz w:val="22"/>
          <w:szCs w:val="22"/>
        </w:rPr>
        <w:t xml:space="preserve"> may be reviewed in the light of </w:t>
      </w:r>
      <w:r w:rsidR="00FB1B10">
        <w:rPr>
          <w:sz w:val="22"/>
          <w:szCs w:val="22"/>
        </w:rPr>
        <w:t xml:space="preserve">present </w:t>
      </w:r>
      <w:r w:rsidR="0017131F">
        <w:rPr>
          <w:sz w:val="22"/>
          <w:szCs w:val="22"/>
        </w:rPr>
        <w:t>circumstances and new CERC Tariff Regulations</w:t>
      </w:r>
      <w:r w:rsidR="00D471E6">
        <w:rPr>
          <w:sz w:val="22"/>
          <w:szCs w:val="22"/>
        </w:rPr>
        <w:t xml:space="preserve"> for FY 2014-15 to 2018-19</w:t>
      </w:r>
      <w:r w:rsidR="0017131F">
        <w:rPr>
          <w:sz w:val="22"/>
          <w:szCs w:val="22"/>
        </w:rPr>
        <w:t xml:space="preserve">. </w:t>
      </w:r>
      <w:r w:rsidR="00EE579D">
        <w:rPr>
          <w:sz w:val="22"/>
          <w:szCs w:val="22"/>
        </w:rPr>
        <w:t>It is further prayed, CERC Tariff Regulations in respect of Return on Equity</w:t>
      </w:r>
      <w:r w:rsidR="00601E8F">
        <w:rPr>
          <w:sz w:val="22"/>
          <w:szCs w:val="22"/>
        </w:rPr>
        <w:t>,</w:t>
      </w:r>
      <w:r w:rsidR="00EE579D">
        <w:rPr>
          <w:sz w:val="22"/>
          <w:szCs w:val="22"/>
        </w:rPr>
        <w:t xml:space="preserve"> Interest on Working Capital may kindly be a</w:t>
      </w:r>
      <w:r w:rsidR="00601E8F">
        <w:rPr>
          <w:sz w:val="22"/>
          <w:szCs w:val="22"/>
        </w:rPr>
        <w:t>pplied from FY 2009-10.</w:t>
      </w:r>
    </w:p>
    <w:p w:rsidR="00122CB1" w:rsidRDefault="00122CB1" w:rsidP="00122CB1">
      <w:pPr>
        <w:ind w:left="960"/>
        <w:rPr>
          <w:sz w:val="22"/>
          <w:szCs w:val="22"/>
        </w:rPr>
      </w:pPr>
    </w:p>
    <w:p w:rsidR="00705CD2" w:rsidRDefault="00970773" w:rsidP="004954DC">
      <w:pPr>
        <w:numPr>
          <w:ilvl w:val="0"/>
          <w:numId w:val="21"/>
        </w:numPr>
        <w:rPr>
          <w:sz w:val="22"/>
          <w:szCs w:val="22"/>
        </w:rPr>
      </w:pPr>
      <w:r>
        <w:rPr>
          <w:sz w:val="22"/>
          <w:szCs w:val="22"/>
        </w:rPr>
        <w:t>It is submitted that t</w:t>
      </w:r>
      <w:r w:rsidR="00705CD2">
        <w:rPr>
          <w:sz w:val="22"/>
          <w:szCs w:val="22"/>
        </w:rPr>
        <w:t>he norm</w:t>
      </w:r>
      <w:r>
        <w:rPr>
          <w:sz w:val="22"/>
          <w:szCs w:val="22"/>
        </w:rPr>
        <w:t>s</w:t>
      </w:r>
      <w:r w:rsidR="00705CD2">
        <w:rPr>
          <w:sz w:val="22"/>
          <w:szCs w:val="22"/>
        </w:rPr>
        <w:t xml:space="preserve"> for heat rate (kCal/kWh) in open cycle </w:t>
      </w:r>
      <w:r>
        <w:rPr>
          <w:sz w:val="22"/>
          <w:szCs w:val="22"/>
        </w:rPr>
        <w:t xml:space="preserve">mode as specified in MYT Regulations are not achievable. The guaranteed heat rate as per the manufacturer works out </w:t>
      </w:r>
      <w:r w:rsidR="00052E98">
        <w:rPr>
          <w:sz w:val="22"/>
          <w:szCs w:val="22"/>
        </w:rPr>
        <w:t>t</w:t>
      </w:r>
      <w:r>
        <w:rPr>
          <w:sz w:val="22"/>
          <w:szCs w:val="22"/>
        </w:rPr>
        <w:t>o 2986</w:t>
      </w:r>
      <w:r w:rsidR="00BA0595">
        <w:rPr>
          <w:sz w:val="22"/>
          <w:szCs w:val="22"/>
        </w:rPr>
        <w:t xml:space="preserve"> </w:t>
      </w:r>
      <w:r>
        <w:rPr>
          <w:sz w:val="22"/>
          <w:szCs w:val="22"/>
        </w:rPr>
        <w:t>kCal/kWh which further needs to be escalated by 5% to arrive at the realistic operational heat rate for the station.</w:t>
      </w:r>
      <w:r w:rsidR="00363B06">
        <w:rPr>
          <w:sz w:val="22"/>
          <w:szCs w:val="22"/>
        </w:rPr>
        <w:t xml:space="preserve"> The heat rate in combined cycle mode may also be escalated by 5% for fixing the heat rate in combined cycle mode.</w:t>
      </w:r>
    </w:p>
    <w:p w:rsidR="00012808" w:rsidRDefault="00012808" w:rsidP="00012808">
      <w:pPr>
        <w:rPr>
          <w:sz w:val="22"/>
          <w:szCs w:val="22"/>
        </w:rPr>
      </w:pPr>
    </w:p>
    <w:p w:rsidR="00012808" w:rsidRDefault="00012808" w:rsidP="00012808">
      <w:pPr>
        <w:numPr>
          <w:ilvl w:val="0"/>
          <w:numId w:val="21"/>
        </w:numPr>
        <w:rPr>
          <w:sz w:val="22"/>
          <w:szCs w:val="22"/>
        </w:rPr>
      </w:pPr>
      <w:r>
        <w:rPr>
          <w:sz w:val="22"/>
          <w:szCs w:val="22"/>
        </w:rPr>
        <w:t>It is submitted that the Hon’ble Commission has fixed the normative annual plant availability factor of 85% for FY 2012-13 to 2014-15. The Hon’ble Commission has fixed the norm of 85% availability for PPS-I based upon the target availability fixed by CERC for NTPC Stations. The Hon’ble Commission did not consider the principles adopted by Hon’ble CERC</w:t>
      </w:r>
      <w:r w:rsidR="008024BF">
        <w:rPr>
          <w:sz w:val="22"/>
          <w:szCs w:val="22"/>
        </w:rPr>
        <w:t>,</w:t>
      </w:r>
      <w:r>
        <w:rPr>
          <w:sz w:val="22"/>
          <w:szCs w:val="22"/>
        </w:rPr>
        <w:t xml:space="preserve"> such as scope of operational flexibility and the practical difficulties faced by the station. The average availability achieved by the station </w:t>
      </w:r>
      <w:r w:rsidRPr="00C97FDA">
        <w:rPr>
          <w:sz w:val="22"/>
          <w:szCs w:val="22"/>
        </w:rPr>
        <w:t>during FY 20</w:t>
      </w:r>
      <w:r w:rsidR="006761B6" w:rsidRPr="00C97FDA">
        <w:rPr>
          <w:sz w:val="22"/>
          <w:szCs w:val="22"/>
        </w:rPr>
        <w:t>12-13</w:t>
      </w:r>
      <w:r w:rsidRPr="00C97FDA">
        <w:rPr>
          <w:sz w:val="22"/>
          <w:szCs w:val="22"/>
        </w:rPr>
        <w:t xml:space="preserve"> to FY 201</w:t>
      </w:r>
      <w:r w:rsidR="006761B6" w:rsidRPr="00C97FDA">
        <w:rPr>
          <w:sz w:val="22"/>
          <w:szCs w:val="22"/>
        </w:rPr>
        <w:t>4-15</w:t>
      </w:r>
      <w:r w:rsidR="00BA0595" w:rsidRPr="00C97FDA">
        <w:rPr>
          <w:sz w:val="22"/>
          <w:szCs w:val="22"/>
        </w:rPr>
        <w:t xml:space="preserve"> </w:t>
      </w:r>
      <w:r w:rsidR="00417918" w:rsidRPr="00C97FDA">
        <w:rPr>
          <w:sz w:val="22"/>
          <w:szCs w:val="22"/>
        </w:rPr>
        <w:t>(up to Dec)</w:t>
      </w:r>
      <w:r w:rsidRPr="00C97FDA">
        <w:rPr>
          <w:sz w:val="22"/>
          <w:szCs w:val="22"/>
        </w:rPr>
        <w:t xml:space="preserve"> was around </w:t>
      </w:r>
      <w:r w:rsidR="00BA0595" w:rsidRPr="006D1252">
        <w:rPr>
          <w:sz w:val="22"/>
          <w:szCs w:val="22"/>
        </w:rPr>
        <w:t>8</w:t>
      </w:r>
      <w:r w:rsidR="00BA0595" w:rsidRPr="00C97FDA">
        <w:rPr>
          <w:sz w:val="22"/>
          <w:szCs w:val="22"/>
        </w:rPr>
        <w:t>7.67</w:t>
      </w:r>
      <w:r w:rsidR="00FB3189" w:rsidRPr="00C97FDA">
        <w:rPr>
          <w:sz w:val="22"/>
          <w:szCs w:val="22"/>
        </w:rPr>
        <w:t xml:space="preserve"> </w:t>
      </w:r>
      <w:r w:rsidRPr="00C97FDA">
        <w:rPr>
          <w:sz w:val="22"/>
          <w:szCs w:val="22"/>
        </w:rPr>
        <w:t xml:space="preserve">% which is almost equal to norm </w:t>
      </w:r>
      <w:r w:rsidR="008024BF" w:rsidRPr="00C97FDA">
        <w:rPr>
          <w:sz w:val="22"/>
          <w:szCs w:val="22"/>
        </w:rPr>
        <w:t xml:space="preserve">of 85% </w:t>
      </w:r>
      <w:r w:rsidRPr="00C97FDA">
        <w:rPr>
          <w:sz w:val="22"/>
          <w:szCs w:val="22"/>
        </w:rPr>
        <w:t xml:space="preserve">fixed by Hon’ble Commission in MYT Regulations 2011 and the company has hardly any margin </w:t>
      </w:r>
      <w:r w:rsidR="008024BF" w:rsidRPr="00C97FDA">
        <w:rPr>
          <w:sz w:val="22"/>
          <w:szCs w:val="22"/>
        </w:rPr>
        <w:t xml:space="preserve">for </w:t>
      </w:r>
      <w:r w:rsidRPr="00C97FDA">
        <w:rPr>
          <w:sz w:val="22"/>
          <w:szCs w:val="22"/>
        </w:rPr>
        <w:t>earn</w:t>
      </w:r>
      <w:r w:rsidR="008024BF" w:rsidRPr="00C97FDA">
        <w:rPr>
          <w:sz w:val="22"/>
          <w:szCs w:val="22"/>
        </w:rPr>
        <w:t>ing</w:t>
      </w:r>
      <w:r w:rsidRPr="00C97FDA">
        <w:rPr>
          <w:sz w:val="22"/>
          <w:szCs w:val="22"/>
        </w:rPr>
        <w:t xml:space="preserve"> incentive</w:t>
      </w:r>
      <w:r w:rsidR="002D2E2D" w:rsidRPr="00C97FDA">
        <w:rPr>
          <w:sz w:val="22"/>
          <w:szCs w:val="22"/>
        </w:rPr>
        <w:t>s</w:t>
      </w:r>
      <w:r>
        <w:rPr>
          <w:sz w:val="22"/>
          <w:szCs w:val="22"/>
        </w:rPr>
        <w:t xml:space="preserve">. It is prayed that it is not able to achieve the target availability of 85% due to reasons beyond its control, the Hon’ble Commission may kindly consider and relax the norm of target availability. </w:t>
      </w:r>
    </w:p>
    <w:p w:rsidR="00F8637F" w:rsidRDefault="00F8637F" w:rsidP="00F8637F">
      <w:pPr>
        <w:rPr>
          <w:sz w:val="22"/>
          <w:szCs w:val="22"/>
        </w:rPr>
      </w:pPr>
    </w:p>
    <w:p w:rsidR="00F8637F" w:rsidRDefault="00F8637F" w:rsidP="004954DC">
      <w:pPr>
        <w:numPr>
          <w:ilvl w:val="0"/>
          <w:numId w:val="21"/>
        </w:numPr>
        <w:rPr>
          <w:sz w:val="22"/>
          <w:szCs w:val="22"/>
        </w:rPr>
      </w:pPr>
      <w:r>
        <w:rPr>
          <w:sz w:val="22"/>
          <w:szCs w:val="22"/>
        </w:rPr>
        <w:t xml:space="preserve">It is submitted that Operation and Maintenance expenses </w:t>
      </w:r>
      <w:r w:rsidR="00121F01">
        <w:rPr>
          <w:sz w:val="22"/>
          <w:szCs w:val="22"/>
        </w:rPr>
        <w:t>on Gas Turbine repair is cyclic in nature as type of maintenance required in Gas Turbines depends upon no. of hour</w:t>
      </w:r>
      <w:r w:rsidR="00BA0595">
        <w:rPr>
          <w:sz w:val="22"/>
          <w:szCs w:val="22"/>
        </w:rPr>
        <w:t xml:space="preserve">s of use in given time period. </w:t>
      </w:r>
      <w:r w:rsidR="001C5DDE">
        <w:rPr>
          <w:sz w:val="22"/>
          <w:szCs w:val="22"/>
        </w:rPr>
        <w:t xml:space="preserve">The </w:t>
      </w:r>
      <w:r w:rsidR="008637E0">
        <w:rPr>
          <w:sz w:val="22"/>
          <w:szCs w:val="22"/>
        </w:rPr>
        <w:t>H</w:t>
      </w:r>
      <w:r w:rsidR="001C5DDE">
        <w:rPr>
          <w:sz w:val="22"/>
          <w:szCs w:val="22"/>
        </w:rPr>
        <w:t xml:space="preserve">on’ble Commission has allowed an additional expenditure of Rs. </w:t>
      </w:r>
      <w:r w:rsidR="00A212CD">
        <w:rPr>
          <w:sz w:val="22"/>
          <w:szCs w:val="22"/>
        </w:rPr>
        <w:t>1</w:t>
      </w:r>
      <w:r w:rsidR="006D1252">
        <w:rPr>
          <w:sz w:val="22"/>
          <w:szCs w:val="22"/>
        </w:rPr>
        <w:t>5.00</w:t>
      </w:r>
      <w:r w:rsidR="007F6525">
        <w:rPr>
          <w:sz w:val="22"/>
          <w:szCs w:val="22"/>
        </w:rPr>
        <w:t xml:space="preserve"> </w:t>
      </w:r>
      <w:r w:rsidR="001C5DDE">
        <w:rPr>
          <w:sz w:val="22"/>
          <w:szCs w:val="22"/>
        </w:rPr>
        <w:t xml:space="preserve">Crore each from </w:t>
      </w:r>
      <w:r w:rsidR="00A212CD">
        <w:rPr>
          <w:sz w:val="22"/>
          <w:szCs w:val="22"/>
        </w:rPr>
        <w:t>FY 2012-13 to 2014-15</w:t>
      </w:r>
      <w:r w:rsidR="001C5DDE">
        <w:rPr>
          <w:sz w:val="22"/>
          <w:szCs w:val="22"/>
        </w:rPr>
        <w:t>.</w:t>
      </w:r>
      <w:r w:rsidR="00A212CD">
        <w:rPr>
          <w:sz w:val="22"/>
          <w:szCs w:val="22"/>
        </w:rPr>
        <w:t xml:space="preserve"> </w:t>
      </w:r>
      <w:r w:rsidR="00D3216D">
        <w:rPr>
          <w:sz w:val="22"/>
          <w:szCs w:val="22"/>
        </w:rPr>
        <w:t>It is prayed that t</w:t>
      </w:r>
      <w:r w:rsidR="001C5DDE">
        <w:rPr>
          <w:sz w:val="22"/>
          <w:szCs w:val="22"/>
        </w:rPr>
        <w:t xml:space="preserve">he </w:t>
      </w:r>
      <w:r w:rsidR="00D3216D">
        <w:rPr>
          <w:sz w:val="22"/>
          <w:szCs w:val="22"/>
        </w:rPr>
        <w:t xml:space="preserve">Hon’ble Commission may kindly consider and allow </w:t>
      </w:r>
      <w:r w:rsidR="001C5DDE">
        <w:rPr>
          <w:sz w:val="22"/>
          <w:szCs w:val="22"/>
        </w:rPr>
        <w:t xml:space="preserve">actual Operation and </w:t>
      </w:r>
      <w:r w:rsidR="001C5DDE" w:rsidRPr="006D1252">
        <w:rPr>
          <w:sz w:val="22"/>
          <w:szCs w:val="22"/>
        </w:rPr>
        <w:t xml:space="preserve">Maintenance </w:t>
      </w:r>
      <w:r w:rsidR="00D3216D" w:rsidRPr="006D1252">
        <w:rPr>
          <w:sz w:val="22"/>
          <w:szCs w:val="22"/>
        </w:rPr>
        <w:t>and</w:t>
      </w:r>
      <w:r w:rsidR="00D3216D" w:rsidRPr="00FA3F8A">
        <w:rPr>
          <w:color w:val="FF0000"/>
          <w:sz w:val="22"/>
          <w:szCs w:val="22"/>
        </w:rPr>
        <w:t xml:space="preserve"> </w:t>
      </w:r>
      <w:r w:rsidR="00D3216D" w:rsidRPr="006D1252">
        <w:rPr>
          <w:sz w:val="22"/>
          <w:szCs w:val="22"/>
        </w:rPr>
        <w:t xml:space="preserve">Rs. </w:t>
      </w:r>
      <w:r w:rsidR="006D1252" w:rsidRPr="006D1252">
        <w:rPr>
          <w:sz w:val="22"/>
          <w:szCs w:val="22"/>
        </w:rPr>
        <w:t>27.42</w:t>
      </w:r>
      <w:r w:rsidR="00D3216D" w:rsidRPr="006D1252">
        <w:rPr>
          <w:sz w:val="22"/>
          <w:szCs w:val="22"/>
        </w:rPr>
        <w:t xml:space="preserve"> Crore</w:t>
      </w:r>
      <w:r w:rsidR="00D3216D">
        <w:rPr>
          <w:sz w:val="22"/>
          <w:szCs w:val="22"/>
        </w:rPr>
        <w:t xml:space="preserve"> per annum</w:t>
      </w:r>
      <w:r w:rsidR="00BA2E7C">
        <w:rPr>
          <w:sz w:val="22"/>
          <w:szCs w:val="22"/>
        </w:rPr>
        <w:t xml:space="preserve"> for FY 2015-16 </w:t>
      </w:r>
      <w:r w:rsidR="00D3216D">
        <w:rPr>
          <w:sz w:val="22"/>
          <w:szCs w:val="22"/>
        </w:rPr>
        <w:t>towards repair &amp; maintenance of DLN Burners for smooth operation of the station</w:t>
      </w:r>
      <w:r w:rsidR="001C5DDE">
        <w:rPr>
          <w:sz w:val="22"/>
          <w:szCs w:val="22"/>
        </w:rPr>
        <w:t>.</w:t>
      </w:r>
    </w:p>
    <w:p w:rsidR="00545531" w:rsidRPr="006D217A" w:rsidRDefault="006D217A" w:rsidP="00545531">
      <w:pPr>
        <w:numPr>
          <w:ilvl w:val="0"/>
          <w:numId w:val="21"/>
        </w:numPr>
        <w:rPr>
          <w:sz w:val="22"/>
          <w:szCs w:val="22"/>
        </w:rPr>
      </w:pPr>
      <w:r w:rsidRPr="006D217A">
        <w:rPr>
          <w:sz w:val="22"/>
          <w:szCs w:val="22"/>
        </w:rPr>
        <w:lastRenderedPageBreak/>
        <w:t xml:space="preserve">  </w:t>
      </w:r>
      <w:r w:rsidR="00545531" w:rsidRPr="006D217A">
        <w:rPr>
          <w:szCs w:val="22"/>
        </w:rPr>
        <w:t>It is further to submit that in the MYT Tariff Regulation, 2011, the return on equity has been fixed at 14%.  It is humbly submitted that the Honorable Commission has fixed the pretax base rate of 15.5% in draft Generation Tariff Regulation in line with Central Electricity</w:t>
      </w:r>
      <w:r w:rsidR="00545531" w:rsidRPr="006D217A">
        <w:rPr>
          <w:color w:val="000000"/>
          <w:szCs w:val="22"/>
        </w:rPr>
        <w:t xml:space="preserve"> Regulatory Commission (Terms and Conditions of Tariff) Regulations, 2014 for the MYT period from 01.04.2014 to 31.03.2019. However, the Honorable Commission</w:t>
      </w:r>
      <w:r w:rsidR="00545531" w:rsidRPr="006D217A">
        <w:rPr>
          <w:szCs w:val="22"/>
        </w:rPr>
        <w:t xml:space="preserve"> </w:t>
      </w:r>
      <w:r w:rsidR="00545531" w:rsidRPr="006D217A">
        <w:rPr>
          <w:color w:val="000000"/>
          <w:szCs w:val="22"/>
        </w:rPr>
        <w:t xml:space="preserve">has reduced the rate of return on equity to 14% in the final “Delhi Electricity Regulatory Commission (Terms and Conditions for Determination of Generation Tariff) Regulations, </w:t>
      </w:r>
      <w:smartTag w:uri="urn:schemas-microsoft-com:office:smarttags" w:element="metricconverter">
        <w:smartTagPr>
          <w:attr w:name="ProductID" w:val="2011”"/>
        </w:smartTagPr>
        <w:r w:rsidR="00545531" w:rsidRPr="006D217A">
          <w:rPr>
            <w:color w:val="000000"/>
            <w:szCs w:val="22"/>
          </w:rPr>
          <w:t>2011”</w:t>
        </w:r>
      </w:smartTag>
      <w:r w:rsidR="00545531" w:rsidRPr="006D217A">
        <w:rPr>
          <w:color w:val="000000"/>
          <w:szCs w:val="22"/>
        </w:rPr>
        <w:t>.</w:t>
      </w:r>
      <w:r w:rsidR="00545531" w:rsidRPr="006D217A">
        <w:rPr>
          <w:szCs w:val="22"/>
        </w:rPr>
        <w:t xml:space="preserve"> Even other state Commissions such as Maharashtra Electricity Regulatory Commission has kept the rate of return on equity at 15.5% for generation. It is prayed that the norm of rate of return on equity may kindly be relaxed and increased to 15.5% from 14% in line with the CERC Regulations, 2009 and 2014.  Further, Hon’ble Commission while issuing the tariff order for previous years of current MYT period has not grossed up the recoverable Income-tax though the recovery of income-tax from the beneficiary becomes the part of the sales hence the further income-tax is also levied on the base income-tax.  Based on the same input Central Electricity Regulatory Commission has also allowed grossing up of Income-tax  in its generation tariff regulation, 2009 for the period FY 2009-10 to 2013-14 and also in its generation tariff regulation 2014 for the period FY 2014-15 to 2018-19.  The relevant extract of CERC generation tariff regulation, 2009 is reproduced as under “</w:t>
      </w:r>
      <w:r w:rsidR="00545531" w:rsidRPr="006D217A">
        <w:rPr>
          <w:sz w:val="22"/>
          <w:szCs w:val="22"/>
        </w:rPr>
        <w:t>The relevant extract is as under :</w:t>
      </w:r>
    </w:p>
    <w:p w:rsidR="00545531" w:rsidRDefault="00545531" w:rsidP="00545531">
      <w:pPr>
        <w:pStyle w:val="Header"/>
        <w:tabs>
          <w:tab w:val="clear" w:pos="4320"/>
          <w:tab w:val="clear" w:pos="8640"/>
        </w:tabs>
        <w:rPr>
          <w:sz w:val="22"/>
          <w:szCs w:val="22"/>
        </w:rPr>
      </w:pPr>
    </w:p>
    <w:p w:rsidR="00545531" w:rsidRDefault="00545531" w:rsidP="00545531">
      <w:pPr>
        <w:pStyle w:val="Header"/>
        <w:tabs>
          <w:tab w:val="clear" w:pos="4320"/>
          <w:tab w:val="clear" w:pos="8640"/>
        </w:tabs>
        <w:rPr>
          <w:i/>
          <w:sz w:val="22"/>
          <w:szCs w:val="22"/>
        </w:rPr>
      </w:pPr>
      <w:r>
        <w:rPr>
          <w:sz w:val="22"/>
          <w:szCs w:val="22"/>
        </w:rPr>
        <w:t>“(3)</w:t>
      </w:r>
      <w:r>
        <w:rPr>
          <w:sz w:val="22"/>
          <w:szCs w:val="22"/>
        </w:rPr>
        <w:tab/>
      </w:r>
      <w:r>
        <w:rPr>
          <w:i/>
          <w:sz w:val="22"/>
          <w:szCs w:val="22"/>
        </w:rPr>
        <w:t>The rate of return on equity shall be computed by grossing up the base rate with the normal tax rate for the year 2008-09 applicable to the concerned generating company or the transmission licensee, as the case may be:</w:t>
      </w:r>
    </w:p>
    <w:p w:rsidR="00545531" w:rsidRDefault="00545531" w:rsidP="00545531">
      <w:pPr>
        <w:pStyle w:val="Header"/>
        <w:tabs>
          <w:tab w:val="clear" w:pos="4320"/>
          <w:tab w:val="clear" w:pos="8640"/>
        </w:tabs>
        <w:rPr>
          <w:i/>
          <w:sz w:val="22"/>
          <w:szCs w:val="22"/>
        </w:rPr>
      </w:pPr>
    </w:p>
    <w:p w:rsidR="00545531" w:rsidRDefault="00545531" w:rsidP="00545531">
      <w:pPr>
        <w:pStyle w:val="Header"/>
        <w:tabs>
          <w:tab w:val="clear" w:pos="4320"/>
          <w:tab w:val="clear" w:pos="8640"/>
        </w:tabs>
        <w:rPr>
          <w:i/>
          <w:sz w:val="22"/>
          <w:szCs w:val="22"/>
        </w:rPr>
      </w:pPr>
      <w:r>
        <w:rPr>
          <w:i/>
          <w:sz w:val="22"/>
          <w:szCs w:val="22"/>
        </w:rPr>
        <w:t xml:space="preserve">Provided that return on equity with respect to the actual tax rate applicable to the generating company or the transmission licensee, as the case may be, in line with the </w:t>
      </w:r>
      <w:r>
        <w:rPr>
          <w:i/>
          <w:sz w:val="22"/>
          <w:szCs w:val="22"/>
        </w:rPr>
        <w:lastRenderedPageBreak/>
        <w:t>provisions of the relevant Finance Acts of the respective year during the tariff period shall be trued up separately for each year of the tariff period along with the tariff petition filed for the next tariff period.</w:t>
      </w:r>
    </w:p>
    <w:p w:rsidR="00545531" w:rsidRDefault="00545531" w:rsidP="00545531">
      <w:pPr>
        <w:pStyle w:val="Header"/>
        <w:tabs>
          <w:tab w:val="clear" w:pos="4320"/>
          <w:tab w:val="clear" w:pos="8640"/>
        </w:tabs>
        <w:rPr>
          <w:i/>
          <w:sz w:val="22"/>
          <w:szCs w:val="22"/>
        </w:rPr>
      </w:pPr>
    </w:p>
    <w:p w:rsidR="00545531" w:rsidRDefault="00545531" w:rsidP="00545531">
      <w:pPr>
        <w:pStyle w:val="Header"/>
        <w:tabs>
          <w:tab w:val="clear" w:pos="4320"/>
          <w:tab w:val="clear" w:pos="8640"/>
        </w:tabs>
        <w:rPr>
          <w:i/>
          <w:sz w:val="22"/>
          <w:szCs w:val="22"/>
        </w:rPr>
      </w:pPr>
      <w:r>
        <w:rPr>
          <w:i/>
          <w:sz w:val="22"/>
          <w:szCs w:val="22"/>
        </w:rPr>
        <w:t>(4)</w:t>
      </w:r>
      <w:r>
        <w:rPr>
          <w:i/>
          <w:sz w:val="22"/>
          <w:szCs w:val="22"/>
        </w:rPr>
        <w:tab/>
        <w:t>Rate of return on equity shall be rounded off to three decimal points and be computed as per the formula given below :</w:t>
      </w:r>
    </w:p>
    <w:p w:rsidR="00545531" w:rsidRDefault="00545531" w:rsidP="00545531">
      <w:pPr>
        <w:pStyle w:val="Header"/>
        <w:tabs>
          <w:tab w:val="clear" w:pos="4320"/>
          <w:tab w:val="clear" w:pos="8640"/>
        </w:tabs>
        <w:rPr>
          <w:i/>
          <w:sz w:val="22"/>
          <w:szCs w:val="22"/>
        </w:rPr>
      </w:pPr>
    </w:p>
    <w:p w:rsidR="00545531" w:rsidRDefault="00545531" w:rsidP="00545531">
      <w:pPr>
        <w:pStyle w:val="Header"/>
        <w:tabs>
          <w:tab w:val="clear" w:pos="4320"/>
          <w:tab w:val="clear" w:pos="8640"/>
        </w:tabs>
        <w:rPr>
          <w:i/>
          <w:sz w:val="22"/>
          <w:szCs w:val="22"/>
        </w:rPr>
      </w:pPr>
      <w:r>
        <w:rPr>
          <w:i/>
          <w:sz w:val="22"/>
          <w:szCs w:val="22"/>
        </w:rPr>
        <w:t>Rate of pre-tax return on equity = Base rate / (1-t)</w:t>
      </w:r>
    </w:p>
    <w:p w:rsidR="00545531" w:rsidRDefault="00545531" w:rsidP="00545531">
      <w:pPr>
        <w:pStyle w:val="Header"/>
        <w:tabs>
          <w:tab w:val="clear" w:pos="4320"/>
          <w:tab w:val="clear" w:pos="8640"/>
        </w:tabs>
        <w:rPr>
          <w:i/>
          <w:sz w:val="22"/>
          <w:szCs w:val="22"/>
        </w:rPr>
      </w:pPr>
      <w:r>
        <w:rPr>
          <w:i/>
          <w:sz w:val="22"/>
          <w:szCs w:val="22"/>
        </w:rPr>
        <w:t>Where it is the applicable tax rate in accordance with Clause (3) of this regulation.</w:t>
      </w:r>
    </w:p>
    <w:p w:rsidR="00545531" w:rsidRDefault="00545531" w:rsidP="00545531">
      <w:pPr>
        <w:rPr>
          <w:sz w:val="22"/>
          <w:szCs w:val="22"/>
        </w:rPr>
      </w:pPr>
    </w:p>
    <w:p w:rsidR="00545531" w:rsidRDefault="00545531" w:rsidP="00545531">
      <w:pPr>
        <w:rPr>
          <w:sz w:val="22"/>
          <w:szCs w:val="22"/>
        </w:rPr>
      </w:pPr>
      <w:r>
        <w:rPr>
          <w:sz w:val="22"/>
          <w:szCs w:val="22"/>
        </w:rPr>
        <w:t>Further, CERC in its generation tariff regulation, 2014 has also grossed up the rate of return of income-tax, the relevant extract of the same is reproduced as under :</w:t>
      </w:r>
    </w:p>
    <w:p w:rsidR="00545531" w:rsidRDefault="00545531" w:rsidP="00545531">
      <w:pPr>
        <w:rPr>
          <w:sz w:val="22"/>
          <w:szCs w:val="22"/>
        </w:rPr>
      </w:pPr>
    </w:p>
    <w:p w:rsidR="00545531" w:rsidRDefault="00545531" w:rsidP="00545531">
      <w:pPr>
        <w:rPr>
          <w:sz w:val="22"/>
          <w:szCs w:val="22"/>
        </w:rPr>
      </w:pPr>
      <w:r>
        <w:rPr>
          <w:sz w:val="22"/>
          <w:szCs w:val="22"/>
        </w:rPr>
        <w:t>“25. Tax on return on equity</w:t>
      </w:r>
    </w:p>
    <w:p w:rsidR="00545531" w:rsidRDefault="00C31EAF" w:rsidP="00545531">
      <w:pPr>
        <w:rPr>
          <w:sz w:val="22"/>
          <w:szCs w:val="22"/>
        </w:rPr>
      </w:pPr>
      <w:r>
        <w:rPr>
          <w:sz w:val="22"/>
          <w:szCs w:val="22"/>
        </w:rPr>
        <w:t>(1)The base rate of return on</w:t>
      </w:r>
      <w:r w:rsidR="00545531">
        <w:rPr>
          <w:sz w:val="22"/>
          <w:szCs w:val="22"/>
        </w:rPr>
        <w:t xml:space="preserve"> equity as allowed by the commission under Regulation 24 shall be grossed up with the effective tax rate of the respective financial year. For this purpose, the effective tax rate shall be considered on the basis of actual tax paid in the respect of the financial year in line with the provisions of the Financial acts by the concerned generating company or the transmission Licensee, as the case may be. The actual tax income on other income stream</w:t>
      </w:r>
      <w:r>
        <w:rPr>
          <w:sz w:val="22"/>
          <w:szCs w:val="22"/>
        </w:rPr>
        <w:t xml:space="preserve"> </w:t>
      </w:r>
      <w:r w:rsidR="00545531">
        <w:rPr>
          <w:sz w:val="22"/>
          <w:szCs w:val="22"/>
        </w:rPr>
        <w:t>(i.e., income of  non generation or non transmission business, as the case may be) shall not be considered for the calculation of “effective tax rate”.</w:t>
      </w:r>
    </w:p>
    <w:p w:rsidR="00545531" w:rsidRDefault="00545531" w:rsidP="00545531">
      <w:pPr>
        <w:rPr>
          <w:sz w:val="22"/>
          <w:szCs w:val="22"/>
        </w:rPr>
      </w:pPr>
      <w:r>
        <w:rPr>
          <w:sz w:val="22"/>
          <w:szCs w:val="22"/>
        </w:rPr>
        <w:t>(2)</w:t>
      </w:r>
      <w:r>
        <w:rPr>
          <w:sz w:val="22"/>
          <w:szCs w:val="22"/>
        </w:rPr>
        <w:tab/>
        <w:t xml:space="preserve">Rate of return on equity shall be rounded off to three decimal placed and shall be computed as per the formula given </w:t>
      </w:r>
      <w:r w:rsidR="00C31EAF">
        <w:rPr>
          <w:sz w:val="22"/>
          <w:szCs w:val="22"/>
        </w:rPr>
        <w:t>below:</w:t>
      </w:r>
    </w:p>
    <w:p w:rsidR="00545531" w:rsidRDefault="00545531" w:rsidP="00545531">
      <w:pPr>
        <w:rPr>
          <w:sz w:val="22"/>
          <w:szCs w:val="22"/>
        </w:rPr>
      </w:pPr>
    </w:p>
    <w:p w:rsidR="00545531" w:rsidRDefault="00545531" w:rsidP="00545531">
      <w:pPr>
        <w:rPr>
          <w:sz w:val="22"/>
          <w:szCs w:val="22"/>
        </w:rPr>
      </w:pPr>
      <w:r>
        <w:rPr>
          <w:sz w:val="22"/>
          <w:szCs w:val="22"/>
        </w:rPr>
        <w:t>Rate of pre-tax return on equity = Base rate / (1-t)</w:t>
      </w:r>
    </w:p>
    <w:p w:rsidR="00545531" w:rsidRDefault="00545531" w:rsidP="00545531">
      <w:pPr>
        <w:rPr>
          <w:sz w:val="22"/>
          <w:szCs w:val="22"/>
        </w:rPr>
      </w:pPr>
      <w:r>
        <w:rPr>
          <w:sz w:val="22"/>
          <w:szCs w:val="22"/>
        </w:rPr>
        <w:t>Where “t” is the effective tax rate in accordance with Clause (1) of this regulation and shall be calculated at the beginning of every financial year based on the estimated profit and tax to be paid estimated in line with the provisions of the relevant Finance Act applicable for that financial year to the company on pro-rata basis by excluding the income of non-generation or non-transmission business, as the case may be, and the corresponding tax thereon. In case of generating company or transmission licensee paying Minimum Alternate Tax (MAT)</w:t>
      </w:r>
      <w:r w:rsidR="000F6698">
        <w:rPr>
          <w:sz w:val="22"/>
          <w:szCs w:val="22"/>
        </w:rPr>
        <w:t>,‘t’</w:t>
      </w:r>
      <w:r>
        <w:rPr>
          <w:sz w:val="22"/>
          <w:szCs w:val="22"/>
        </w:rPr>
        <w:t xml:space="preserve"> shall be considered as MAT rate including surcharge and cess.</w:t>
      </w:r>
    </w:p>
    <w:p w:rsidR="00545531" w:rsidRDefault="00545531" w:rsidP="00545531">
      <w:pPr>
        <w:rPr>
          <w:sz w:val="22"/>
          <w:szCs w:val="22"/>
        </w:rPr>
      </w:pPr>
      <w:r>
        <w:rPr>
          <w:b/>
          <w:sz w:val="22"/>
          <w:szCs w:val="22"/>
        </w:rPr>
        <w:lastRenderedPageBreak/>
        <w:t>Illustration :-</w:t>
      </w:r>
    </w:p>
    <w:p w:rsidR="00545531" w:rsidRPr="004F2F3A" w:rsidRDefault="00545531" w:rsidP="00545531">
      <w:pPr>
        <w:pStyle w:val="ListParagraph"/>
        <w:numPr>
          <w:ilvl w:val="0"/>
          <w:numId w:val="33"/>
        </w:numPr>
        <w:jc w:val="left"/>
        <w:rPr>
          <w:sz w:val="22"/>
          <w:szCs w:val="22"/>
        </w:rPr>
      </w:pPr>
      <w:r w:rsidRPr="004F2F3A">
        <w:rPr>
          <w:sz w:val="22"/>
          <w:szCs w:val="22"/>
        </w:rPr>
        <w:t>In case of the generating company or the transmission licensee paying Minimum Alternate Tax (MAT) @ 20.96% including surcharge and cess:</w:t>
      </w:r>
    </w:p>
    <w:p w:rsidR="00545531" w:rsidRDefault="00545531" w:rsidP="009A28F9">
      <w:pPr>
        <w:ind w:left="360" w:firstLine="720"/>
        <w:rPr>
          <w:sz w:val="22"/>
          <w:szCs w:val="22"/>
        </w:rPr>
      </w:pPr>
      <w:r>
        <w:rPr>
          <w:sz w:val="22"/>
          <w:szCs w:val="22"/>
        </w:rPr>
        <w:t>Rate of return on equity = 15.50 / (1-0.2096) = 19.610%</w:t>
      </w:r>
      <w:r w:rsidR="009A28F9">
        <w:rPr>
          <w:sz w:val="22"/>
          <w:szCs w:val="22"/>
        </w:rPr>
        <w:t xml:space="preserve"> </w:t>
      </w:r>
    </w:p>
    <w:p w:rsidR="00545531" w:rsidRDefault="00545531" w:rsidP="00545531">
      <w:pPr>
        <w:pStyle w:val="ListParagraph"/>
        <w:numPr>
          <w:ilvl w:val="0"/>
          <w:numId w:val="33"/>
        </w:numPr>
        <w:jc w:val="left"/>
        <w:rPr>
          <w:sz w:val="22"/>
          <w:szCs w:val="22"/>
        </w:rPr>
      </w:pPr>
      <w:r w:rsidRPr="004F2F3A">
        <w:rPr>
          <w:sz w:val="22"/>
          <w:szCs w:val="22"/>
        </w:rPr>
        <w:t>In case of generating company or the transmission licensee paying normal corporate tax including surcharge and cess:</w:t>
      </w:r>
    </w:p>
    <w:p w:rsidR="00545531" w:rsidRDefault="00545531" w:rsidP="00545531">
      <w:pPr>
        <w:pStyle w:val="ListParagraph"/>
        <w:numPr>
          <w:ilvl w:val="0"/>
          <w:numId w:val="34"/>
        </w:numPr>
        <w:ind w:hanging="720"/>
        <w:jc w:val="left"/>
        <w:rPr>
          <w:sz w:val="22"/>
          <w:szCs w:val="22"/>
        </w:rPr>
      </w:pPr>
      <w:r>
        <w:rPr>
          <w:sz w:val="22"/>
          <w:szCs w:val="22"/>
        </w:rPr>
        <w:t>Estimated Gross Income from generation or transmission business for FY 2014-15 is Rs.1000 Cr.</w:t>
      </w:r>
    </w:p>
    <w:p w:rsidR="00545531" w:rsidRDefault="00545531" w:rsidP="00545531">
      <w:pPr>
        <w:pStyle w:val="ListParagraph"/>
        <w:numPr>
          <w:ilvl w:val="0"/>
          <w:numId w:val="34"/>
        </w:numPr>
        <w:ind w:hanging="720"/>
        <w:jc w:val="left"/>
        <w:rPr>
          <w:sz w:val="22"/>
          <w:szCs w:val="22"/>
        </w:rPr>
      </w:pPr>
      <w:r>
        <w:rPr>
          <w:sz w:val="22"/>
          <w:szCs w:val="22"/>
        </w:rPr>
        <w:t>Estimated Advance Tax for the year on above is Rs. 240 Crore.</w:t>
      </w:r>
    </w:p>
    <w:p w:rsidR="00545531" w:rsidRDefault="00545531" w:rsidP="00545531">
      <w:pPr>
        <w:pStyle w:val="ListParagraph"/>
        <w:numPr>
          <w:ilvl w:val="0"/>
          <w:numId w:val="34"/>
        </w:numPr>
        <w:ind w:hanging="720"/>
        <w:jc w:val="left"/>
        <w:rPr>
          <w:sz w:val="22"/>
          <w:szCs w:val="22"/>
        </w:rPr>
      </w:pPr>
      <w:r>
        <w:rPr>
          <w:sz w:val="22"/>
          <w:szCs w:val="22"/>
        </w:rPr>
        <w:t>Effective Tax Rate for the year 2014-15 = Rs. 240 Crore / Rs.1000 Crore = 24%.</w:t>
      </w:r>
    </w:p>
    <w:p w:rsidR="00545531" w:rsidRDefault="00545531" w:rsidP="00545531">
      <w:pPr>
        <w:pStyle w:val="ListParagraph"/>
        <w:numPr>
          <w:ilvl w:val="0"/>
          <w:numId w:val="34"/>
        </w:numPr>
        <w:ind w:hanging="720"/>
        <w:jc w:val="left"/>
        <w:rPr>
          <w:sz w:val="22"/>
          <w:szCs w:val="22"/>
        </w:rPr>
      </w:pPr>
      <w:r>
        <w:rPr>
          <w:sz w:val="22"/>
          <w:szCs w:val="22"/>
        </w:rPr>
        <w:t>Rate of Return on equity = 15.50 / (1-0.24) = 20.395%.</w:t>
      </w:r>
    </w:p>
    <w:p w:rsidR="00545531" w:rsidRDefault="00545531" w:rsidP="00545531">
      <w:pPr>
        <w:rPr>
          <w:sz w:val="22"/>
          <w:szCs w:val="22"/>
        </w:rPr>
      </w:pPr>
    </w:p>
    <w:p w:rsidR="00545531" w:rsidRDefault="00545531" w:rsidP="00545531">
      <w:pPr>
        <w:rPr>
          <w:sz w:val="22"/>
          <w:szCs w:val="22"/>
        </w:rPr>
      </w:pPr>
      <w:r>
        <w:rPr>
          <w:sz w:val="22"/>
          <w:szCs w:val="22"/>
        </w:rPr>
        <w:t>(3)</w:t>
      </w:r>
      <w:r>
        <w:rPr>
          <w:sz w:val="22"/>
          <w:szCs w:val="22"/>
        </w:rPr>
        <w:tab/>
        <w:t>The generating company or the transmission licensee, as the case may be, shall true up the grossed up rate of return on equity at the end of every financial year based on actual tax paid together with any additional tax demand including interest thereon, duly adjusted for any refund of tax including interest received from the income-tax authorities pertaining to the tariff period 2014-15 to 2018-19 on actual gross income of any financial year.  However, penalty, if any, arising on account of delay in deposit or short deposit of tax amount shall not be claimed by the generating company or the transmission licensee as the case may be. Any under-recovery or over-recovery of grossed up rate on return on equity after truing up, shall be recovered or refunded to beneficiaries or the long term transmission customers/DICs as the case may be on year to year basis. “</w:t>
      </w:r>
    </w:p>
    <w:p w:rsidR="00545531" w:rsidRDefault="00545531" w:rsidP="009A28F9">
      <w:pPr>
        <w:spacing w:line="240" w:lineRule="auto"/>
        <w:rPr>
          <w:sz w:val="22"/>
          <w:szCs w:val="22"/>
        </w:rPr>
      </w:pPr>
    </w:p>
    <w:p w:rsidR="00904DDF" w:rsidRDefault="00F8637F" w:rsidP="00C55E90">
      <w:pPr>
        <w:rPr>
          <w:sz w:val="22"/>
          <w:szCs w:val="22"/>
        </w:rPr>
      </w:pPr>
      <w:r w:rsidRPr="00781FFE">
        <w:rPr>
          <w:sz w:val="22"/>
          <w:szCs w:val="22"/>
        </w:rPr>
        <w:t xml:space="preserve">It is submitted that </w:t>
      </w:r>
      <w:r w:rsidR="001550D1" w:rsidRPr="00781FFE">
        <w:rPr>
          <w:sz w:val="22"/>
          <w:szCs w:val="22"/>
        </w:rPr>
        <w:t xml:space="preserve">petitioner has made certain capital additions from FY </w:t>
      </w:r>
      <w:r w:rsidR="007C1196" w:rsidRPr="00781FFE">
        <w:rPr>
          <w:sz w:val="22"/>
          <w:szCs w:val="22"/>
        </w:rPr>
        <w:t>2012-13</w:t>
      </w:r>
      <w:r w:rsidR="001550D1" w:rsidRPr="00781FFE">
        <w:rPr>
          <w:sz w:val="22"/>
          <w:szCs w:val="22"/>
        </w:rPr>
        <w:t xml:space="preserve"> to FY </w:t>
      </w:r>
      <w:r w:rsidR="007C1196" w:rsidRPr="00781FFE">
        <w:rPr>
          <w:sz w:val="22"/>
          <w:szCs w:val="22"/>
        </w:rPr>
        <w:t>2014-15</w:t>
      </w:r>
      <w:r w:rsidR="001550D1" w:rsidRPr="00781FFE">
        <w:rPr>
          <w:sz w:val="22"/>
          <w:szCs w:val="22"/>
        </w:rPr>
        <w:t xml:space="preserve"> and </w:t>
      </w:r>
      <w:r w:rsidR="002B6020" w:rsidRPr="00781FFE">
        <w:rPr>
          <w:sz w:val="22"/>
          <w:szCs w:val="22"/>
        </w:rPr>
        <w:t xml:space="preserve">have </w:t>
      </w:r>
      <w:r w:rsidR="001550D1" w:rsidRPr="00781FFE">
        <w:rPr>
          <w:sz w:val="22"/>
          <w:szCs w:val="22"/>
        </w:rPr>
        <w:t xml:space="preserve">projected the capital additions for FY </w:t>
      </w:r>
      <w:r w:rsidR="002B6020" w:rsidRPr="00781FFE">
        <w:rPr>
          <w:sz w:val="22"/>
          <w:szCs w:val="22"/>
        </w:rPr>
        <w:t>2015-16</w:t>
      </w:r>
      <w:r w:rsidR="001550D1" w:rsidRPr="00781FFE">
        <w:rPr>
          <w:sz w:val="22"/>
          <w:szCs w:val="22"/>
        </w:rPr>
        <w:t xml:space="preserve">. </w:t>
      </w:r>
      <w:r w:rsidR="005A17F7" w:rsidRPr="00781FFE">
        <w:rPr>
          <w:sz w:val="22"/>
          <w:szCs w:val="22"/>
        </w:rPr>
        <w:t xml:space="preserve">Company has already taken in principle approval of Hon’ble Commission </w:t>
      </w:r>
      <w:r w:rsidR="00E82BEC" w:rsidRPr="00781FFE">
        <w:rPr>
          <w:sz w:val="22"/>
          <w:szCs w:val="22"/>
        </w:rPr>
        <w:t>of the same</w:t>
      </w:r>
      <w:r w:rsidR="005A17F7" w:rsidRPr="00781FFE">
        <w:rPr>
          <w:sz w:val="22"/>
          <w:szCs w:val="22"/>
        </w:rPr>
        <w:t>.</w:t>
      </w:r>
      <w:r w:rsidR="00F34C57" w:rsidRPr="00781FFE">
        <w:rPr>
          <w:sz w:val="22"/>
          <w:szCs w:val="22"/>
        </w:rPr>
        <w:t xml:space="preserve"> </w:t>
      </w:r>
      <w:r w:rsidR="005A17F7" w:rsidRPr="00781FFE">
        <w:rPr>
          <w:sz w:val="22"/>
          <w:szCs w:val="22"/>
        </w:rPr>
        <w:t xml:space="preserve"> Besides, Company has incurred </w:t>
      </w:r>
      <w:r w:rsidR="00F34C57" w:rsidRPr="00781FFE">
        <w:rPr>
          <w:sz w:val="22"/>
          <w:szCs w:val="22"/>
        </w:rPr>
        <w:t xml:space="preserve">certain capital expenditure </w:t>
      </w:r>
      <w:r w:rsidR="005A17F7" w:rsidRPr="00781FFE">
        <w:rPr>
          <w:sz w:val="22"/>
          <w:szCs w:val="22"/>
        </w:rPr>
        <w:t>to meet the exigencies and for smooth operation of the Company.</w:t>
      </w:r>
      <w:r w:rsidR="00DA10D3" w:rsidRPr="00781FFE">
        <w:rPr>
          <w:sz w:val="22"/>
          <w:szCs w:val="22"/>
        </w:rPr>
        <w:t xml:space="preserve">  These expenditures were essentials and the same have been capitalized on the recommendation of statutory / Govt. Auditors. </w:t>
      </w:r>
      <w:r w:rsidR="000510DE" w:rsidRPr="00781FFE">
        <w:rPr>
          <w:sz w:val="22"/>
          <w:szCs w:val="22"/>
        </w:rPr>
        <w:t xml:space="preserve"> </w:t>
      </w:r>
      <w:r w:rsidR="001550D1" w:rsidRPr="00781FFE">
        <w:rPr>
          <w:sz w:val="22"/>
          <w:szCs w:val="22"/>
        </w:rPr>
        <w:t>The Hon’ble Commission is</w:t>
      </w:r>
      <w:r w:rsidR="00387688" w:rsidRPr="00781FFE">
        <w:rPr>
          <w:sz w:val="22"/>
          <w:szCs w:val="22"/>
        </w:rPr>
        <w:t>, therefore,</w:t>
      </w:r>
      <w:r w:rsidR="001550D1" w:rsidRPr="00781FFE">
        <w:rPr>
          <w:sz w:val="22"/>
          <w:szCs w:val="22"/>
        </w:rPr>
        <w:t xml:space="preserve"> requested to true- up the Capital additions from FY </w:t>
      </w:r>
      <w:r w:rsidR="00387688" w:rsidRPr="00781FFE">
        <w:rPr>
          <w:sz w:val="22"/>
          <w:szCs w:val="22"/>
        </w:rPr>
        <w:t>2012-13</w:t>
      </w:r>
      <w:r w:rsidR="001550D1" w:rsidRPr="00781FFE">
        <w:rPr>
          <w:sz w:val="22"/>
          <w:szCs w:val="22"/>
        </w:rPr>
        <w:t xml:space="preserve"> to FY </w:t>
      </w:r>
      <w:r w:rsidR="00387688" w:rsidRPr="00781FFE">
        <w:rPr>
          <w:sz w:val="22"/>
          <w:szCs w:val="22"/>
        </w:rPr>
        <w:t>2014-15</w:t>
      </w:r>
      <w:r w:rsidR="001550D1" w:rsidRPr="00781FFE">
        <w:rPr>
          <w:sz w:val="22"/>
          <w:szCs w:val="22"/>
        </w:rPr>
        <w:t xml:space="preserve"> and approve the projections for FY </w:t>
      </w:r>
      <w:r w:rsidR="005C7705" w:rsidRPr="00781FFE">
        <w:rPr>
          <w:sz w:val="22"/>
          <w:szCs w:val="22"/>
        </w:rPr>
        <w:t>2015-16</w:t>
      </w:r>
      <w:r w:rsidR="001550D1" w:rsidRPr="00781FFE">
        <w:rPr>
          <w:sz w:val="22"/>
          <w:szCs w:val="22"/>
        </w:rPr>
        <w:t>.</w:t>
      </w:r>
      <w:r w:rsidR="002B1700" w:rsidRPr="00781FFE">
        <w:rPr>
          <w:sz w:val="22"/>
          <w:szCs w:val="22"/>
        </w:rPr>
        <w:t xml:space="preserve">  </w:t>
      </w:r>
      <w:r w:rsidR="00781FFE">
        <w:rPr>
          <w:sz w:val="22"/>
          <w:szCs w:val="22"/>
        </w:rPr>
        <w:t xml:space="preserve">Besides, Company has incurred certain other capital expenditure to meet the exigencies and for smooth operation of the Company. The Hon’ble Commission is requested to true- up the </w:t>
      </w:r>
      <w:r w:rsidR="00781FFE">
        <w:rPr>
          <w:sz w:val="22"/>
          <w:szCs w:val="22"/>
        </w:rPr>
        <w:lastRenderedPageBreak/>
        <w:t>Capital additions made by the Company from FY 2012-13 to 2014-15 and approve the projections of capital additions for FY 2015-16.</w:t>
      </w:r>
      <w:r w:rsidR="000F7069">
        <w:rPr>
          <w:sz w:val="22"/>
          <w:szCs w:val="22"/>
        </w:rPr>
        <w:t xml:space="preserve"> </w:t>
      </w:r>
      <w:r w:rsidR="00904DDF">
        <w:rPr>
          <w:sz w:val="22"/>
          <w:szCs w:val="22"/>
        </w:rPr>
        <w:t xml:space="preserve">Detailed submissions on each of the subject matters </w:t>
      </w:r>
      <w:r w:rsidR="00292301">
        <w:rPr>
          <w:sz w:val="22"/>
          <w:szCs w:val="22"/>
        </w:rPr>
        <w:t xml:space="preserve">have been given in respective </w:t>
      </w:r>
      <w:r w:rsidR="00904DDF">
        <w:rPr>
          <w:sz w:val="22"/>
          <w:szCs w:val="22"/>
        </w:rPr>
        <w:t>Chapters</w:t>
      </w:r>
      <w:r w:rsidR="00C06D5A">
        <w:rPr>
          <w:sz w:val="22"/>
          <w:szCs w:val="22"/>
        </w:rPr>
        <w:t>.</w:t>
      </w:r>
    </w:p>
    <w:p w:rsidR="00E06EBD" w:rsidRDefault="00E06EBD" w:rsidP="009A28F9">
      <w:pPr>
        <w:spacing w:line="240" w:lineRule="auto"/>
        <w:rPr>
          <w:sz w:val="22"/>
          <w:szCs w:val="22"/>
        </w:rPr>
      </w:pPr>
    </w:p>
    <w:p w:rsidR="00CF5F10" w:rsidRDefault="00CF5F10" w:rsidP="00CF5F10">
      <w:pPr>
        <w:numPr>
          <w:ilvl w:val="0"/>
          <w:numId w:val="35"/>
        </w:numPr>
        <w:ind w:left="630" w:hanging="540"/>
        <w:rPr>
          <w:b/>
          <w:bCs/>
          <w:sz w:val="22"/>
          <w:szCs w:val="22"/>
        </w:rPr>
      </w:pPr>
      <w:r>
        <w:rPr>
          <w:sz w:val="22"/>
          <w:szCs w:val="22"/>
        </w:rPr>
        <w:t xml:space="preserve">It is submitted that </w:t>
      </w:r>
      <w:r w:rsidRPr="00FB30FE">
        <w:rPr>
          <w:sz w:val="22"/>
          <w:szCs w:val="22"/>
        </w:rPr>
        <w:t xml:space="preserve">SLDC Delhi has been backing down the generation of the stations depending on the requirement of power in Delhi. SLDC Delhi has been giving instructions to back down </w:t>
      </w:r>
      <w:r w:rsidR="00B86BC9">
        <w:rPr>
          <w:sz w:val="22"/>
          <w:szCs w:val="22"/>
        </w:rPr>
        <w:t>partially</w:t>
      </w:r>
      <w:r w:rsidRPr="00FB30FE">
        <w:rPr>
          <w:sz w:val="22"/>
          <w:szCs w:val="22"/>
        </w:rPr>
        <w:t>, thus resulting in non optimization of fuel consumption</w:t>
      </w:r>
      <w:r>
        <w:rPr>
          <w:sz w:val="22"/>
          <w:szCs w:val="22"/>
        </w:rPr>
        <w:t xml:space="preserve"> and higher Heat Rate and Auxiliary Power Consumption</w:t>
      </w:r>
      <w:r w:rsidRPr="00FB30FE">
        <w:rPr>
          <w:sz w:val="22"/>
          <w:szCs w:val="22"/>
        </w:rPr>
        <w:t>.</w:t>
      </w:r>
      <w:r>
        <w:rPr>
          <w:sz w:val="22"/>
          <w:szCs w:val="22"/>
        </w:rPr>
        <w:t xml:space="preserve"> </w:t>
      </w:r>
      <w:r w:rsidRPr="00097BC3">
        <w:rPr>
          <w:b/>
          <w:bCs/>
          <w:sz w:val="22"/>
          <w:szCs w:val="22"/>
        </w:rPr>
        <w:t xml:space="preserve">Therefore, Hon’ble Commission is requested to direct SLDC </w:t>
      </w:r>
      <w:smartTag w:uri="urn:schemas-microsoft-com:office:smarttags" w:element="place">
        <w:smartTag w:uri="urn:schemas-microsoft-com:office:smarttags" w:element="City">
          <w:r w:rsidRPr="00097BC3">
            <w:rPr>
              <w:b/>
              <w:bCs/>
              <w:sz w:val="22"/>
              <w:szCs w:val="22"/>
            </w:rPr>
            <w:t>Delhi</w:t>
          </w:r>
        </w:smartTag>
      </w:smartTag>
      <w:r w:rsidRPr="00097BC3">
        <w:rPr>
          <w:b/>
          <w:bCs/>
          <w:sz w:val="22"/>
          <w:szCs w:val="22"/>
        </w:rPr>
        <w:t xml:space="preserve"> to back down any of the complete block of the station only and not partially. Further, it is requested that frequent backing down should not be resorted by SLDC. </w:t>
      </w:r>
    </w:p>
    <w:p w:rsidR="00923683" w:rsidRDefault="00923683" w:rsidP="00923683">
      <w:pPr>
        <w:numPr>
          <w:ilvl w:val="0"/>
          <w:numId w:val="35"/>
        </w:numPr>
        <w:ind w:left="630" w:hanging="540"/>
        <w:rPr>
          <w:sz w:val="22"/>
          <w:szCs w:val="22"/>
        </w:rPr>
      </w:pPr>
      <w:r>
        <w:rPr>
          <w:sz w:val="22"/>
          <w:szCs w:val="22"/>
        </w:rPr>
        <w:t>The Hon’ble Commission has extended the principles of MYT control period FY 2012-13 to 2014-15 to the next FY 2015-16. It is submitted that CERC has issued Central Electricity Regulatory Commission (Terms and Conditions of Tariff), Regulations, 2014. The Central Commission has modified number of parameters in the regulations. DERC MYT Regulations were framed in the year 2011 for the control period from FY 2012-13 to FY 2014-15.</w:t>
      </w:r>
      <w:r w:rsidRPr="004B1BC2">
        <w:rPr>
          <w:sz w:val="22"/>
          <w:szCs w:val="22"/>
        </w:rPr>
        <w:t xml:space="preserve"> </w:t>
      </w:r>
      <w:r>
        <w:rPr>
          <w:sz w:val="22"/>
          <w:szCs w:val="22"/>
        </w:rPr>
        <w:t>It may be appreciated that various circumstances and applicable principles have now changed. Hence, the principles as mentioned in the MYT Regulations cannot be extended in Toto for the financial year 2015-16. Among the tariff related provisions, the State Electricity Regulatory Commission (SERC) has to be guided by National Electricity Policy, National Tariff Policy</w:t>
      </w:r>
      <w:r w:rsidRPr="009C482D">
        <w:rPr>
          <w:sz w:val="22"/>
          <w:szCs w:val="22"/>
        </w:rPr>
        <w:t xml:space="preserve"> </w:t>
      </w:r>
      <w:r>
        <w:rPr>
          <w:sz w:val="22"/>
          <w:szCs w:val="22"/>
        </w:rPr>
        <w:t xml:space="preserve">and CERC Regulations. It is submitted that the extension of the principles of MYT Regulations for FY 2015-16 is detrimental to the interest of the Company on number of aspects. It is prayed that the norms for FY 2015-16 may kindly be taken in line with new CERC Tariff Regulations 2014. </w:t>
      </w:r>
    </w:p>
    <w:p w:rsidR="00923683" w:rsidRDefault="00923683" w:rsidP="00DE1ED0">
      <w:pPr>
        <w:spacing w:line="240" w:lineRule="auto"/>
        <w:ind w:left="630" w:hanging="540"/>
        <w:rPr>
          <w:sz w:val="22"/>
          <w:szCs w:val="22"/>
        </w:rPr>
      </w:pPr>
    </w:p>
    <w:p w:rsidR="00923683" w:rsidRDefault="00923683" w:rsidP="00923683">
      <w:pPr>
        <w:numPr>
          <w:ilvl w:val="0"/>
          <w:numId w:val="35"/>
        </w:numPr>
        <w:ind w:left="630" w:hanging="540"/>
        <w:rPr>
          <w:bCs/>
          <w:sz w:val="22"/>
          <w:szCs w:val="22"/>
        </w:rPr>
      </w:pPr>
      <w:r w:rsidRPr="00257840">
        <w:rPr>
          <w:bCs/>
          <w:sz w:val="22"/>
          <w:szCs w:val="22"/>
        </w:rPr>
        <w:t xml:space="preserve">The petitioner </w:t>
      </w:r>
      <w:r>
        <w:rPr>
          <w:bCs/>
          <w:sz w:val="22"/>
          <w:szCs w:val="22"/>
        </w:rPr>
        <w:t xml:space="preserve">prays to the Hon’ble </w:t>
      </w:r>
      <w:r w:rsidRPr="00257840">
        <w:rPr>
          <w:bCs/>
          <w:sz w:val="22"/>
          <w:szCs w:val="22"/>
        </w:rPr>
        <w:t xml:space="preserve">Commission to </w:t>
      </w:r>
      <w:r>
        <w:rPr>
          <w:bCs/>
          <w:sz w:val="22"/>
          <w:szCs w:val="22"/>
        </w:rPr>
        <w:t xml:space="preserve">consider and </w:t>
      </w:r>
      <w:r w:rsidRPr="00257840">
        <w:rPr>
          <w:bCs/>
          <w:sz w:val="22"/>
          <w:szCs w:val="22"/>
        </w:rPr>
        <w:t xml:space="preserve">relax the operational and financial parameters </w:t>
      </w:r>
      <w:r>
        <w:rPr>
          <w:bCs/>
          <w:sz w:val="22"/>
          <w:szCs w:val="22"/>
        </w:rPr>
        <w:t xml:space="preserve">as requested in the petition as per </w:t>
      </w:r>
      <w:r w:rsidRPr="009645D2">
        <w:rPr>
          <w:bCs/>
          <w:sz w:val="22"/>
          <w:szCs w:val="22"/>
        </w:rPr>
        <w:t>clause</w:t>
      </w:r>
      <w:r>
        <w:rPr>
          <w:bCs/>
          <w:sz w:val="22"/>
          <w:szCs w:val="22"/>
        </w:rPr>
        <w:t>s</w:t>
      </w:r>
      <w:r w:rsidRPr="009645D2">
        <w:rPr>
          <w:bCs/>
          <w:sz w:val="22"/>
          <w:szCs w:val="22"/>
        </w:rPr>
        <w:t xml:space="preserve"> 7.5, 11.10, 11.14 of the MYT Regulations, </w:t>
      </w:r>
      <w:r>
        <w:rPr>
          <w:bCs/>
          <w:sz w:val="22"/>
          <w:szCs w:val="22"/>
        </w:rPr>
        <w:t>2011,</w:t>
      </w:r>
      <w:r w:rsidRPr="009645D2">
        <w:rPr>
          <w:bCs/>
          <w:sz w:val="22"/>
          <w:szCs w:val="22"/>
        </w:rPr>
        <w:t xml:space="preserve"> in view of i</w:t>
      </w:r>
      <w:r>
        <w:rPr>
          <w:bCs/>
          <w:sz w:val="22"/>
          <w:szCs w:val="22"/>
        </w:rPr>
        <w:t>ts practical difficulties which are beyond its control.</w:t>
      </w:r>
      <w:r w:rsidRPr="00257840">
        <w:rPr>
          <w:bCs/>
          <w:sz w:val="22"/>
          <w:szCs w:val="22"/>
        </w:rPr>
        <w:t xml:space="preserve"> </w:t>
      </w:r>
      <w:r>
        <w:rPr>
          <w:bCs/>
          <w:sz w:val="22"/>
          <w:szCs w:val="22"/>
        </w:rPr>
        <w:t>The relevant clauses of the regulations are reproduced as under:</w:t>
      </w:r>
    </w:p>
    <w:p w:rsidR="00DE1ED0" w:rsidRDefault="00DE1ED0" w:rsidP="00DE1ED0">
      <w:pPr>
        <w:pStyle w:val="ListParagraph"/>
        <w:rPr>
          <w:bCs/>
          <w:sz w:val="22"/>
          <w:szCs w:val="22"/>
        </w:rPr>
      </w:pPr>
    </w:p>
    <w:p w:rsidR="00DE1ED0" w:rsidRDefault="00DE1ED0" w:rsidP="00DE1ED0">
      <w:pPr>
        <w:rPr>
          <w:bCs/>
          <w:sz w:val="22"/>
          <w:szCs w:val="22"/>
        </w:rPr>
      </w:pPr>
    </w:p>
    <w:p w:rsidR="00DE1ED0" w:rsidRDefault="00DE1ED0" w:rsidP="00DE1ED0">
      <w:pPr>
        <w:rPr>
          <w:bCs/>
          <w:sz w:val="22"/>
          <w:szCs w:val="22"/>
        </w:rPr>
      </w:pPr>
    </w:p>
    <w:p w:rsidR="00DE1ED0" w:rsidRDefault="00DE1ED0" w:rsidP="00DE1ED0">
      <w:pPr>
        <w:rPr>
          <w:bCs/>
          <w:sz w:val="22"/>
          <w:szCs w:val="22"/>
        </w:rPr>
      </w:pPr>
    </w:p>
    <w:p w:rsidR="00923683" w:rsidRPr="00E91EC6" w:rsidRDefault="00923683" w:rsidP="00923683">
      <w:pPr>
        <w:ind w:left="1440"/>
        <w:rPr>
          <w:b/>
        </w:rPr>
      </w:pPr>
      <w:r>
        <w:rPr>
          <w:b/>
        </w:rPr>
        <w:lastRenderedPageBreak/>
        <w:t xml:space="preserve">Clauses of MYT Regulations, 2011 </w:t>
      </w:r>
    </w:p>
    <w:p w:rsidR="00923683" w:rsidRPr="00A61AE4" w:rsidRDefault="00923683" w:rsidP="00923683">
      <w:pPr>
        <w:ind w:left="2160" w:hanging="720"/>
        <w:rPr>
          <w:rFonts w:ascii="Trebuchet MS" w:hAnsi="Trebuchet MS"/>
          <w:b/>
          <w:bCs/>
          <w:i/>
          <w:iCs/>
          <w:sz w:val="22"/>
          <w:szCs w:val="22"/>
        </w:rPr>
      </w:pPr>
      <w:r w:rsidRPr="00A61AE4">
        <w:rPr>
          <w:rFonts w:ascii="Trebuchet MS" w:hAnsi="Trebuchet MS"/>
          <w:b/>
          <w:bCs/>
          <w:i/>
          <w:iCs/>
        </w:rPr>
        <w:t>“7.</w:t>
      </w:r>
      <w:r w:rsidRPr="00A61AE4">
        <w:rPr>
          <w:rFonts w:ascii="Trebuchet MS" w:hAnsi="Trebuchet MS"/>
          <w:b/>
          <w:bCs/>
          <w:i/>
          <w:iCs/>
          <w:sz w:val="22"/>
          <w:szCs w:val="22"/>
        </w:rPr>
        <w:t>5</w:t>
      </w:r>
      <w:r w:rsidRPr="00A61AE4">
        <w:rPr>
          <w:rFonts w:ascii="Trebuchet MS" w:hAnsi="Trebuchet MS"/>
          <w:b/>
          <w:bCs/>
          <w:i/>
          <w:iCs/>
          <w:sz w:val="22"/>
          <w:szCs w:val="22"/>
        </w:rPr>
        <w:tab/>
        <w:t xml:space="preserve">The Commission may prescribe relaxed operational norms including the norms of </w:t>
      </w:r>
      <w:r>
        <w:rPr>
          <w:rFonts w:ascii="Trebuchet MS" w:hAnsi="Trebuchet MS"/>
          <w:b/>
          <w:bCs/>
          <w:i/>
          <w:iCs/>
          <w:sz w:val="22"/>
          <w:szCs w:val="22"/>
        </w:rPr>
        <w:t xml:space="preserve">Normative Annual Plant Availability Factor contained </w:t>
      </w:r>
      <w:r w:rsidRPr="00A61AE4">
        <w:rPr>
          <w:rFonts w:ascii="Trebuchet MS" w:hAnsi="Trebuchet MS"/>
          <w:b/>
          <w:bCs/>
          <w:i/>
          <w:iCs/>
          <w:sz w:val="22"/>
          <w:szCs w:val="22"/>
        </w:rPr>
        <w:t xml:space="preserve"> in these Regulations for a generating station</w:t>
      </w:r>
      <w:r>
        <w:rPr>
          <w:rFonts w:ascii="Trebuchet MS" w:hAnsi="Trebuchet MS"/>
          <w:b/>
          <w:bCs/>
          <w:i/>
          <w:iCs/>
          <w:sz w:val="22"/>
          <w:szCs w:val="22"/>
        </w:rPr>
        <w:t>,</w:t>
      </w:r>
      <w:r w:rsidRPr="00A61AE4">
        <w:rPr>
          <w:rFonts w:ascii="Trebuchet MS" w:hAnsi="Trebuchet MS"/>
          <w:b/>
          <w:bCs/>
          <w:i/>
          <w:iCs/>
          <w:sz w:val="22"/>
          <w:szCs w:val="22"/>
        </w:rPr>
        <w:t xml:space="preserve"> and these relaxed norms shall be applicable for determination of tariff for such generating station during the Control Period.</w:t>
      </w:r>
    </w:p>
    <w:p w:rsidR="00923683" w:rsidRPr="00E91EC6" w:rsidRDefault="00923683" w:rsidP="00923683">
      <w:pPr>
        <w:ind w:left="720" w:hanging="720"/>
        <w:rPr>
          <w:rFonts w:ascii="Trebuchet MS" w:hAnsi="Trebuchet MS"/>
          <w:b/>
          <w:bCs/>
          <w:i/>
          <w:iCs/>
        </w:rPr>
      </w:pPr>
      <w:r w:rsidRPr="00A61AE4">
        <w:rPr>
          <w:rFonts w:ascii="Trebuchet MS" w:hAnsi="Trebuchet MS"/>
          <w:b/>
          <w:bCs/>
          <w:i/>
          <w:iCs/>
          <w:sz w:val="22"/>
          <w:szCs w:val="22"/>
        </w:rPr>
        <w:t xml:space="preserve"> </w:t>
      </w:r>
      <w:r w:rsidRPr="00A61AE4">
        <w:rPr>
          <w:rFonts w:ascii="Trebuchet MS" w:hAnsi="Trebuchet MS"/>
          <w:b/>
          <w:bCs/>
          <w:i/>
          <w:iCs/>
          <w:sz w:val="22"/>
          <w:szCs w:val="22"/>
        </w:rPr>
        <w:tab/>
      </w:r>
      <w:r w:rsidRPr="00A61AE4">
        <w:rPr>
          <w:rFonts w:ascii="Trebuchet MS" w:hAnsi="Trebuchet MS"/>
          <w:b/>
          <w:bCs/>
          <w:i/>
          <w:iCs/>
          <w:sz w:val="22"/>
          <w:szCs w:val="22"/>
        </w:rPr>
        <w:tab/>
      </w:r>
      <w:r w:rsidRPr="00E91EC6">
        <w:rPr>
          <w:rFonts w:ascii="Trebuchet MS" w:hAnsi="Trebuchet MS"/>
          <w:b/>
          <w:bCs/>
          <w:i/>
          <w:iCs/>
        </w:rPr>
        <w:t xml:space="preserve">Power of Relaxation </w:t>
      </w:r>
    </w:p>
    <w:p w:rsidR="00923683" w:rsidRPr="0032216A" w:rsidRDefault="00923683" w:rsidP="00923683">
      <w:pPr>
        <w:pStyle w:val="ListParagraph"/>
        <w:numPr>
          <w:ilvl w:val="1"/>
          <w:numId w:val="36"/>
        </w:numPr>
        <w:ind w:left="2160" w:hanging="720"/>
        <w:rPr>
          <w:rFonts w:ascii="Trebuchet MS" w:hAnsi="Trebuchet MS"/>
          <w:b/>
          <w:bCs/>
          <w:i/>
          <w:iCs/>
          <w:sz w:val="22"/>
          <w:szCs w:val="22"/>
        </w:rPr>
      </w:pPr>
      <w:r w:rsidRPr="0032216A">
        <w:rPr>
          <w:rFonts w:ascii="Trebuchet MS" w:hAnsi="Trebuchet MS"/>
          <w:b/>
          <w:bCs/>
          <w:i/>
          <w:iCs/>
          <w:sz w:val="22"/>
          <w:szCs w:val="22"/>
        </w:rPr>
        <w:t>The Commission may in public interest and for reason to be</w:t>
      </w:r>
      <w:r>
        <w:rPr>
          <w:rFonts w:ascii="Trebuchet MS" w:hAnsi="Trebuchet MS"/>
          <w:b/>
          <w:bCs/>
          <w:i/>
          <w:iCs/>
          <w:sz w:val="22"/>
          <w:szCs w:val="22"/>
        </w:rPr>
        <w:t xml:space="preserve"> </w:t>
      </w:r>
      <w:r w:rsidRPr="0032216A">
        <w:rPr>
          <w:rFonts w:ascii="Trebuchet MS" w:hAnsi="Trebuchet MS"/>
          <w:b/>
          <w:bCs/>
          <w:i/>
          <w:iCs/>
          <w:sz w:val="22"/>
          <w:szCs w:val="22"/>
        </w:rPr>
        <w:t xml:space="preserve">recorded in writing, relax any of the provision of these Regulations. </w:t>
      </w:r>
    </w:p>
    <w:p w:rsidR="00923683" w:rsidRPr="00A61AE4" w:rsidRDefault="00923683" w:rsidP="00923683">
      <w:pPr>
        <w:rPr>
          <w:rFonts w:ascii="Trebuchet MS" w:hAnsi="Trebuchet MS"/>
          <w:b/>
          <w:bCs/>
          <w:i/>
          <w:iCs/>
          <w:sz w:val="22"/>
          <w:szCs w:val="22"/>
        </w:rPr>
      </w:pPr>
    </w:p>
    <w:p w:rsidR="00923683" w:rsidRPr="00E91EC6" w:rsidRDefault="00923683" w:rsidP="00923683">
      <w:pPr>
        <w:ind w:left="720" w:hanging="720"/>
        <w:rPr>
          <w:rFonts w:ascii="Trebuchet MS" w:hAnsi="Trebuchet MS"/>
          <w:b/>
          <w:bCs/>
          <w:i/>
          <w:iCs/>
        </w:rPr>
      </w:pPr>
      <w:r w:rsidRPr="00A61AE4">
        <w:rPr>
          <w:rFonts w:ascii="Trebuchet MS" w:hAnsi="Trebuchet MS"/>
          <w:b/>
          <w:bCs/>
          <w:i/>
          <w:iCs/>
          <w:sz w:val="22"/>
          <w:szCs w:val="22"/>
        </w:rPr>
        <w:tab/>
      </w:r>
      <w:r w:rsidRPr="00A61AE4">
        <w:rPr>
          <w:rFonts w:ascii="Trebuchet MS" w:hAnsi="Trebuchet MS"/>
          <w:b/>
          <w:bCs/>
          <w:i/>
          <w:iCs/>
          <w:sz w:val="22"/>
          <w:szCs w:val="22"/>
        </w:rPr>
        <w:tab/>
      </w:r>
      <w:r w:rsidRPr="00E91EC6">
        <w:rPr>
          <w:rFonts w:ascii="Trebuchet MS" w:hAnsi="Trebuchet MS"/>
          <w:b/>
          <w:bCs/>
          <w:i/>
          <w:iCs/>
        </w:rPr>
        <w:t>Power to Amend</w:t>
      </w:r>
    </w:p>
    <w:p w:rsidR="00923683" w:rsidRPr="00A61AE4" w:rsidRDefault="00923683" w:rsidP="00923683">
      <w:pPr>
        <w:ind w:left="2160" w:hanging="720"/>
        <w:rPr>
          <w:rFonts w:ascii="Trebuchet MS" w:hAnsi="Trebuchet MS"/>
          <w:b/>
          <w:bCs/>
          <w:i/>
          <w:iCs/>
          <w:sz w:val="22"/>
          <w:szCs w:val="22"/>
        </w:rPr>
      </w:pPr>
      <w:r>
        <w:rPr>
          <w:rFonts w:ascii="Trebuchet MS" w:hAnsi="Trebuchet MS"/>
          <w:b/>
          <w:bCs/>
          <w:i/>
          <w:iCs/>
          <w:sz w:val="22"/>
          <w:szCs w:val="22"/>
        </w:rPr>
        <w:t>11.14</w:t>
      </w:r>
      <w:r>
        <w:rPr>
          <w:rFonts w:ascii="Trebuchet MS" w:hAnsi="Trebuchet MS"/>
          <w:b/>
          <w:bCs/>
          <w:i/>
          <w:iCs/>
          <w:sz w:val="22"/>
          <w:szCs w:val="22"/>
        </w:rPr>
        <w:tab/>
      </w:r>
      <w:r w:rsidRPr="00A61AE4">
        <w:rPr>
          <w:rFonts w:ascii="Trebuchet MS" w:hAnsi="Trebuchet MS"/>
          <w:b/>
          <w:bCs/>
          <w:i/>
          <w:iCs/>
          <w:sz w:val="22"/>
          <w:szCs w:val="22"/>
        </w:rPr>
        <w:t>The Commission, for reason</w:t>
      </w:r>
      <w:r>
        <w:rPr>
          <w:rFonts w:ascii="Trebuchet MS" w:hAnsi="Trebuchet MS"/>
          <w:b/>
          <w:bCs/>
          <w:i/>
          <w:iCs/>
          <w:sz w:val="22"/>
          <w:szCs w:val="22"/>
        </w:rPr>
        <w:t>s</w:t>
      </w:r>
      <w:r w:rsidRPr="00A61AE4">
        <w:rPr>
          <w:rFonts w:ascii="Trebuchet MS" w:hAnsi="Trebuchet MS"/>
          <w:b/>
          <w:bCs/>
          <w:i/>
          <w:iCs/>
          <w:sz w:val="22"/>
          <w:szCs w:val="22"/>
        </w:rPr>
        <w:t xml:space="preserve"> to be recorded in writing, may at any time vary, alter or modify any of the provision of these Regulations by amendment.”</w:t>
      </w:r>
    </w:p>
    <w:p w:rsidR="00923683" w:rsidRPr="00A61AE4" w:rsidRDefault="00923683" w:rsidP="00923683">
      <w:pPr>
        <w:ind w:left="1440"/>
        <w:rPr>
          <w:rFonts w:ascii="Trebuchet MS" w:hAnsi="Trebuchet MS"/>
          <w:b/>
          <w:bCs/>
          <w:i/>
          <w:iCs/>
          <w:sz w:val="22"/>
          <w:szCs w:val="22"/>
        </w:rPr>
      </w:pPr>
    </w:p>
    <w:p w:rsidR="00923683" w:rsidRDefault="00923683" w:rsidP="00923683">
      <w:pPr>
        <w:rPr>
          <w:b/>
          <w:sz w:val="22"/>
          <w:szCs w:val="22"/>
        </w:rPr>
      </w:pPr>
    </w:p>
    <w:p w:rsidR="00E06EBD" w:rsidRPr="00CF5F10" w:rsidRDefault="00E06EBD" w:rsidP="008B2858">
      <w:pPr>
        <w:pStyle w:val="ListParagraph"/>
        <w:ind w:left="1710"/>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E06EBD" w:rsidRDefault="00E06EBD" w:rsidP="00C55E90">
      <w:pPr>
        <w:rPr>
          <w:sz w:val="22"/>
          <w:szCs w:val="22"/>
        </w:rPr>
      </w:pPr>
    </w:p>
    <w:p w:rsidR="000F7069" w:rsidRDefault="000F7069">
      <w:pPr>
        <w:pStyle w:val="Heading1"/>
        <w:jc w:val="center"/>
      </w:pPr>
      <w:bookmarkStart w:id="9" w:name="_Ref146456383"/>
      <w:bookmarkStart w:id="10" w:name="_Toc411603916"/>
      <w:r>
        <w:lastRenderedPageBreak/>
        <w:t>: Estimation of Variable Cost</w:t>
      </w:r>
      <w:bookmarkEnd w:id="9"/>
      <w:bookmarkEnd w:id="10"/>
    </w:p>
    <w:p w:rsidR="000F7069" w:rsidRDefault="000F7069">
      <w:pPr>
        <w:pStyle w:val="StyleHeading216ptJustifiedLinespacing15lines"/>
        <w:numPr>
          <w:ilvl w:val="0"/>
          <w:numId w:val="0"/>
        </w:numPr>
        <w:rPr>
          <w:color w:val="000080"/>
        </w:rPr>
      </w:pPr>
    </w:p>
    <w:p w:rsidR="000F7069" w:rsidRDefault="000F7069">
      <w:pPr>
        <w:pStyle w:val="StyleHeading216ptJustifiedLinespacing15lines"/>
        <w:numPr>
          <w:ilvl w:val="0"/>
          <w:numId w:val="0"/>
        </w:numPr>
        <w:rPr>
          <w:szCs w:val="22"/>
        </w:rPr>
      </w:pPr>
      <w:bookmarkStart w:id="11" w:name="_Toc411603917"/>
      <w:r>
        <w:rPr>
          <w:color w:val="000080"/>
        </w:rPr>
        <w:t>3.1 Norms for Operation</w:t>
      </w:r>
      <w:bookmarkEnd w:id="11"/>
    </w:p>
    <w:p w:rsidR="00B2679E" w:rsidRDefault="00B2679E" w:rsidP="00B2679E">
      <w:pPr>
        <w:rPr>
          <w:sz w:val="22"/>
          <w:szCs w:val="22"/>
        </w:rPr>
      </w:pPr>
      <w:r>
        <w:rPr>
          <w:sz w:val="22"/>
          <w:szCs w:val="22"/>
        </w:rPr>
        <w:t xml:space="preserve">Petitioner has taken into consideration actual performance parameters for FY 2012-13 to 2014-15 and based on these, petitioner has projected the parameters for FY 2015-16.  </w:t>
      </w:r>
    </w:p>
    <w:p w:rsidR="00B2679E" w:rsidRDefault="00B2679E" w:rsidP="00DE1ED0">
      <w:pPr>
        <w:spacing w:line="240" w:lineRule="auto"/>
        <w:rPr>
          <w:sz w:val="22"/>
          <w:szCs w:val="22"/>
        </w:rPr>
      </w:pPr>
    </w:p>
    <w:p w:rsidR="00B2679E" w:rsidRDefault="00B2679E" w:rsidP="00B2679E">
      <w:pPr>
        <w:rPr>
          <w:u w:val="single"/>
        </w:rPr>
      </w:pPr>
      <w:r>
        <w:rPr>
          <w:sz w:val="22"/>
          <w:szCs w:val="22"/>
        </w:rPr>
        <w:t xml:space="preserve">Petitioner requests the Hon’ble Commission to take lenient and practical view while truing up for the period FY 2012-13 to 2013-14 , approval revised estimates for FY 2014-15 and fixing the operational targets for Control Period FY 2015-16, considering the factors and principles considered by Hon’ble CERC in its tariff regulation for  MYT Year  From FY 2014-15 to FY 2018-19. </w:t>
      </w:r>
    </w:p>
    <w:p w:rsidR="000F7069" w:rsidRDefault="000F7069">
      <w:pPr>
        <w:pStyle w:val="Heading6"/>
        <w:numPr>
          <w:ilvl w:val="0"/>
          <w:numId w:val="0"/>
        </w:numPr>
        <w:spacing w:before="0" w:after="0"/>
        <w:rPr>
          <w:b w:val="0"/>
          <w:bCs w:val="0"/>
        </w:rPr>
      </w:pPr>
    </w:p>
    <w:p w:rsidR="000F7069" w:rsidRDefault="000F7069">
      <w:pPr>
        <w:pStyle w:val="Heading6"/>
        <w:numPr>
          <w:ilvl w:val="0"/>
          <w:numId w:val="0"/>
        </w:numPr>
        <w:spacing w:before="0" w:after="0"/>
        <w:ind w:left="900" w:hanging="900"/>
      </w:pPr>
      <w:r>
        <w:t>3.1.1 Station Heat Rate</w:t>
      </w:r>
    </w:p>
    <w:p w:rsidR="000F7069" w:rsidRDefault="000F7069"/>
    <w:p w:rsidR="000F7069" w:rsidRDefault="000F7069">
      <w:pPr>
        <w:pStyle w:val="BodyText"/>
        <w:ind w:left="900" w:hanging="360"/>
        <w:rPr>
          <w:rFonts w:ascii="Century Gothic" w:hAnsi="Century Gothic"/>
          <w:szCs w:val="22"/>
        </w:rPr>
      </w:pPr>
      <w:r>
        <w:rPr>
          <w:rFonts w:ascii="Century Gothic" w:hAnsi="Century Gothic"/>
          <w:szCs w:val="22"/>
        </w:rPr>
        <w:t xml:space="preserve">1. Table1 </w:t>
      </w:r>
      <w:r w:rsidR="00950764">
        <w:rPr>
          <w:rFonts w:ascii="Century Gothic" w:hAnsi="Century Gothic"/>
          <w:szCs w:val="22"/>
        </w:rPr>
        <w:t>depicts</w:t>
      </w:r>
      <w:r>
        <w:rPr>
          <w:rFonts w:ascii="Century Gothic" w:hAnsi="Century Gothic"/>
          <w:szCs w:val="22"/>
        </w:rPr>
        <w:t xml:space="preserve"> the SHR values for </w:t>
      </w:r>
      <w:r w:rsidR="0019456B">
        <w:rPr>
          <w:rFonts w:ascii="Century Gothic" w:hAnsi="Century Gothic"/>
          <w:szCs w:val="22"/>
        </w:rPr>
        <w:t>PPS-I</w:t>
      </w:r>
      <w:r>
        <w:rPr>
          <w:rFonts w:ascii="Century Gothic" w:hAnsi="Century Gothic"/>
          <w:szCs w:val="22"/>
        </w:rPr>
        <w:t xml:space="preserve"> as achieved during </w:t>
      </w:r>
      <w:r w:rsidR="007A2C0E">
        <w:rPr>
          <w:rFonts w:ascii="Century Gothic" w:hAnsi="Century Gothic"/>
          <w:szCs w:val="22"/>
        </w:rPr>
        <w:t xml:space="preserve">the control period </w:t>
      </w:r>
      <w:r w:rsidR="00070DF6">
        <w:rPr>
          <w:szCs w:val="22"/>
        </w:rPr>
        <w:t xml:space="preserve">FY 2012-13 to 2013-14 &amp; FY 2014-15 </w:t>
      </w:r>
      <w:r>
        <w:rPr>
          <w:rFonts w:ascii="Century Gothic" w:hAnsi="Century Gothic"/>
          <w:szCs w:val="22"/>
        </w:rPr>
        <w:t>and projected</w:t>
      </w:r>
      <w:r w:rsidR="00082A1B">
        <w:rPr>
          <w:rFonts w:ascii="Century Gothic" w:hAnsi="Century Gothic"/>
          <w:szCs w:val="22"/>
        </w:rPr>
        <w:t xml:space="preserve"> SHR</w:t>
      </w:r>
      <w:r>
        <w:rPr>
          <w:rFonts w:ascii="Century Gothic" w:hAnsi="Century Gothic"/>
          <w:szCs w:val="22"/>
        </w:rPr>
        <w:t xml:space="preserve"> for </w:t>
      </w:r>
      <w:r w:rsidR="000421B7">
        <w:rPr>
          <w:rFonts w:ascii="Century Gothic" w:hAnsi="Century Gothic"/>
          <w:szCs w:val="22"/>
        </w:rPr>
        <w:t>FY 201</w:t>
      </w:r>
      <w:r w:rsidR="00070DF6">
        <w:rPr>
          <w:rFonts w:ascii="Century Gothic" w:hAnsi="Century Gothic"/>
          <w:szCs w:val="22"/>
        </w:rPr>
        <w:t>5-16</w:t>
      </w:r>
      <w:r>
        <w:rPr>
          <w:rFonts w:ascii="Century Gothic" w:hAnsi="Century Gothic"/>
          <w:szCs w:val="22"/>
        </w:rPr>
        <w:t>.</w:t>
      </w:r>
    </w:p>
    <w:p w:rsidR="000F7069" w:rsidRDefault="00954F40" w:rsidP="00954F40">
      <w:pPr>
        <w:pStyle w:val="Caption"/>
        <w:jc w:val="center"/>
        <w:rPr>
          <w:sz w:val="20"/>
        </w:rPr>
      </w:pPr>
      <w:bookmarkStart w:id="12" w:name="_Toc173137751"/>
      <w:bookmarkStart w:id="13" w:name="_Toc174196335"/>
      <w:bookmarkStart w:id="14" w:name="_Toc411525176"/>
      <w:r>
        <w:t xml:space="preserve">Table </w:t>
      </w:r>
      <w:fldSimple w:instr=" SEQ Table \* ARABIC ">
        <w:r w:rsidR="000F406F">
          <w:rPr>
            <w:noProof/>
          </w:rPr>
          <w:t>1</w:t>
        </w:r>
      </w:fldSimple>
      <w:r>
        <w:t xml:space="preserve"> :</w:t>
      </w:r>
      <w:r w:rsidR="000F7069" w:rsidRPr="0083563F">
        <w:t xml:space="preserve"> Station Heat Rates (</w:t>
      </w:r>
      <w:r w:rsidR="00767DD8" w:rsidRPr="0083563F">
        <w:t>kC</w:t>
      </w:r>
      <w:r w:rsidR="000F7069" w:rsidRPr="0083563F">
        <w:t>al/</w:t>
      </w:r>
      <w:r w:rsidR="00767DD8" w:rsidRPr="0083563F">
        <w:t>k</w:t>
      </w:r>
      <w:r w:rsidR="000F7069" w:rsidRPr="0083563F">
        <w:t xml:space="preserve">Wh) for </w:t>
      </w:r>
      <w:r w:rsidR="0019456B" w:rsidRPr="0083563F">
        <w:t>PPS-I</w:t>
      </w:r>
      <w:bookmarkEnd w:id="12"/>
      <w:bookmarkEnd w:id="13"/>
      <w:bookmarkEnd w:id="14"/>
    </w:p>
    <w:tbl>
      <w:tblPr>
        <w:tblW w:w="868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3"/>
        <w:gridCol w:w="1559"/>
        <w:gridCol w:w="1276"/>
        <w:gridCol w:w="1276"/>
        <w:gridCol w:w="821"/>
      </w:tblGrid>
      <w:tr w:rsidR="008814BB" w:rsidRPr="009F2D88" w:rsidTr="00DE1ED0">
        <w:trPr>
          <w:trHeight w:val="489"/>
        </w:trPr>
        <w:tc>
          <w:tcPr>
            <w:tcW w:w="3753" w:type="dxa"/>
            <w:shd w:val="clear" w:color="auto" w:fill="000080"/>
            <w:noWrap/>
            <w:vAlign w:val="center"/>
          </w:tcPr>
          <w:p w:rsidR="008814BB" w:rsidRPr="009F2D88" w:rsidRDefault="008814BB">
            <w:pPr>
              <w:spacing w:line="240" w:lineRule="auto"/>
              <w:rPr>
                <w:b/>
                <w:bCs/>
                <w:sz w:val="22"/>
                <w:szCs w:val="22"/>
              </w:rPr>
            </w:pPr>
            <w:r w:rsidRPr="009F2D88">
              <w:rPr>
                <w:b/>
                <w:bCs/>
                <w:sz w:val="22"/>
                <w:szCs w:val="22"/>
              </w:rPr>
              <w:t>Description</w:t>
            </w:r>
          </w:p>
        </w:tc>
        <w:tc>
          <w:tcPr>
            <w:tcW w:w="1559" w:type="dxa"/>
            <w:shd w:val="clear" w:color="auto" w:fill="000080"/>
            <w:vAlign w:val="center"/>
          </w:tcPr>
          <w:p w:rsidR="008814BB" w:rsidRPr="009F2D88" w:rsidRDefault="008814BB" w:rsidP="00545FB4">
            <w:pPr>
              <w:jc w:val="center"/>
              <w:rPr>
                <w:b/>
                <w:bCs/>
                <w:sz w:val="22"/>
                <w:szCs w:val="22"/>
              </w:rPr>
            </w:pPr>
            <w:r w:rsidRPr="009F2D88">
              <w:rPr>
                <w:b/>
                <w:bCs/>
                <w:sz w:val="22"/>
                <w:szCs w:val="22"/>
              </w:rPr>
              <w:t>12-13</w:t>
            </w:r>
          </w:p>
        </w:tc>
        <w:tc>
          <w:tcPr>
            <w:tcW w:w="1276" w:type="dxa"/>
            <w:shd w:val="clear" w:color="auto" w:fill="000080"/>
            <w:noWrap/>
            <w:vAlign w:val="center"/>
          </w:tcPr>
          <w:p w:rsidR="008814BB" w:rsidRPr="009F2D88" w:rsidRDefault="008814BB" w:rsidP="00545FB4">
            <w:pPr>
              <w:jc w:val="center"/>
              <w:rPr>
                <w:b/>
                <w:bCs/>
                <w:sz w:val="22"/>
                <w:szCs w:val="22"/>
              </w:rPr>
            </w:pPr>
            <w:r w:rsidRPr="009F2D88">
              <w:rPr>
                <w:b/>
                <w:bCs/>
                <w:sz w:val="22"/>
                <w:szCs w:val="22"/>
              </w:rPr>
              <w:t>13-14</w:t>
            </w:r>
          </w:p>
        </w:tc>
        <w:tc>
          <w:tcPr>
            <w:tcW w:w="1276" w:type="dxa"/>
            <w:shd w:val="clear" w:color="auto" w:fill="000080"/>
            <w:noWrap/>
            <w:vAlign w:val="center"/>
          </w:tcPr>
          <w:p w:rsidR="008814BB" w:rsidRPr="009F2D88" w:rsidRDefault="008814BB" w:rsidP="00545FB4">
            <w:pPr>
              <w:jc w:val="center"/>
              <w:rPr>
                <w:b/>
                <w:bCs/>
                <w:sz w:val="22"/>
                <w:szCs w:val="22"/>
              </w:rPr>
            </w:pPr>
            <w:r w:rsidRPr="009F2D88">
              <w:rPr>
                <w:b/>
                <w:bCs/>
                <w:sz w:val="22"/>
                <w:szCs w:val="22"/>
              </w:rPr>
              <w:t>14-15</w:t>
            </w:r>
          </w:p>
        </w:tc>
        <w:tc>
          <w:tcPr>
            <w:tcW w:w="821" w:type="dxa"/>
            <w:shd w:val="clear" w:color="auto" w:fill="000080"/>
            <w:noWrap/>
            <w:vAlign w:val="center"/>
          </w:tcPr>
          <w:p w:rsidR="008814BB" w:rsidRPr="009F2D88" w:rsidRDefault="008814BB" w:rsidP="00954F40">
            <w:pPr>
              <w:jc w:val="center"/>
              <w:rPr>
                <w:b/>
                <w:bCs/>
                <w:sz w:val="22"/>
                <w:szCs w:val="22"/>
              </w:rPr>
            </w:pPr>
            <w:r>
              <w:rPr>
                <w:b/>
                <w:bCs/>
                <w:sz w:val="22"/>
                <w:szCs w:val="22"/>
              </w:rPr>
              <w:t>15-16</w:t>
            </w:r>
          </w:p>
        </w:tc>
      </w:tr>
      <w:tr w:rsidR="004045B5" w:rsidRPr="009F2D88" w:rsidTr="00DE1ED0">
        <w:trPr>
          <w:trHeight w:val="600"/>
        </w:trPr>
        <w:tc>
          <w:tcPr>
            <w:tcW w:w="3753" w:type="dxa"/>
            <w:noWrap/>
            <w:vAlign w:val="center"/>
          </w:tcPr>
          <w:p w:rsidR="004045B5" w:rsidRPr="009F2D88" w:rsidRDefault="004045B5" w:rsidP="00954F40">
            <w:pPr>
              <w:spacing w:line="240" w:lineRule="auto"/>
              <w:rPr>
                <w:b/>
                <w:bCs/>
                <w:sz w:val="22"/>
                <w:szCs w:val="22"/>
              </w:rPr>
            </w:pPr>
            <w:r w:rsidRPr="009F2D88">
              <w:rPr>
                <w:b/>
                <w:bCs/>
                <w:sz w:val="22"/>
                <w:szCs w:val="22"/>
              </w:rPr>
              <w:t>Station Heat Rate (Combined Cycle)</w:t>
            </w:r>
          </w:p>
        </w:tc>
        <w:tc>
          <w:tcPr>
            <w:tcW w:w="1559" w:type="dxa"/>
            <w:vAlign w:val="center"/>
          </w:tcPr>
          <w:p w:rsidR="004045B5" w:rsidRPr="006D1252" w:rsidRDefault="000E611F" w:rsidP="00545FB4">
            <w:pPr>
              <w:jc w:val="center"/>
              <w:rPr>
                <w:rFonts w:cs="Arial"/>
                <w:sz w:val="22"/>
                <w:szCs w:val="22"/>
              </w:rPr>
            </w:pPr>
            <w:r w:rsidRPr="006D1252">
              <w:rPr>
                <w:rFonts w:cs="Arial"/>
                <w:sz w:val="22"/>
                <w:szCs w:val="22"/>
              </w:rPr>
              <w:t>1989</w:t>
            </w:r>
          </w:p>
        </w:tc>
        <w:tc>
          <w:tcPr>
            <w:tcW w:w="1276" w:type="dxa"/>
            <w:noWrap/>
            <w:vAlign w:val="center"/>
          </w:tcPr>
          <w:p w:rsidR="004045B5" w:rsidRPr="006D1252" w:rsidRDefault="000E611F" w:rsidP="00545FB4">
            <w:pPr>
              <w:jc w:val="center"/>
              <w:rPr>
                <w:rFonts w:cs="Arial"/>
                <w:sz w:val="22"/>
                <w:szCs w:val="22"/>
              </w:rPr>
            </w:pPr>
            <w:r w:rsidRPr="006D1252">
              <w:rPr>
                <w:rFonts w:cs="Arial"/>
                <w:sz w:val="22"/>
                <w:szCs w:val="22"/>
              </w:rPr>
              <w:t>1990</w:t>
            </w:r>
          </w:p>
        </w:tc>
        <w:tc>
          <w:tcPr>
            <w:tcW w:w="1276" w:type="dxa"/>
            <w:noWrap/>
            <w:vAlign w:val="center"/>
          </w:tcPr>
          <w:p w:rsidR="004045B5" w:rsidRPr="006D1252" w:rsidRDefault="00B70718" w:rsidP="00545FB4">
            <w:pPr>
              <w:jc w:val="center"/>
              <w:rPr>
                <w:rFonts w:cs="Arial"/>
                <w:sz w:val="22"/>
                <w:szCs w:val="22"/>
              </w:rPr>
            </w:pPr>
            <w:r w:rsidRPr="006D1252">
              <w:rPr>
                <w:rFonts w:cs="Arial"/>
                <w:sz w:val="22"/>
                <w:szCs w:val="22"/>
              </w:rPr>
              <w:t>2036</w:t>
            </w:r>
          </w:p>
        </w:tc>
        <w:tc>
          <w:tcPr>
            <w:tcW w:w="821" w:type="dxa"/>
            <w:noWrap/>
            <w:vAlign w:val="center"/>
          </w:tcPr>
          <w:p w:rsidR="004045B5" w:rsidRPr="006D1252" w:rsidRDefault="003F2FF0" w:rsidP="00545FB4">
            <w:pPr>
              <w:jc w:val="center"/>
              <w:rPr>
                <w:rFonts w:cs="Arial"/>
                <w:sz w:val="22"/>
                <w:szCs w:val="22"/>
              </w:rPr>
            </w:pPr>
            <w:r w:rsidRPr="006D1252">
              <w:rPr>
                <w:rFonts w:cs="Arial"/>
                <w:sz w:val="22"/>
                <w:szCs w:val="22"/>
              </w:rPr>
              <w:t>2036</w:t>
            </w:r>
          </w:p>
        </w:tc>
      </w:tr>
      <w:tr w:rsidR="004045B5" w:rsidRPr="009F2D88" w:rsidTr="00DE1ED0">
        <w:trPr>
          <w:trHeight w:val="600"/>
        </w:trPr>
        <w:tc>
          <w:tcPr>
            <w:tcW w:w="3753" w:type="dxa"/>
            <w:noWrap/>
            <w:vAlign w:val="center"/>
          </w:tcPr>
          <w:p w:rsidR="004045B5" w:rsidRPr="009F2D88" w:rsidRDefault="004045B5" w:rsidP="00954F40">
            <w:pPr>
              <w:spacing w:line="240" w:lineRule="auto"/>
              <w:rPr>
                <w:b/>
                <w:bCs/>
                <w:sz w:val="22"/>
                <w:szCs w:val="22"/>
              </w:rPr>
            </w:pPr>
            <w:r w:rsidRPr="009F2D88">
              <w:rPr>
                <w:b/>
                <w:bCs/>
                <w:sz w:val="22"/>
                <w:szCs w:val="22"/>
              </w:rPr>
              <w:t xml:space="preserve">Station Heat rate (Open Cycle) </w:t>
            </w:r>
          </w:p>
        </w:tc>
        <w:tc>
          <w:tcPr>
            <w:tcW w:w="1559" w:type="dxa"/>
            <w:vAlign w:val="center"/>
          </w:tcPr>
          <w:p w:rsidR="004045B5" w:rsidRPr="006D1252" w:rsidRDefault="000E611F" w:rsidP="00545FB4">
            <w:pPr>
              <w:jc w:val="center"/>
              <w:rPr>
                <w:rFonts w:cs="Arial"/>
                <w:sz w:val="22"/>
                <w:szCs w:val="22"/>
              </w:rPr>
            </w:pPr>
            <w:r w:rsidRPr="006D1252">
              <w:rPr>
                <w:rFonts w:cs="Arial"/>
                <w:sz w:val="22"/>
                <w:szCs w:val="22"/>
              </w:rPr>
              <w:t>3121</w:t>
            </w:r>
          </w:p>
        </w:tc>
        <w:tc>
          <w:tcPr>
            <w:tcW w:w="1276" w:type="dxa"/>
            <w:noWrap/>
            <w:vAlign w:val="center"/>
          </w:tcPr>
          <w:p w:rsidR="004045B5" w:rsidRPr="006D1252" w:rsidRDefault="000E611F" w:rsidP="00545FB4">
            <w:pPr>
              <w:jc w:val="center"/>
              <w:rPr>
                <w:rFonts w:cs="Arial"/>
                <w:sz w:val="22"/>
                <w:szCs w:val="22"/>
              </w:rPr>
            </w:pPr>
            <w:r w:rsidRPr="006D1252">
              <w:rPr>
                <w:rFonts w:cs="Arial"/>
                <w:sz w:val="22"/>
                <w:szCs w:val="22"/>
              </w:rPr>
              <w:t>3161</w:t>
            </w:r>
          </w:p>
        </w:tc>
        <w:tc>
          <w:tcPr>
            <w:tcW w:w="1276" w:type="dxa"/>
            <w:noWrap/>
            <w:vAlign w:val="center"/>
          </w:tcPr>
          <w:p w:rsidR="004045B5" w:rsidRPr="006D1252" w:rsidRDefault="000E611F" w:rsidP="00B70718">
            <w:pPr>
              <w:jc w:val="center"/>
              <w:rPr>
                <w:rFonts w:cs="Arial"/>
                <w:sz w:val="22"/>
                <w:szCs w:val="22"/>
              </w:rPr>
            </w:pPr>
            <w:r w:rsidRPr="006D1252">
              <w:rPr>
                <w:rFonts w:cs="Arial"/>
                <w:sz w:val="22"/>
                <w:szCs w:val="22"/>
              </w:rPr>
              <w:t>31</w:t>
            </w:r>
            <w:r w:rsidR="00B70718" w:rsidRPr="006D1252">
              <w:rPr>
                <w:rFonts w:cs="Arial"/>
                <w:sz w:val="22"/>
                <w:szCs w:val="22"/>
              </w:rPr>
              <w:t>35</w:t>
            </w:r>
          </w:p>
        </w:tc>
        <w:tc>
          <w:tcPr>
            <w:tcW w:w="821" w:type="dxa"/>
            <w:noWrap/>
            <w:vAlign w:val="center"/>
          </w:tcPr>
          <w:p w:rsidR="004045B5" w:rsidRPr="006D1252" w:rsidRDefault="00FA51AB" w:rsidP="00B70718">
            <w:pPr>
              <w:jc w:val="center"/>
              <w:rPr>
                <w:rFonts w:cs="Arial"/>
                <w:sz w:val="22"/>
                <w:szCs w:val="22"/>
              </w:rPr>
            </w:pPr>
            <w:r w:rsidRPr="006D1252">
              <w:rPr>
                <w:rFonts w:cs="Arial"/>
                <w:sz w:val="22"/>
                <w:szCs w:val="22"/>
              </w:rPr>
              <w:t>31</w:t>
            </w:r>
            <w:r w:rsidR="00B70718" w:rsidRPr="006D1252">
              <w:rPr>
                <w:rFonts w:cs="Arial"/>
                <w:sz w:val="22"/>
                <w:szCs w:val="22"/>
              </w:rPr>
              <w:t>35</w:t>
            </w:r>
          </w:p>
        </w:tc>
      </w:tr>
    </w:tbl>
    <w:p w:rsidR="000F7069" w:rsidRDefault="000F7069">
      <w:pPr>
        <w:pStyle w:val="BodyText"/>
        <w:rPr>
          <w:rFonts w:ascii="Century Gothic" w:hAnsi="Century Gothic"/>
          <w:szCs w:val="22"/>
        </w:rPr>
      </w:pPr>
    </w:p>
    <w:p w:rsidR="00804470" w:rsidRDefault="003C36AD" w:rsidP="0091490E">
      <w:pPr>
        <w:pStyle w:val="BodyText"/>
        <w:numPr>
          <w:ilvl w:val="0"/>
          <w:numId w:val="18"/>
        </w:numPr>
        <w:rPr>
          <w:rFonts w:ascii="Century Gothic" w:hAnsi="Century Gothic"/>
          <w:szCs w:val="22"/>
        </w:rPr>
      </w:pPr>
      <w:r w:rsidRPr="001F36DD">
        <w:rPr>
          <w:rFonts w:ascii="Century Gothic" w:hAnsi="Century Gothic"/>
          <w:szCs w:val="22"/>
        </w:rPr>
        <w:t xml:space="preserve">It is submitted that </w:t>
      </w:r>
      <w:r w:rsidR="000F7069" w:rsidRPr="001F36DD">
        <w:rPr>
          <w:rFonts w:ascii="Century Gothic" w:hAnsi="Century Gothic"/>
          <w:szCs w:val="22"/>
        </w:rPr>
        <w:t xml:space="preserve">it is not </w:t>
      </w:r>
      <w:r w:rsidR="00B30843" w:rsidRPr="001F36DD">
        <w:rPr>
          <w:rFonts w:ascii="Century Gothic" w:hAnsi="Century Gothic"/>
          <w:szCs w:val="22"/>
        </w:rPr>
        <w:t xml:space="preserve">always </w:t>
      </w:r>
      <w:r w:rsidR="000F7069" w:rsidRPr="001F36DD">
        <w:rPr>
          <w:rFonts w:ascii="Century Gothic" w:hAnsi="Century Gothic"/>
          <w:szCs w:val="22"/>
        </w:rPr>
        <w:t>possible to achieve SHR of 2000</w:t>
      </w:r>
      <w:r w:rsidR="000F7069">
        <w:rPr>
          <w:rFonts w:ascii="Century Gothic" w:hAnsi="Century Gothic"/>
          <w:szCs w:val="22"/>
        </w:rPr>
        <w:t xml:space="preserve"> </w:t>
      </w:r>
      <w:r w:rsidR="006C3CCE">
        <w:rPr>
          <w:rFonts w:ascii="Century Gothic" w:hAnsi="Century Gothic"/>
          <w:szCs w:val="22"/>
        </w:rPr>
        <w:t>kCal/kWh</w:t>
      </w:r>
      <w:r w:rsidR="00BA47FC">
        <w:rPr>
          <w:rFonts w:ascii="Century Gothic" w:hAnsi="Century Gothic"/>
          <w:szCs w:val="22"/>
        </w:rPr>
        <w:t xml:space="preserve"> in combined cycle mode </w:t>
      </w:r>
      <w:r w:rsidR="0011209A">
        <w:rPr>
          <w:rFonts w:ascii="Century Gothic" w:hAnsi="Century Gothic"/>
          <w:szCs w:val="22"/>
        </w:rPr>
        <w:t>and is</w:t>
      </w:r>
      <w:r w:rsidR="00B30843">
        <w:rPr>
          <w:rFonts w:ascii="Century Gothic" w:hAnsi="Century Gothic"/>
          <w:szCs w:val="22"/>
        </w:rPr>
        <w:t xml:space="preserve"> not at all </w:t>
      </w:r>
      <w:r w:rsidR="0011209A">
        <w:rPr>
          <w:rFonts w:ascii="Century Gothic" w:hAnsi="Century Gothic"/>
          <w:szCs w:val="22"/>
        </w:rPr>
        <w:t>possible to</w:t>
      </w:r>
      <w:r w:rsidR="00B30843">
        <w:rPr>
          <w:rFonts w:ascii="Century Gothic" w:hAnsi="Century Gothic"/>
          <w:szCs w:val="22"/>
        </w:rPr>
        <w:t xml:space="preserve"> achieve </w:t>
      </w:r>
      <w:r w:rsidR="00BA47FC">
        <w:rPr>
          <w:rFonts w:ascii="Century Gothic" w:hAnsi="Century Gothic"/>
          <w:szCs w:val="22"/>
        </w:rPr>
        <w:t>2900</w:t>
      </w:r>
      <w:r w:rsidR="0091490E">
        <w:rPr>
          <w:rFonts w:ascii="Century Gothic" w:hAnsi="Century Gothic"/>
          <w:szCs w:val="22"/>
        </w:rPr>
        <w:t xml:space="preserve"> </w:t>
      </w:r>
      <w:r w:rsidR="00BA47FC">
        <w:rPr>
          <w:rFonts w:ascii="Century Gothic" w:hAnsi="Century Gothic"/>
          <w:szCs w:val="22"/>
        </w:rPr>
        <w:t>kCal/kWh in open cycle mode</w:t>
      </w:r>
      <w:r w:rsidR="006C3CCE">
        <w:rPr>
          <w:rFonts w:ascii="Century Gothic" w:hAnsi="Century Gothic"/>
          <w:szCs w:val="22"/>
        </w:rPr>
        <w:t xml:space="preserve"> </w:t>
      </w:r>
      <w:r w:rsidR="000F7069">
        <w:rPr>
          <w:rFonts w:ascii="Century Gothic" w:hAnsi="Century Gothic"/>
          <w:szCs w:val="22"/>
        </w:rPr>
        <w:t xml:space="preserve">as </w:t>
      </w:r>
      <w:r w:rsidR="00F057E4">
        <w:rPr>
          <w:rFonts w:ascii="Century Gothic" w:hAnsi="Century Gothic"/>
          <w:szCs w:val="22"/>
        </w:rPr>
        <w:t xml:space="preserve">specified </w:t>
      </w:r>
      <w:r w:rsidR="000F7069" w:rsidRPr="00A80D32">
        <w:rPr>
          <w:rFonts w:ascii="Century Gothic" w:hAnsi="Century Gothic"/>
          <w:szCs w:val="22"/>
        </w:rPr>
        <w:t xml:space="preserve">in the </w:t>
      </w:r>
      <w:r w:rsidR="00603F88" w:rsidRPr="00A80D32">
        <w:rPr>
          <w:rFonts w:ascii="Century Gothic" w:hAnsi="Century Gothic"/>
          <w:szCs w:val="22"/>
        </w:rPr>
        <w:t xml:space="preserve">DERC </w:t>
      </w:r>
      <w:r w:rsidR="000F7069" w:rsidRPr="00A80D32">
        <w:rPr>
          <w:rFonts w:ascii="Century Gothic" w:hAnsi="Century Gothic"/>
          <w:szCs w:val="22"/>
        </w:rPr>
        <w:t>Regulations</w:t>
      </w:r>
      <w:r w:rsidR="00603F88" w:rsidRPr="00A80D32">
        <w:rPr>
          <w:rFonts w:ascii="Century Gothic" w:hAnsi="Century Gothic"/>
          <w:szCs w:val="22"/>
        </w:rPr>
        <w:t xml:space="preserve"> for MYT</w:t>
      </w:r>
      <w:r w:rsidR="00923D0A">
        <w:rPr>
          <w:rFonts w:ascii="Century Gothic" w:hAnsi="Century Gothic"/>
          <w:szCs w:val="22"/>
        </w:rPr>
        <w:t xml:space="preserve"> control period FY 2012-13 to FY 2014-15</w:t>
      </w:r>
      <w:r w:rsidR="000F7069" w:rsidRPr="00A80D32">
        <w:rPr>
          <w:rFonts w:ascii="Century Gothic" w:hAnsi="Century Gothic"/>
          <w:szCs w:val="22"/>
        </w:rPr>
        <w:t xml:space="preserve">. </w:t>
      </w:r>
      <w:r w:rsidR="00151F64" w:rsidRPr="00A80D32">
        <w:rPr>
          <w:rFonts w:ascii="Century Gothic" w:hAnsi="Century Gothic"/>
          <w:szCs w:val="22"/>
        </w:rPr>
        <w:t>The guaranteed heat rate of these turbines as given by</w:t>
      </w:r>
      <w:r w:rsidR="006F3950">
        <w:rPr>
          <w:rFonts w:ascii="Century Gothic" w:hAnsi="Century Gothic"/>
          <w:szCs w:val="22"/>
        </w:rPr>
        <w:t xml:space="preserve"> the manufacturer is</w:t>
      </w:r>
      <w:r w:rsidR="00151F64" w:rsidRPr="00A80D32">
        <w:rPr>
          <w:rFonts w:ascii="Century Gothic" w:hAnsi="Century Gothic"/>
          <w:szCs w:val="22"/>
        </w:rPr>
        <w:t xml:space="preserve"> 1939 k</w:t>
      </w:r>
      <w:r w:rsidR="006C3CCE">
        <w:rPr>
          <w:rFonts w:ascii="Century Gothic" w:hAnsi="Century Gothic"/>
          <w:szCs w:val="22"/>
        </w:rPr>
        <w:t>C</w:t>
      </w:r>
      <w:r w:rsidR="00151F64" w:rsidRPr="00A80D32">
        <w:rPr>
          <w:rFonts w:ascii="Century Gothic" w:hAnsi="Century Gothic"/>
          <w:szCs w:val="22"/>
        </w:rPr>
        <w:t>al/k</w:t>
      </w:r>
      <w:r w:rsidR="006C3CCE">
        <w:rPr>
          <w:rFonts w:ascii="Century Gothic" w:hAnsi="Century Gothic"/>
          <w:szCs w:val="22"/>
        </w:rPr>
        <w:t>W</w:t>
      </w:r>
      <w:r w:rsidR="00151F64" w:rsidRPr="00A80D32">
        <w:rPr>
          <w:rFonts w:ascii="Century Gothic" w:hAnsi="Century Gothic"/>
          <w:szCs w:val="22"/>
        </w:rPr>
        <w:t xml:space="preserve">h </w:t>
      </w:r>
      <w:r w:rsidR="006C3CCE">
        <w:rPr>
          <w:rFonts w:ascii="Century Gothic" w:hAnsi="Century Gothic"/>
          <w:szCs w:val="22"/>
        </w:rPr>
        <w:t xml:space="preserve">in combined cycle mode and 2986 kCal/kWh in open cycle mode </w:t>
      </w:r>
      <w:r w:rsidR="00151F64" w:rsidRPr="00A80D32">
        <w:rPr>
          <w:rFonts w:ascii="Century Gothic" w:hAnsi="Century Gothic"/>
          <w:szCs w:val="22"/>
        </w:rPr>
        <w:t>at 100% PLF</w:t>
      </w:r>
      <w:r w:rsidR="00EC0904">
        <w:rPr>
          <w:rFonts w:ascii="Century Gothic" w:hAnsi="Century Gothic"/>
          <w:szCs w:val="22"/>
        </w:rPr>
        <w:t xml:space="preserve">. </w:t>
      </w:r>
      <w:r w:rsidR="00B45DB3">
        <w:rPr>
          <w:rFonts w:ascii="Century Gothic" w:hAnsi="Century Gothic"/>
          <w:szCs w:val="22"/>
        </w:rPr>
        <w:t xml:space="preserve">CEA has </w:t>
      </w:r>
      <w:r w:rsidR="00FA2DDE" w:rsidRPr="00A80D32">
        <w:rPr>
          <w:rFonts w:ascii="Century Gothic" w:hAnsi="Century Gothic"/>
          <w:szCs w:val="22"/>
        </w:rPr>
        <w:t xml:space="preserve">computed </w:t>
      </w:r>
      <w:r w:rsidR="00B45DB3">
        <w:rPr>
          <w:rFonts w:ascii="Century Gothic" w:hAnsi="Century Gothic"/>
          <w:szCs w:val="22"/>
        </w:rPr>
        <w:t xml:space="preserve">the Combined Cycle heat rate </w:t>
      </w:r>
      <w:r w:rsidR="00FA2DDE" w:rsidRPr="00A80D32">
        <w:rPr>
          <w:rFonts w:ascii="Century Gothic" w:hAnsi="Century Gothic"/>
          <w:szCs w:val="22"/>
        </w:rPr>
        <w:t>as 1978 kCal/k</w:t>
      </w:r>
      <w:r w:rsidR="001822F1">
        <w:rPr>
          <w:rFonts w:ascii="Century Gothic" w:hAnsi="Century Gothic"/>
          <w:szCs w:val="22"/>
        </w:rPr>
        <w:t>W</w:t>
      </w:r>
      <w:r w:rsidR="00FA2DDE" w:rsidRPr="00A80D32">
        <w:rPr>
          <w:rFonts w:ascii="Century Gothic" w:hAnsi="Century Gothic"/>
          <w:szCs w:val="22"/>
        </w:rPr>
        <w:t>h</w:t>
      </w:r>
      <w:r w:rsidR="00A26238">
        <w:rPr>
          <w:rFonts w:ascii="Century Gothic" w:hAnsi="Century Gothic"/>
          <w:szCs w:val="22"/>
        </w:rPr>
        <w:t>.</w:t>
      </w:r>
      <w:r w:rsidR="00FA2DDE" w:rsidRPr="00A80D32">
        <w:rPr>
          <w:rFonts w:ascii="Century Gothic" w:hAnsi="Century Gothic"/>
          <w:szCs w:val="22"/>
        </w:rPr>
        <w:t xml:space="preserve">  </w:t>
      </w:r>
    </w:p>
    <w:p w:rsidR="0091490E" w:rsidRDefault="0091490E" w:rsidP="00804470">
      <w:pPr>
        <w:pStyle w:val="BodyText"/>
        <w:ind w:left="540"/>
        <w:rPr>
          <w:rFonts w:ascii="Century Gothic" w:hAnsi="Century Gothic"/>
          <w:szCs w:val="22"/>
        </w:rPr>
      </w:pPr>
    </w:p>
    <w:p w:rsidR="0091490E" w:rsidRPr="005B6075" w:rsidRDefault="004517A8" w:rsidP="00FA2DDE">
      <w:pPr>
        <w:pStyle w:val="BodyText"/>
        <w:numPr>
          <w:ilvl w:val="0"/>
          <w:numId w:val="18"/>
        </w:numPr>
        <w:rPr>
          <w:rFonts w:ascii="Century Gothic" w:hAnsi="Century Gothic"/>
          <w:szCs w:val="22"/>
        </w:rPr>
      </w:pPr>
      <w:r>
        <w:rPr>
          <w:rFonts w:ascii="Century Gothic" w:hAnsi="Century Gothic"/>
          <w:color w:val="000000"/>
          <w:szCs w:val="22"/>
        </w:rPr>
        <w:lastRenderedPageBreak/>
        <w:t xml:space="preserve">The Hon’ble Commission </w:t>
      </w:r>
      <w:r w:rsidR="00F73F9F">
        <w:rPr>
          <w:rFonts w:ascii="Century Gothic" w:hAnsi="Century Gothic"/>
          <w:color w:val="000000"/>
          <w:szCs w:val="22"/>
        </w:rPr>
        <w:t>in its Regulations at point 7.3(b) on operational norms for</w:t>
      </w:r>
      <w:r w:rsidR="00F73F9F" w:rsidRPr="0091490E">
        <w:rPr>
          <w:rFonts w:ascii="Century Gothic" w:hAnsi="Century Gothic"/>
          <w:color w:val="000000"/>
          <w:szCs w:val="22"/>
        </w:rPr>
        <w:t xml:space="preserve"> gross heat rate for newly Commissioned projects</w:t>
      </w:r>
      <w:r w:rsidR="00F73F9F">
        <w:rPr>
          <w:rFonts w:ascii="Century Gothic" w:hAnsi="Century Gothic"/>
          <w:color w:val="000000"/>
          <w:szCs w:val="22"/>
        </w:rPr>
        <w:t xml:space="preserve"> </w:t>
      </w:r>
      <w:r w:rsidR="00FB1D9D">
        <w:rPr>
          <w:rFonts w:ascii="Century Gothic" w:hAnsi="Century Gothic"/>
          <w:color w:val="000000"/>
          <w:szCs w:val="22"/>
        </w:rPr>
        <w:t>allowed an</w:t>
      </w:r>
      <w:r w:rsidR="001948E8">
        <w:rPr>
          <w:rFonts w:ascii="Century Gothic" w:hAnsi="Century Gothic"/>
          <w:color w:val="000000"/>
          <w:szCs w:val="22"/>
        </w:rPr>
        <w:t xml:space="preserve"> additional </w:t>
      </w:r>
      <w:r w:rsidR="00F73F9F">
        <w:rPr>
          <w:rFonts w:ascii="Century Gothic" w:hAnsi="Century Gothic"/>
          <w:color w:val="000000"/>
          <w:szCs w:val="22"/>
        </w:rPr>
        <w:t xml:space="preserve">factor of </w:t>
      </w:r>
      <w:r w:rsidR="0091490E" w:rsidRPr="0091490E">
        <w:rPr>
          <w:rFonts w:ascii="Century Gothic" w:hAnsi="Century Gothic"/>
          <w:color w:val="000000"/>
          <w:szCs w:val="22"/>
        </w:rPr>
        <w:t>5% over the designed heat rate</w:t>
      </w:r>
      <w:r w:rsidR="0091490E">
        <w:rPr>
          <w:rFonts w:ascii="Century Gothic" w:hAnsi="Century Gothic"/>
          <w:color w:val="000000"/>
          <w:szCs w:val="22"/>
        </w:rPr>
        <w:t>.</w:t>
      </w:r>
    </w:p>
    <w:p w:rsidR="005B6075" w:rsidRDefault="005B6075" w:rsidP="005B6075">
      <w:pPr>
        <w:pStyle w:val="BodyText"/>
        <w:rPr>
          <w:rFonts w:ascii="Century Gothic" w:hAnsi="Century Gothic"/>
          <w:szCs w:val="22"/>
        </w:rPr>
      </w:pPr>
    </w:p>
    <w:p w:rsidR="005B6075" w:rsidRDefault="00F41726" w:rsidP="00FA2DDE">
      <w:pPr>
        <w:pStyle w:val="BodyText"/>
        <w:numPr>
          <w:ilvl w:val="0"/>
          <w:numId w:val="18"/>
        </w:numPr>
        <w:rPr>
          <w:rFonts w:ascii="Century Gothic" w:hAnsi="Century Gothic"/>
          <w:szCs w:val="22"/>
        </w:rPr>
      </w:pPr>
      <w:r w:rsidRPr="00F41726">
        <w:rPr>
          <w:rFonts w:ascii="Century Gothic" w:hAnsi="Century Gothic"/>
          <w:szCs w:val="22"/>
        </w:rPr>
        <w:t>T</w:t>
      </w:r>
      <w:r w:rsidR="00D23719" w:rsidRPr="00F41726">
        <w:rPr>
          <w:rFonts w:ascii="Century Gothic" w:hAnsi="Century Gothic"/>
          <w:szCs w:val="22"/>
        </w:rPr>
        <w:t>he combined cycle heat rate</w:t>
      </w:r>
      <w:r w:rsidR="00D23719">
        <w:rPr>
          <w:rFonts w:ascii="Century Gothic" w:hAnsi="Century Gothic"/>
          <w:szCs w:val="22"/>
        </w:rPr>
        <w:t xml:space="preserve"> computes to 2036 kCal/kWh and </w:t>
      </w:r>
      <w:r>
        <w:rPr>
          <w:rFonts w:ascii="Century Gothic" w:hAnsi="Century Gothic"/>
          <w:szCs w:val="22"/>
        </w:rPr>
        <w:t xml:space="preserve">open cycle heat rate to </w:t>
      </w:r>
      <w:r w:rsidR="00D23719">
        <w:rPr>
          <w:rFonts w:ascii="Century Gothic" w:hAnsi="Century Gothic"/>
          <w:szCs w:val="22"/>
        </w:rPr>
        <w:t>3135</w:t>
      </w:r>
      <w:r w:rsidR="002660C4">
        <w:rPr>
          <w:rFonts w:ascii="Century Gothic" w:hAnsi="Century Gothic"/>
          <w:szCs w:val="22"/>
        </w:rPr>
        <w:t xml:space="preserve"> </w:t>
      </w:r>
      <w:r w:rsidR="00D23719">
        <w:rPr>
          <w:rFonts w:ascii="Century Gothic" w:hAnsi="Century Gothic"/>
          <w:szCs w:val="22"/>
        </w:rPr>
        <w:t xml:space="preserve">kCal/kWh </w:t>
      </w:r>
      <w:r>
        <w:rPr>
          <w:rFonts w:ascii="Century Gothic" w:hAnsi="Century Gothic"/>
          <w:szCs w:val="22"/>
        </w:rPr>
        <w:t>after applying the correction factor of 5%</w:t>
      </w:r>
      <w:r w:rsidR="00D23719">
        <w:rPr>
          <w:rFonts w:ascii="Century Gothic" w:hAnsi="Century Gothic"/>
          <w:szCs w:val="22"/>
        </w:rPr>
        <w:t>.</w:t>
      </w:r>
      <w:r w:rsidR="001948E8">
        <w:rPr>
          <w:rFonts w:ascii="Century Gothic" w:hAnsi="Century Gothic"/>
          <w:szCs w:val="22"/>
        </w:rPr>
        <w:t xml:space="preserve"> </w:t>
      </w:r>
    </w:p>
    <w:p w:rsidR="00B26601" w:rsidRDefault="00B26601" w:rsidP="00B26601">
      <w:pPr>
        <w:pStyle w:val="BodyText"/>
        <w:rPr>
          <w:rFonts w:ascii="Century Gothic" w:hAnsi="Century Gothic"/>
          <w:szCs w:val="22"/>
        </w:rPr>
      </w:pPr>
    </w:p>
    <w:p w:rsidR="00B26601" w:rsidRPr="00B26601" w:rsidRDefault="00B26601" w:rsidP="00B26601">
      <w:pPr>
        <w:pStyle w:val="BodyText"/>
        <w:numPr>
          <w:ilvl w:val="0"/>
          <w:numId w:val="18"/>
        </w:numPr>
        <w:rPr>
          <w:rFonts w:ascii="Century Gothic" w:hAnsi="Century Gothic"/>
          <w:szCs w:val="22"/>
        </w:rPr>
      </w:pPr>
      <w:r w:rsidRPr="00B26601">
        <w:rPr>
          <w:rFonts w:ascii="Century Gothic" w:hAnsi="Century Gothic"/>
          <w:szCs w:val="22"/>
        </w:rPr>
        <w:t xml:space="preserve">CEA  </w:t>
      </w:r>
      <w:r w:rsidR="00915AA5">
        <w:rPr>
          <w:rFonts w:ascii="Century Gothic" w:hAnsi="Century Gothic"/>
          <w:szCs w:val="22"/>
        </w:rPr>
        <w:t xml:space="preserve">has </w:t>
      </w:r>
      <w:r w:rsidRPr="00B26601">
        <w:rPr>
          <w:rFonts w:ascii="Century Gothic" w:hAnsi="Century Gothic"/>
          <w:szCs w:val="22"/>
        </w:rPr>
        <w:t>recognize</w:t>
      </w:r>
      <w:r w:rsidR="00915AA5">
        <w:rPr>
          <w:rFonts w:ascii="Century Gothic" w:hAnsi="Century Gothic"/>
          <w:szCs w:val="22"/>
        </w:rPr>
        <w:t>d</w:t>
      </w:r>
      <w:r w:rsidRPr="00B26601">
        <w:rPr>
          <w:rFonts w:ascii="Century Gothic" w:hAnsi="Century Gothic"/>
          <w:szCs w:val="22"/>
        </w:rPr>
        <w:t xml:space="preserve"> that the operation  efficiency  or heat rate and other performance parameters of a Thermal Power Station  depends on a number of factors which can be broadly classified as under:-</w:t>
      </w:r>
    </w:p>
    <w:p w:rsidR="00B26601" w:rsidRDefault="00B26601" w:rsidP="00B26601">
      <w:pPr>
        <w:numPr>
          <w:ilvl w:val="0"/>
          <w:numId w:val="23"/>
        </w:numPr>
        <w:rPr>
          <w:sz w:val="22"/>
          <w:szCs w:val="22"/>
        </w:rPr>
      </w:pPr>
      <w:r>
        <w:rPr>
          <w:sz w:val="22"/>
          <w:szCs w:val="22"/>
        </w:rPr>
        <w:t>Technology  and equipment</w:t>
      </w:r>
    </w:p>
    <w:p w:rsidR="00B26601" w:rsidRDefault="00B26601" w:rsidP="00B26601">
      <w:pPr>
        <w:numPr>
          <w:ilvl w:val="0"/>
          <w:numId w:val="23"/>
        </w:numPr>
        <w:rPr>
          <w:sz w:val="22"/>
          <w:szCs w:val="22"/>
        </w:rPr>
      </w:pPr>
      <w:r>
        <w:rPr>
          <w:sz w:val="22"/>
          <w:szCs w:val="22"/>
        </w:rPr>
        <w:t xml:space="preserve">Ambient Conditions </w:t>
      </w:r>
    </w:p>
    <w:p w:rsidR="00B26601" w:rsidRDefault="00B26601" w:rsidP="00B26601">
      <w:pPr>
        <w:numPr>
          <w:ilvl w:val="0"/>
          <w:numId w:val="23"/>
        </w:numPr>
        <w:rPr>
          <w:sz w:val="22"/>
          <w:szCs w:val="22"/>
        </w:rPr>
      </w:pPr>
      <w:r>
        <w:rPr>
          <w:sz w:val="22"/>
          <w:szCs w:val="22"/>
        </w:rPr>
        <w:t xml:space="preserve">Fuel Quality </w:t>
      </w:r>
    </w:p>
    <w:p w:rsidR="00B26601" w:rsidRDefault="00B26601" w:rsidP="00B26601">
      <w:pPr>
        <w:numPr>
          <w:ilvl w:val="0"/>
          <w:numId w:val="23"/>
        </w:numPr>
        <w:rPr>
          <w:sz w:val="22"/>
          <w:szCs w:val="22"/>
        </w:rPr>
      </w:pPr>
      <w:r>
        <w:rPr>
          <w:sz w:val="22"/>
          <w:szCs w:val="22"/>
        </w:rPr>
        <w:t xml:space="preserve">Plant operation and maintenance practices. </w:t>
      </w:r>
    </w:p>
    <w:p w:rsidR="00B26601" w:rsidRDefault="00B26601" w:rsidP="00B26601">
      <w:pPr>
        <w:numPr>
          <w:ilvl w:val="0"/>
          <w:numId w:val="23"/>
        </w:numPr>
        <w:rPr>
          <w:sz w:val="22"/>
          <w:szCs w:val="22"/>
        </w:rPr>
      </w:pPr>
      <w:r>
        <w:rPr>
          <w:sz w:val="22"/>
          <w:szCs w:val="22"/>
        </w:rPr>
        <w:t xml:space="preserve">Unit Sizes </w:t>
      </w:r>
    </w:p>
    <w:p w:rsidR="00B26601" w:rsidRPr="00AA26B8" w:rsidRDefault="00B26601" w:rsidP="0087381E">
      <w:pPr>
        <w:tabs>
          <w:tab w:val="left" w:pos="900"/>
        </w:tabs>
        <w:ind w:left="900" w:hanging="360"/>
        <w:rPr>
          <w:sz w:val="22"/>
          <w:szCs w:val="22"/>
        </w:rPr>
      </w:pPr>
      <w:r>
        <w:rPr>
          <w:sz w:val="22"/>
          <w:szCs w:val="22"/>
        </w:rPr>
        <w:t>6.</w:t>
      </w:r>
      <w:r>
        <w:rPr>
          <w:sz w:val="22"/>
          <w:szCs w:val="22"/>
        </w:rPr>
        <w:tab/>
      </w:r>
      <w:r w:rsidRPr="006D1252">
        <w:rPr>
          <w:sz w:val="22"/>
          <w:szCs w:val="22"/>
        </w:rPr>
        <w:t xml:space="preserve">It is submitted that </w:t>
      </w:r>
      <w:r w:rsidR="0087381E" w:rsidRPr="006D1252">
        <w:rPr>
          <w:sz w:val="22"/>
          <w:szCs w:val="22"/>
        </w:rPr>
        <w:t xml:space="preserve"> the Hon’ble Commission  has not considered the prayer made  by the petitioner  </w:t>
      </w:r>
      <w:r w:rsidR="0021766B" w:rsidRPr="006D1252">
        <w:rPr>
          <w:sz w:val="22"/>
          <w:szCs w:val="22"/>
        </w:rPr>
        <w:t xml:space="preserve">for allowing higher heat rate </w:t>
      </w:r>
      <w:r w:rsidR="0087381E" w:rsidRPr="006D1252">
        <w:rPr>
          <w:sz w:val="22"/>
          <w:szCs w:val="22"/>
        </w:rPr>
        <w:t xml:space="preserve">on the ground that same norms are also fixed for </w:t>
      </w:r>
      <w:r w:rsidR="00E1058C" w:rsidRPr="006D1252">
        <w:rPr>
          <w:sz w:val="22"/>
          <w:szCs w:val="22"/>
        </w:rPr>
        <w:t xml:space="preserve">359.577 MW </w:t>
      </w:r>
      <w:r w:rsidR="0087381E" w:rsidRPr="006D1252">
        <w:rPr>
          <w:sz w:val="22"/>
          <w:szCs w:val="22"/>
        </w:rPr>
        <w:t xml:space="preserve">Rajiv Gandhi Combined Cycle </w:t>
      </w:r>
      <w:r w:rsidR="0087381E" w:rsidRPr="006D1252">
        <w:t xml:space="preserve">Power Plant at Kayamkulam, a </w:t>
      </w:r>
      <w:r w:rsidR="0087381E" w:rsidRPr="006D1252">
        <w:rPr>
          <w:sz w:val="22"/>
          <w:szCs w:val="22"/>
        </w:rPr>
        <w:t>similar station of NTPC</w:t>
      </w:r>
      <w:r w:rsidR="00E1058C" w:rsidRPr="006D1252">
        <w:rPr>
          <w:sz w:val="22"/>
          <w:szCs w:val="22"/>
        </w:rPr>
        <w:t xml:space="preserve"> having  2x115.2 MW Gas Turbines + 1x129</w:t>
      </w:r>
      <w:r w:rsidR="0087381E" w:rsidRPr="006D1252">
        <w:rPr>
          <w:sz w:val="22"/>
          <w:szCs w:val="22"/>
        </w:rPr>
        <w:t>.</w:t>
      </w:r>
      <w:r w:rsidR="00E1058C" w:rsidRPr="006D1252">
        <w:rPr>
          <w:sz w:val="22"/>
          <w:szCs w:val="22"/>
        </w:rPr>
        <w:t>177 MW STG</w:t>
      </w:r>
      <w:r w:rsidR="00491FFB" w:rsidRPr="006D1252">
        <w:rPr>
          <w:sz w:val="22"/>
          <w:szCs w:val="22"/>
        </w:rPr>
        <w:t xml:space="preserve">. </w:t>
      </w:r>
      <w:r w:rsidR="00726729" w:rsidRPr="006D1252">
        <w:rPr>
          <w:sz w:val="22"/>
          <w:szCs w:val="22"/>
        </w:rPr>
        <w:t>In this regard</w:t>
      </w:r>
      <w:r w:rsidR="00495A44" w:rsidRPr="006D1252">
        <w:rPr>
          <w:sz w:val="22"/>
          <w:szCs w:val="22"/>
        </w:rPr>
        <w:t>,</w:t>
      </w:r>
      <w:r w:rsidR="00726729" w:rsidRPr="006D1252">
        <w:rPr>
          <w:sz w:val="22"/>
          <w:szCs w:val="22"/>
        </w:rPr>
        <w:t xml:space="preserve"> it is </w:t>
      </w:r>
      <w:r w:rsidR="0004702B" w:rsidRPr="006D1252">
        <w:rPr>
          <w:sz w:val="22"/>
          <w:szCs w:val="22"/>
        </w:rPr>
        <w:t>submitted</w:t>
      </w:r>
      <w:r w:rsidR="00726729" w:rsidRPr="006D1252">
        <w:rPr>
          <w:sz w:val="22"/>
          <w:szCs w:val="22"/>
        </w:rPr>
        <w:t xml:space="preserve"> that the ambient and operating conditions </w:t>
      </w:r>
      <w:r w:rsidR="007223D5" w:rsidRPr="006D1252">
        <w:rPr>
          <w:sz w:val="22"/>
          <w:szCs w:val="22"/>
        </w:rPr>
        <w:t>at Kayamkulam</w:t>
      </w:r>
      <w:r w:rsidR="00726729" w:rsidRPr="006D1252">
        <w:rPr>
          <w:sz w:val="22"/>
          <w:szCs w:val="22"/>
        </w:rPr>
        <w:t xml:space="preserve"> (Kerala</w:t>
      </w:r>
      <w:r w:rsidR="007223D5" w:rsidRPr="006D1252">
        <w:rPr>
          <w:sz w:val="22"/>
          <w:szCs w:val="22"/>
        </w:rPr>
        <w:t>) are</w:t>
      </w:r>
      <w:r w:rsidR="00726729" w:rsidRPr="006D1252">
        <w:rPr>
          <w:sz w:val="22"/>
          <w:szCs w:val="22"/>
        </w:rPr>
        <w:t xml:space="preserve"> different to the </w:t>
      </w:r>
      <w:r w:rsidR="007223D5" w:rsidRPr="006D1252">
        <w:rPr>
          <w:sz w:val="22"/>
          <w:szCs w:val="22"/>
        </w:rPr>
        <w:t>ambient conditions</w:t>
      </w:r>
      <w:r w:rsidR="00726729" w:rsidRPr="006D1252">
        <w:rPr>
          <w:sz w:val="22"/>
          <w:szCs w:val="22"/>
        </w:rPr>
        <w:t xml:space="preserve"> of Delhi</w:t>
      </w:r>
      <w:r w:rsidR="00B8563F" w:rsidRPr="006D1252">
        <w:rPr>
          <w:sz w:val="22"/>
          <w:szCs w:val="22"/>
        </w:rPr>
        <w:t xml:space="preserve">. The average </w:t>
      </w:r>
      <w:r w:rsidR="000C0499" w:rsidRPr="006D1252">
        <w:rPr>
          <w:sz w:val="22"/>
          <w:szCs w:val="22"/>
        </w:rPr>
        <w:t xml:space="preserve">yearly </w:t>
      </w:r>
      <w:r w:rsidR="00E1058C" w:rsidRPr="006D1252">
        <w:rPr>
          <w:sz w:val="22"/>
          <w:szCs w:val="22"/>
        </w:rPr>
        <w:t>temperature at</w:t>
      </w:r>
      <w:r w:rsidR="00B8563F" w:rsidRPr="006D1252">
        <w:rPr>
          <w:sz w:val="22"/>
          <w:szCs w:val="22"/>
        </w:rPr>
        <w:t xml:space="preserve"> </w:t>
      </w:r>
      <w:r w:rsidR="007223D5" w:rsidRPr="006D1252">
        <w:rPr>
          <w:sz w:val="22"/>
          <w:szCs w:val="22"/>
        </w:rPr>
        <w:t>Kayamkulam is</w:t>
      </w:r>
      <w:r w:rsidR="00B8563F" w:rsidRPr="006D1252">
        <w:rPr>
          <w:sz w:val="22"/>
          <w:szCs w:val="22"/>
        </w:rPr>
        <w:t xml:space="preserve"> around </w:t>
      </w:r>
      <w:smartTag w:uri="urn:schemas-microsoft-com:office:smarttags" w:element="metricconverter">
        <w:smartTagPr>
          <w:attr w:name="ProductID" w:val="28.50C"/>
        </w:smartTagPr>
        <w:r w:rsidR="00B8563F" w:rsidRPr="006D1252">
          <w:rPr>
            <w:sz w:val="22"/>
            <w:szCs w:val="22"/>
          </w:rPr>
          <w:t>28</w:t>
        </w:r>
        <w:r w:rsidR="002C53A2" w:rsidRPr="006D1252">
          <w:rPr>
            <w:sz w:val="22"/>
            <w:szCs w:val="22"/>
          </w:rPr>
          <w:t>.5</w:t>
        </w:r>
        <w:r w:rsidR="00B8563F" w:rsidRPr="006D1252">
          <w:rPr>
            <w:sz w:val="22"/>
            <w:szCs w:val="22"/>
            <w:vertAlign w:val="superscript"/>
          </w:rPr>
          <w:t>0</w:t>
        </w:r>
        <w:r w:rsidR="00B8563F" w:rsidRPr="006D1252">
          <w:rPr>
            <w:sz w:val="22"/>
            <w:szCs w:val="22"/>
          </w:rPr>
          <w:t>C</w:t>
        </w:r>
      </w:smartTag>
      <w:r w:rsidR="00B8563F" w:rsidRPr="006D1252">
        <w:rPr>
          <w:sz w:val="22"/>
          <w:szCs w:val="22"/>
        </w:rPr>
        <w:t xml:space="preserve"> as compared to </w:t>
      </w:r>
      <w:smartTag w:uri="urn:schemas-microsoft-com:office:smarttags" w:element="metricconverter">
        <w:smartTagPr>
          <w:attr w:name="ProductID" w:val="31.50C"/>
        </w:smartTagPr>
        <w:r w:rsidR="00B8563F" w:rsidRPr="006D1252">
          <w:rPr>
            <w:sz w:val="22"/>
            <w:szCs w:val="22"/>
          </w:rPr>
          <w:t>31.5</w:t>
        </w:r>
        <w:r w:rsidR="00D4446E" w:rsidRPr="006D1252">
          <w:rPr>
            <w:sz w:val="22"/>
            <w:szCs w:val="22"/>
            <w:vertAlign w:val="superscript"/>
          </w:rPr>
          <w:t>0</w:t>
        </w:r>
        <w:r w:rsidR="00B8563F" w:rsidRPr="006D1252">
          <w:rPr>
            <w:sz w:val="22"/>
            <w:szCs w:val="22"/>
          </w:rPr>
          <w:t>C</w:t>
        </w:r>
      </w:smartTag>
      <w:r w:rsidR="000C0499" w:rsidRPr="006D1252">
        <w:rPr>
          <w:sz w:val="22"/>
          <w:szCs w:val="22"/>
        </w:rPr>
        <w:t xml:space="preserve"> </w:t>
      </w:r>
      <w:r w:rsidR="00E1058C" w:rsidRPr="006D1252">
        <w:rPr>
          <w:sz w:val="22"/>
          <w:szCs w:val="22"/>
        </w:rPr>
        <w:t xml:space="preserve">in </w:t>
      </w:r>
      <w:r w:rsidR="000C0499" w:rsidRPr="006D1252">
        <w:rPr>
          <w:sz w:val="22"/>
          <w:szCs w:val="22"/>
        </w:rPr>
        <w:t>Delhi</w:t>
      </w:r>
      <w:r w:rsidR="00E1058C" w:rsidRPr="006D1252">
        <w:rPr>
          <w:sz w:val="22"/>
          <w:szCs w:val="22"/>
        </w:rPr>
        <w:t>.</w:t>
      </w:r>
      <w:r w:rsidR="006D1252" w:rsidRPr="006D1252">
        <w:rPr>
          <w:sz w:val="22"/>
          <w:szCs w:val="22"/>
        </w:rPr>
        <w:t xml:space="preserve"> The atmospheric pressure and humidity levels are also favorable as compare to Delhi.</w:t>
      </w:r>
      <w:r w:rsidR="00E1058C" w:rsidRPr="006D1252">
        <w:rPr>
          <w:sz w:val="22"/>
          <w:szCs w:val="22"/>
        </w:rPr>
        <w:t xml:space="preserve"> </w:t>
      </w:r>
      <w:r w:rsidR="006D1252" w:rsidRPr="006D1252">
        <w:rPr>
          <w:sz w:val="22"/>
          <w:szCs w:val="22"/>
        </w:rPr>
        <w:t>Further, f</w:t>
      </w:r>
      <w:r w:rsidR="00D4446E" w:rsidRPr="006D1252">
        <w:rPr>
          <w:sz w:val="22"/>
          <w:szCs w:val="22"/>
        </w:rPr>
        <w:t xml:space="preserve">rom the </w:t>
      </w:r>
      <w:r w:rsidR="00787603" w:rsidRPr="006D1252">
        <w:rPr>
          <w:sz w:val="22"/>
          <w:szCs w:val="22"/>
        </w:rPr>
        <w:t>manufacturer’s</w:t>
      </w:r>
      <w:r w:rsidR="00D4446E" w:rsidRPr="006D1252">
        <w:rPr>
          <w:sz w:val="22"/>
          <w:szCs w:val="22"/>
        </w:rPr>
        <w:t xml:space="preserve"> data curve, it is evident that </w:t>
      </w:r>
      <w:r w:rsidR="00DD471A" w:rsidRPr="006D1252">
        <w:rPr>
          <w:sz w:val="22"/>
          <w:szCs w:val="22"/>
        </w:rPr>
        <w:t>t</w:t>
      </w:r>
      <w:r w:rsidR="00491FFB" w:rsidRPr="006D1252">
        <w:rPr>
          <w:sz w:val="22"/>
          <w:szCs w:val="22"/>
        </w:rPr>
        <w:t>he average increase in temperature</w:t>
      </w:r>
      <w:r w:rsidR="001F67FA" w:rsidRPr="006D1252">
        <w:rPr>
          <w:sz w:val="22"/>
          <w:szCs w:val="22"/>
        </w:rPr>
        <w:t xml:space="preserve"> of </w:t>
      </w:r>
      <w:smartTag w:uri="urn:schemas-microsoft-com:office:smarttags" w:element="metricconverter">
        <w:smartTagPr>
          <w:attr w:name="ProductID" w:val="30C"/>
        </w:smartTagPr>
        <w:r w:rsidR="006D48C9" w:rsidRPr="006D1252">
          <w:rPr>
            <w:sz w:val="22"/>
            <w:szCs w:val="22"/>
          </w:rPr>
          <w:t>3</w:t>
        </w:r>
        <w:r w:rsidR="00D4446E" w:rsidRPr="006D1252">
          <w:rPr>
            <w:sz w:val="22"/>
            <w:szCs w:val="22"/>
            <w:vertAlign w:val="superscript"/>
          </w:rPr>
          <w:t>0</w:t>
        </w:r>
        <w:r w:rsidR="001F67FA" w:rsidRPr="006D1252">
          <w:rPr>
            <w:sz w:val="22"/>
            <w:szCs w:val="22"/>
          </w:rPr>
          <w:t>C</w:t>
        </w:r>
      </w:smartTag>
      <w:r w:rsidR="001F67FA" w:rsidRPr="006D1252">
        <w:rPr>
          <w:sz w:val="22"/>
          <w:szCs w:val="22"/>
        </w:rPr>
        <w:t xml:space="preserve"> increases the heat </w:t>
      </w:r>
      <w:r w:rsidR="007223D5" w:rsidRPr="006D1252">
        <w:rPr>
          <w:sz w:val="22"/>
          <w:szCs w:val="22"/>
        </w:rPr>
        <w:t>rate of</w:t>
      </w:r>
      <w:r w:rsidR="001F67FA" w:rsidRPr="006D1252">
        <w:rPr>
          <w:sz w:val="22"/>
          <w:szCs w:val="22"/>
        </w:rPr>
        <w:t xml:space="preserve"> around </w:t>
      </w:r>
      <w:r w:rsidR="002C53A2" w:rsidRPr="006D1252">
        <w:rPr>
          <w:sz w:val="22"/>
          <w:szCs w:val="22"/>
        </w:rPr>
        <w:t>1.5</w:t>
      </w:r>
      <w:r w:rsidR="00AA26B8" w:rsidRPr="006D1252">
        <w:rPr>
          <w:sz w:val="22"/>
          <w:szCs w:val="22"/>
        </w:rPr>
        <w:t xml:space="preserve">%. The designed heat rate </w:t>
      </w:r>
      <w:r w:rsidR="00DF008D" w:rsidRPr="006D1252">
        <w:rPr>
          <w:sz w:val="22"/>
          <w:szCs w:val="22"/>
        </w:rPr>
        <w:t xml:space="preserve">for </w:t>
      </w:r>
      <w:r w:rsidR="00DD471A" w:rsidRPr="006D1252">
        <w:rPr>
          <w:sz w:val="22"/>
          <w:szCs w:val="22"/>
        </w:rPr>
        <w:t>RGCCP is</w:t>
      </w:r>
      <w:r w:rsidR="00DF008D" w:rsidRPr="006D1252">
        <w:rPr>
          <w:sz w:val="22"/>
          <w:szCs w:val="22"/>
        </w:rPr>
        <w:t xml:space="preserve"> 1928 kCal/kWh which is lower than </w:t>
      </w:r>
      <w:r w:rsidR="00DD471A" w:rsidRPr="006D1252">
        <w:rPr>
          <w:sz w:val="22"/>
          <w:szCs w:val="22"/>
        </w:rPr>
        <w:t>the guaranteed</w:t>
      </w:r>
      <w:r w:rsidR="00DF008D" w:rsidRPr="006D1252">
        <w:rPr>
          <w:sz w:val="22"/>
          <w:szCs w:val="22"/>
        </w:rPr>
        <w:t xml:space="preserve"> heat </w:t>
      </w:r>
      <w:r w:rsidR="00DD471A" w:rsidRPr="006D1252">
        <w:rPr>
          <w:sz w:val="22"/>
          <w:szCs w:val="22"/>
        </w:rPr>
        <w:t>rate of</w:t>
      </w:r>
      <w:r w:rsidR="00DF008D" w:rsidRPr="006D1252">
        <w:rPr>
          <w:sz w:val="22"/>
          <w:szCs w:val="22"/>
        </w:rPr>
        <w:t xml:space="preserve"> PPS-I</w:t>
      </w:r>
      <w:r w:rsidR="00DF008D" w:rsidRPr="00E80070">
        <w:rPr>
          <w:color w:val="FF0000"/>
          <w:sz w:val="22"/>
          <w:szCs w:val="22"/>
        </w:rPr>
        <w:t>.</w:t>
      </w:r>
      <w:r w:rsidR="00DF008D">
        <w:rPr>
          <w:sz w:val="22"/>
          <w:szCs w:val="22"/>
        </w:rPr>
        <w:t xml:space="preserve"> </w:t>
      </w:r>
    </w:p>
    <w:p w:rsidR="00FA2DDE" w:rsidRPr="00DF008D" w:rsidRDefault="00FA2DDE" w:rsidP="00FA2DDE">
      <w:pPr>
        <w:pStyle w:val="BodyText"/>
        <w:ind w:left="540"/>
        <w:rPr>
          <w:rFonts w:ascii="Century Gothic" w:hAnsi="Century Gothic"/>
          <w:sz w:val="6"/>
          <w:szCs w:val="22"/>
        </w:rPr>
      </w:pPr>
    </w:p>
    <w:p w:rsidR="000F7069" w:rsidRDefault="00DF008D" w:rsidP="00DF008D">
      <w:pPr>
        <w:pStyle w:val="BodyText"/>
        <w:ind w:left="900" w:hanging="360"/>
        <w:rPr>
          <w:rFonts w:ascii="Century Gothic" w:hAnsi="Century Gothic"/>
          <w:szCs w:val="22"/>
        </w:rPr>
      </w:pPr>
      <w:r>
        <w:rPr>
          <w:rFonts w:ascii="Century Gothic" w:hAnsi="Century Gothic"/>
          <w:szCs w:val="22"/>
        </w:rPr>
        <w:t>7.</w:t>
      </w:r>
      <w:r>
        <w:rPr>
          <w:rFonts w:ascii="Century Gothic" w:hAnsi="Century Gothic"/>
          <w:szCs w:val="22"/>
        </w:rPr>
        <w:tab/>
      </w:r>
      <w:r w:rsidR="000E240D">
        <w:rPr>
          <w:rFonts w:ascii="Century Gothic" w:hAnsi="Century Gothic"/>
          <w:szCs w:val="22"/>
        </w:rPr>
        <w:t>P</w:t>
      </w:r>
      <w:r w:rsidR="00E41876">
        <w:rPr>
          <w:rFonts w:ascii="Century Gothic" w:hAnsi="Century Gothic"/>
          <w:szCs w:val="22"/>
        </w:rPr>
        <w:t>etitioner</w:t>
      </w:r>
      <w:r w:rsidR="000F7069" w:rsidRPr="00A80D32">
        <w:rPr>
          <w:rFonts w:ascii="Century Gothic" w:hAnsi="Century Gothic"/>
          <w:szCs w:val="22"/>
        </w:rPr>
        <w:t xml:space="preserve"> requests the Commission to allow a combined cycle heat rate of 20</w:t>
      </w:r>
      <w:r w:rsidR="002660C4">
        <w:rPr>
          <w:rFonts w:ascii="Century Gothic" w:hAnsi="Century Gothic"/>
          <w:szCs w:val="22"/>
        </w:rPr>
        <w:t>36</w:t>
      </w:r>
      <w:r w:rsidR="000F7069" w:rsidRPr="00A80D32">
        <w:rPr>
          <w:rFonts w:ascii="Century Gothic" w:hAnsi="Century Gothic"/>
          <w:szCs w:val="22"/>
        </w:rPr>
        <w:t xml:space="preserve"> kCal/kWh on Gross Calorific Value (GCV) </w:t>
      </w:r>
      <w:r w:rsidR="00A13977" w:rsidRPr="00A80D32">
        <w:rPr>
          <w:rFonts w:ascii="Century Gothic" w:hAnsi="Century Gothic"/>
          <w:szCs w:val="22"/>
        </w:rPr>
        <w:t xml:space="preserve">basis </w:t>
      </w:r>
      <w:r w:rsidR="00A13977">
        <w:rPr>
          <w:rFonts w:ascii="Century Gothic" w:hAnsi="Century Gothic"/>
          <w:szCs w:val="22"/>
        </w:rPr>
        <w:t>for</w:t>
      </w:r>
      <w:r w:rsidR="00FD6AEF">
        <w:rPr>
          <w:rFonts w:ascii="Century Gothic" w:hAnsi="Century Gothic"/>
          <w:szCs w:val="22"/>
        </w:rPr>
        <w:t xml:space="preserve"> </w:t>
      </w:r>
      <w:r w:rsidR="005B3F97">
        <w:rPr>
          <w:rFonts w:ascii="Century Gothic" w:hAnsi="Century Gothic"/>
          <w:szCs w:val="22"/>
        </w:rPr>
        <w:t xml:space="preserve">the </w:t>
      </w:r>
      <w:r w:rsidR="00DD471A">
        <w:rPr>
          <w:rFonts w:ascii="Century Gothic" w:hAnsi="Century Gothic"/>
          <w:szCs w:val="22"/>
        </w:rPr>
        <w:t xml:space="preserve">control period </w:t>
      </w:r>
      <w:r w:rsidR="00FD6AEF">
        <w:rPr>
          <w:rFonts w:ascii="Century Gothic" w:hAnsi="Century Gothic"/>
          <w:szCs w:val="22"/>
        </w:rPr>
        <w:t>FY 201</w:t>
      </w:r>
      <w:r w:rsidR="00DD471A">
        <w:rPr>
          <w:rFonts w:ascii="Century Gothic" w:hAnsi="Century Gothic"/>
          <w:szCs w:val="22"/>
        </w:rPr>
        <w:t>2</w:t>
      </w:r>
      <w:r w:rsidR="00FD6AEF">
        <w:rPr>
          <w:rFonts w:ascii="Century Gothic" w:hAnsi="Century Gothic"/>
          <w:szCs w:val="22"/>
        </w:rPr>
        <w:t>-1</w:t>
      </w:r>
      <w:r w:rsidR="00DD471A">
        <w:rPr>
          <w:rFonts w:ascii="Century Gothic" w:hAnsi="Century Gothic"/>
          <w:szCs w:val="22"/>
        </w:rPr>
        <w:t>3 to 2014-15</w:t>
      </w:r>
      <w:r w:rsidR="00E853E7">
        <w:rPr>
          <w:rFonts w:ascii="Century Gothic" w:hAnsi="Century Gothic"/>
          <w:szCs w:val="22"/>
        </w:rPr>
        <w:t xml:space="preserve"> and extended period of current MYT for FY 2015-16</w:t>
      </w:r>
      <w:r w:rsidR="00FD6AEF">
        <w:rPr>
          <w:rFonts w:ascii="Century Gothic" w:hAnsi="Century Gothic"/>
          <w:szCs w:val="22"/>
        </w:rPr>
        <w:t xml:space="preserve">, </w:t>
      </w:r>
      <w:r w:rsidR="00603F88" w:rsidRPr="00A80D32">
        <w:rPr>
          <w:rFonts w:ascii="Century Gothic" w:hAnsi="Century Gothic"/>
          <w:szCs w:val="22"/>
        </w:rPr>
        <w:t>considering the</w:t>
      </w:r>
      <w:r w:rsidR="00FA2DDE" w:rsidRPr="00A80D32">
        <w:rPr>
          <w:rFonts w:ascii="Century Gothic" w:hAnsi="Century Gothic"/>
          <w:szCs w:val="22"/>
        </w:rPr>
        <w:t xml:space="preserve"> correction factor specified by </w:t>
      </w:r>
      <w:r w:rsidR="00DD471A">
        <w:rPr>
          <w:rFonts w:ascii="Century Gothic" w:hAnsi="Century Gothic"/>
          <w:szCs w:val="22"/>
        </w:rPr>
        <w:t>Hon’ble Commission.</w:t>
      </w:r>
      <w:r w:rsidR="00450906">
        <w:rPr>
          <w:rFonts w:ascii="Century Gothic" w:hAnsi="Century Gothic"/>
          <w:szCs w:val="22"/>
        </w:rPr>
        <w:t xml:space="preserve"> </w:t>
      </w:r>
      <w:r w:rsidR="000F7069" w:rsidRPr="00A80D32">
        <w:rPr>
          <w:rFonts w:ascii="Century Gothic" w:hAnsi="Century Gothic"/>
          <w:szCs w:val="22"/>
        </w:rPr>
        <w:t>I</w:t>
      </w:r>
      <w:r w:rsidR="00151F64" w:rsidRPr="00A80D32">
        <w:rPr>
          <w:rFonts w:ascii="Century Gothic" w:hAnsi="Century Gothic"/>
          <w:szCs w:val="22"/>
        </w:rPr>
        <w:t>t</w:t>
      </w:r>
      <w:r w:rsidR="000F7069" w:rsidRPr="00A80D32">
        <w:rPr>
          <w:rFonts w:ascii="Century Gothic" w:hAnsi="Century Gothic"/>
          <w:szCs w:val="22"/>
        </w:rPr>
        <w:t xml:space="preserve"> </w:t>
      </w:r>
      <w:r w:rsidR="002F5649">
        <w:rPr>
          <w:rFonts w:ascii="Century Gothic" w:hAnsi="Century Gothic"/>
          <w:szCs w:val="22"/>
        </w:rPr>
        <w:t>is</w:t>
      </w:r>
      <w:r w:rsidR="000F7069" w:rsidRPr="00A80D32">
        <w:rPr>
          <w:rFonts w:ascii="Century Gothic" w:hAnsi="Century Gothic"/>
          <w:szCs w:val="22"/>
        </w:rPr>
        <w:t xml:space="preserve"> submitted that</w:t>
      </w:r>
      <w:r w:rsidR="008A502D" w:rsidRPr="00A80D32">
        <w:rPr>
          <w:rFonts w:ascii="Century Gothic" w:hAnsi="Century Gothic"/>
          <w:szCs w:val="22"/>
        </w:rPr>
        <w:t xml:space="preserve"> apart from factors considered by CEA</w:t>
      </w:r>
      <w:r w:rsidR="0010332E">
        <w:rPr>
          <w:rFonts w:ascii="Century Gothic" w:hAnsi="Century Gothic"/>
          <w:szCs w:val="22"/>
        </w:rPr>
        <w:t>,</w:t>
      </w:r>
      <w:r w:rsidR="008A502D" w:rsidRPr="00A80D32">
        <w:rPr>
          <w:rFonts w:ascii="Century Gothic" w:hAnsi="Century Gothic"/>
          <w:szCs w:val="22"/>
        </w:rPr>
        <w:t xml:space="preserve"> </w:t>
      </w:r>
      <w:r w:rsidR="0019456B">
        <w:rPr>
          <w:rFonts w:ascii="Century Gothic" w:hAnsi="Century Gothic"/>
          <w:szCs w:val="22"/>
        </w:rPr>
        <w:t>PPS-I</w:t>
      </w:r>
      <w:r w:rsidR="008A502D" w:rsidRPr="00A80D32">
        <w:rPr>
          <w:rFonts w:ascii="Century Gothic" w:hAnsi="Century Gothic"/>
          <w:szCs w:val="22"/>
        </w:rPr>
        <w:t xml:space="preserve"> is also facing </w:t>
      </w:r>
      <w:r w:rsidR="00C2013D">
        <w:rPr>
          <w:rFonts w:ascii="Century Gothic" w:hAnsi="Century Gothic"/>
          <w:szCs w:val="22"/>
        </w:rPr>
        <w:t xml:space="preserve">the problem of </w:t>
      </w:r>
      <w:r w:rsidR="00470E63">
        <w:rPr>
          <w:rFonts w:ascii="Century Gothic" w:hAnsi="Century Gothic"/>
          <w:szCs w:val="22"/>
        </w:rPr>
        <w:t>backing down of generation</w:t>
      </w:r>
      <w:r w:rsidR="005B3F97">
        <w:rPr>
          <w:rFonts w:ascii="Century Gothic" w:hAnsi="Century Gothic"/>
          <w:szCs w:val="22"/>
        </w:rPr>
        <w:t xml:space="preserve"> being a base load station</w:t>
      </w:r>
      <w:r w:rsidR="00930A5D">
        <w:rPr>
          <w:rFonts w:ascii="Century Gothic" w:hAnsi="Century Gothic"/>
          <w:szCs w:val="22"/>
        </w:rPr>
        <w:t>,</w:t>
      </w:r>
      <w:r w:rsidR="00470E63">
        <w:rPr>
          <w:rFonts w:ascii="Century Gothic" w:hAnsi="Century Gothic"/>
          <w:szCs w:val="22"/>
        </w:rPr>
        <w:t xml:space="preserve"> on the </w:t>
      </w:r>
      <w:r w:rsidR="00470E63">
        <w:rPr>
          <w:rFonts w:ascii="Century Gothic" w:hAnsi="Century Gothic"/>
          <w:szCs w:val="22"/>
        </w:rPr>
        <w:lastRenderedPageBreak/>
        <w:t>instruction of SLDC</w:t>
      </w:r>
      <w:r w:rsidR="00F610EF">
        <w:rPr>
          <w:rFonts w:ascii="Century Gothic" w:hAnsi="Century Gothic"/>
          <w:szCs w:val="22"/>
        </w:rPr>
        <w:t>,</w:t>
      </w:r>
      <w:r w:rsidR="00470E63">
        <w:rPr>
          <w:rFonts w:ascii="Century Gothic" w:hAnsi="Century Gothic"/>
          <w:szCs w:val="22"/>
        </w:rPr>
        <w:t xml:space="preserve"> </w:t>
      </w:r>
      <w:r w:rsidR="000F7069">
        <w:rPr>
          <w:rFonts w:ascii="Century Gothic" w:hAnsi="Century Gothic"/>
          <w:szCs w:val="22"/>
        </w:rPr>
        <w:t>resu</w:t>
      </w:r>
      <w:r w:rsidR="008A502D">
        <w:rPr>
          <w:rFonts w:ascii="Century Gothic" w:hAnsi="Century Gothic"/>
          <w:szCs w:val="22"/>
        </w:rPr>
        <w:t>lting in</w:t>
      </w:r>
      <w:r w:rsidR="000E0128">
        <w:rPr>
          <w:rFonts w:ascii="Century Gothic" w:hAnsi="Century Gothic"/>
          <w:szCs w:val="22"/>
        </w:rPr>
        <w:t>to</w:t>
      </w:r>
      <w:r w:rsidR="008A502D">
        <w:rPr>
          <w:rFonts w:ascii="Century Gothic" w:hAnsi="Century Gothic"/>
          <w:szCs w:val="22"/>
        </w:rPr>
        <w:t xml:space="preserve"> low</w:t>
      </w:r>
      <w:r w:rsidR="00AD7AC5">
        <w:rPr>
          <w:rFonts w:ascii="Century Gothic" w:hAnsi="Century Gothic"/>
          <w:szCs w:val="22"/>
        </w:rPr>
        <w:t>er</w:t>
      </w:r>
      <w:r w:rsidR="008A502D">
        <w:rPr>
          <w:rFonts w:ascii="Century Gothic" w:hAnsi="Century Gothic"/>
          <w:szCs w:val="22"/>
        </w:rPr>
        <w:t xml:space="preserve"> PLF and higher SHR. </w:t>
      </w:r>
      <w:r w:rsidR="00C2013D">
        <w:rPr>
          <w:rFonts w:ascii="Century Gothic" w:hAnsi="Century Gothic"/>
          <w:szCs w:val="22"/>
        </w:rPr>
        <w:t>The p</w:t>
      </w:r>
      <w:r w:rsidR="000E0128">
        <w:rPr>
          <w:rFonts w:ascii="Century Gothic" w:hAnsi="Century Gothic"/>
          <w:szCs w:val="22"/>
        </w:rPr>
        <w:t xml:space="preserve">etitioner </w:t>
      </w:r>
      <w:r w:rsidR="008A502D">
        <w:rPr>
          <w:rFonts w:ascii="Century Gothic" w:hAnsi="Century Gothic"/>
          <w:szCs w:val="22"/>
        </w:rPr>
        <w:t xml:space="preserve">requests the Hon’ble Commission that these </w:t>
      </w:r>
      <w:r w:rsidR="000F7069">
        <w:rPr>
          <w:rFonts w:ascii="Century Gothic" w:hAnsi="Century Gothic"/>
          <w:szCs w:val="22"/>
        </w:rPr>
        <w:t xml:space="preserve">are uncontrollable factors and should be considered with leniency </w:t>
      </w:r>
      <w:r w:rsidR="008A502D">
        <w:rPr>
          <w:rFonts w:ascii="Century Gothic" w:hAnsi="Century Gothic"/>
          <w:szCs w:val="22"/>
        </w:rPr>
        <w:t xml:space="preserve">at the time of </w:t>
      </w:r>
      <w:r w:rsidR="00CC6D2E">
        <w:rPr>
          <w:rFonts w:ascii="Century Gothic" w:hAnsi="Century Gothic"/>
          <w:szCs w:val="22"/>
        </w:rPr>
        <w:t>truing</w:t>
      </w:r>
      <w:r w:rsidR="00D808E4">
        <w:rPr>
          <w:rFonts w:ascii="Century Gothic" w:hAnsi="Century Gothic"/>
          <w:szCs w:val="22"/>
        </w:rPr>
        <w:t xml:space="preserve">–up </w:t>
      </w:r>
      <w:r w:rsidR="00460DC1">
        <w:rPr>
          <w:rFonts w:ascii="Century Gothic" w:hAnsi="Century Gothic"/>
          <w:szCs w:val="22"/>
        </w:rPr>
        <w:t xml:space="preserve">for FY 2012-13 to FY 2014-15 </w:t>
      </w:r>
      <w:r w:rsidR="00D808E4">
        <w:rPr>
          <w:rFonts w:ascii="Century Gothic" w:hAnsi="Century Gothic"/>
          <w:szCs w:val="22"/>
        </w:rPr>
        <w:t xml:space="preserve">and </w:t>
      </w:r>
      <w:r w:rsidR="008A502D">
        <w:rPr>
          <w:rFonts w:ascii="Century Gothic" w:hAnsi="Century Gothic"/>
          <w:szCs w:val="22"/>
        </w:rPr>
        <w:t>finali</w:t>
      </w:r>
      <w:r w:rsidR="002C53A2">
        <w:rPr>
          <w:rFonts w:ascii="Century Gothic" w:hAnsi="Century Gothic"/>
          <w:szCs w:val="22"/>
        </w:rPr>
        <w:t>z</w:t>
      </w:r>
      <w:r w:rsidR="008A502D">
        <w:rPr>
          <w:rFonts w:ascii="Century Gothic" w:hAnsi="Century Gothic"/>
          <w:szCs w:val="22"/>
        </w:rPr>
        <w:t xml:space="preserve">ation of </w:t>
      </w:r>
      <w:r w:rsidR="00D808E4">
        <w:rPr>
          <w:rFonts w:ascii="Century Gothic" w:hAnsi="Century Gothic"/>
          <w:szCs w:val="22"/>
        </w:rPr>
        <w:t xml:space="preserve">Tariff </w:t>
      </w:r>
      <w:r w:rsidR="008A502D">
        <w:rPr>
          <w:rFonts w:ascii="Century Gothic" w:hAnsi="Century Gothic"/>
          <w:szCs w:val="22"/>
        </w:rPr>
        <w:t>Order</w:t>
      </w:r>
      <w:r w:rsidR="00460DC1">
        <w:rPr>
          <w:rFonts w:ascii="Century Gothic" w:hAnsi="Century Gothic"/>
          <w:szCs w:val="22"/>
        </w:rPr>
        <w:t xml:space="preserve"> for extended period of FY 2015-16 for current MYT Regulation</w:t>
      </w:r>
      <w:r w:rsidR="000F7069">
        <w:rPr>
          <w:rFonts w:ascii="Century Gothic" w:hAnsi="Century Gothic"/>
          <w:szCs w:val="22"/>
        </w:rPr>
        <w:t xml:space="preserve">. </w:t>
      </w:r>
    </w:p>
    <w:p w:rsidR="00CC3FDD" w:rsidRDefault="00E332CA" w:rsidP="007D76AE">
      <w:pPr>
        <w:pStyle w:val="BodyText"/>
        <w:numPr>
          <w:ilvl w:val="0"/>
          <w:numId w:val="24"/>
        </w:numPr>
        <w:rPr>
          <w:rFonts w:ascii="Century Gothic" w:hAnsi="Century Gothic"/>
          <w:bCs/>
          <w:iCs/>
          <w:szCs w:val="26"/>
        </w:rPr>
      </w:pPr>
      <w:r w:rsidRPr="00A80D32">
        <w:rPr>
          <w:rFonts w:ascii="Century Gothic" w:hAnsi="Century Gothic"/>
          <w:bCs/>
          <w:iCs/>
          <w:szCs w:val="26"/>
        </w:rPr>
        <w:t xml:space="preserve">The actual Station Heat Rate </w:t>
      </w:r>
      <w:r w:rsidR="00055310">
        <w:rPr>
          <w:rFonts w:ascii="Century Gothic" w:hAnsi="Century Gothic"/>
          <w:bCs/>
          <w:iCs/>
          <w:szCs w:val="26"/>
        </w:rPr>
        <w:t>i</w:t>
      </w:r>
      <w:r w:rsidRPr="00A80D32">
        <w:rPr>
          <w:rFonts w:ascii="Century Gothic" w:hAnsi="Century Gothic"/>
          <w:bCs/>
          <w:iCs/>
          <w:szCs w:val="26"/>
        </w:rPr>
        <w:t xml:space="preserve">n open cycle </w:t>
      </w:r>
      <w:r w:rsidR="0055663B">
        <w:rPr>
          <w:rFonts w:ascii="Century Gothic" w:hAnsi="Century Gothic"/>
          <w:bCs/>
          <w:iCs/>
          <w:szCs w:val="26"/>
        </w:rPr>
        <w:t xml:space="preserve">mode </w:t>
      </w:r>
      <w:r w:rsidR="006B1DA6">
        <w:rPr>
          <w:rFonts w:ascii="Century Gothic" w:hAnsi="Century Gothic"/>
          <w:bCs/>
          <w:iCs/>
          <w:szCs w:val="26"/>
        </w:rPr>
        <w:t xml:space="preserve">has been </w:t>
      </w:r>
      <w:r w:rsidR="0047396A">
        <w:rPr>
          <w:rFonts w:ascii="Century Gothic" w:hAnsi="Century Gothic"/>
          <w:bCs/>
          <w:iCs/>
          <w:szCs w:val="26"/>
        </w:rPr>
        <w:t xml:space="preserve">varying </w:t>
      </w:r>
      <w:r w:rsidR="006B1DA6">
        <w:rPr>
          <w:rFonts w:ascii="Century Gothic" w:hAnsi="Century Gothic"/>
          <w:bCs/>
          <w:iCs/>
          <w:szCs w:val="26"/>
        </w:rPr>
        <w:t xml:space="preserve">in the range </w:t>
      </w:r>
      <w:r w:rsidR="00060851">
        <w:rPr>
          <w:rFonts w:ascii="Century Gothic" w:hAnsi="Century Gothic"/>
          <w:bCs/>
          <w:iCs/>
          <w:szCs w:val="26"/>
        </w:rPr>
        <w:t>from</w:t>
      </w:r>
      <w:r w:rsidR="001C404D">
        <w:rPr>
          <w:rFonts w:ascii="Century Gothic" w:hAnsi="Century Gothic"/>
          <w:bCs/>
          <w:iCs/>
          <w:szCs w:val="26"/>
        </w:rPr>
        <w:t xml:space="preserve"> </w:t>
      </w:r>
      <w:r w:rsidR="001C404D" w:rsidRPr="00433405">
        <w:rPr>
          <w:rFonts w:ascii="Century Gothic" w:hAnsi="Century Gothic"/>
          <w:bCs/>
          <w:iCs/>
          <w:szCs w:val="26"/>
        </w:rPr>
        <w:t>3</w:t>
      </w:r>
      <w:r w:rsidR="00DB211D" w:rsidRPr="00433405">
        <w:rPr>
          <w:rFonts w:ascii="Century Gothic" w:hAnsi="Century Gothic"/>
          <w:bCs/>
          <w:iCs/>
          <w:szCs w:val="26"/>
        </w:rPr>
        <w:t>12</w:t>
      </w:r>
      <w:r w:rsidR="00433405" w:rsidRPr="00433405">
        <w:rPr>
          <w:rFonts w:ascii="Century Gothic" w:hAnsi="Century Gothic"/>
          <w:bCs/>
          <w:iCs/>
          <w:szCs w:val="26"/>
        </w:rPr>
        <w:t>1</w:t>
      </w:r>
      <w:r w:rsidR="001C404D" w:rsidRPr="00433405">
        <w:rPr>
          <w:rFonts w:ascii="Century Gothic" w:hAnsi="Century Gothic"/>
          <w:bCs/>
          <w:iCs/>
          <w:szCs w:val="26"/>
        </w:rPr>
        <w:t>-3</w:t>
      </w:r>
      <w:r w:rsidR="00DB211D" w:rsidRPr="00433405">
        <w:rPr>
          <w:rFonts w:ascii="Century Gothic" w:hAnsi="Century Gothic"/>
          <w:bCs/>
          <w:iCs/>
          <w:szCs w:val="26"/>
        </w:rPr>
        <w:t>21</w:t>
      </w:r>
      <w:r w:rsidR="00433405" w:rsidRPr="00433405">
        <w:rPr>
          <w:rFonts w:ascii="Century Gothic" w:hAnsi="Century Gothic"/>
          <w:bCs/>
          <w:iCs/>
          <w:szCs w:val="26"/>
        </w:rPr>
        <w:t>3</w:t>
      </w:r>
      <w:r w:rsidR="001C404D">
        <w:rPr>
          <w:rFonts w:ascii="Century Gothic" w:hAnsi="Century Gothic"/>
          <w:bCs/>
          <w:iCs/>
          <w:szCs w:val="26"/>
        </w:rPr>
        <w:t xml:space="preserve"> kCal/kWh during the period </w:t>
      </w:r>
      <w:r w:rsidRPr="00A80D32">
        <w:rPr>
          <w:rFonts w:ascii="Century Gothic" w:hAnsi="Century Gothic"/>
          <w:bCs/>
          <w:iCs/>
          <w:szCs w:val="26"/>
        </w:rPr>
        <w:t>FY</w:t>
      </w:r>
      <w:r w:rsidR="0051088F">
        <w:rPr>
          <w:rFonts w:ascii="Century Gothic" w:hAnsi="Century Gothic"/>
          <w:bCs/>
          <w:iCs/>
          <w:szCs w:val="26"/>
        </w:rPr>
        <w:t xml:space="preserve"> </w:t>
      </w:r>
      <w:r w:rsidR="009713A7">
        <w:rPr>
          <w:rFonts w:ascii="Century Gothic" w:hAnsi="Century Gothic"/>
          <w:bCs/>
          <w:iCs/>
          <w:szCs w:val="26"/>
        </w:rPr>
        <w:t>2012-13 to 2013-14 and to 2014-15 (Provisional)</w:t>
      </w:r>
      <w:r w:rsidR="0006179C">
        <w:rPr>
          <w:rFonts w:ascii="Century Gothic" w:hAnsi="Century Gothic"/>
          <w:bCs/>
          <w:iCs/>
          <w:szCs w:val="26"/>
        </w:rPr>
        <w:t>.</w:t>
      </w:r>
      <w:r w:rsidR="007668BF">
        <w:rPr>
          <w:rFonts w:ascii="Century Gothic" w:hAnsi="Century Gothic"/>
          <w:bCs/>
          <w:iCs/>
          <w:szCs w:val="26"/>
        </w:rPr>
        <w:t xml:space="preserve"> T</w:t>
      </w:r>
      <w:r w:rsidRPr="00A80D32">
        <w:rPr>
          <w:rFonts w:ascii="Century Gothic" w:hAnsi="Century Gothic"/>
          <w:bCs/>
          <w:iCs/>
          <w:szCs w:val="26"/>
        </w:rPr>
        <w:t>he manufacture</w:t>
      </w:r>
      <w:r w:rsidR="00A600A6">
        <w:rPr>
          <w:rFonts w:ascii="Century Gothic" w:hAnsi="Century Gothic"/>
          <w:bCs/>
          <w:iCs/>
          <w:szCs w:val="26"/>
        </w:rPr>
        <w:t>r</w:t>
      </w:r>
      <w:r w:rsidRPr="00A80D32">
        <w:rPr>
          <w:rFonts w:ascii="Century Gothic" w:hAnsi="Century Gothic"/>
          <w:bCs/>
          <w:iCs/>
          <w:szCs w:val="26"/>
        </w:rPr>
        <w:t xml:space="preserve"> guaranteed heat rate </w:t>
      </w:r>
      <w:r w:rsidR="009A6BD5">
        <w:rPr>
          <w:rFonts w:ascii="Century Gothic" w:hAnsi="Century Gothic"/>
          <w:bCs/>
          <w:iCs/>
          <w:szCs w:val="26"/>
        </w:rPr>
        <w:t>is</w:t>
      </w:r>
      <w:r w:rsidRPr="00A80D32">
        <w:rPr>
          <w:rFonts w:ascii="Century Gothic" w:hAnsi="Century Gothic"/>
          <w:bCs/>
          <w:iCs/>
          <w:szCs w:val="26"/>
        </w:rPr>
        <w:t xml:space="preserve"> 2986 k</w:t>
      </w:r>
      <w:r w:rsidR="00105D1A">
        <w:rPr>
          <w:rFonts w:ascii="Century Gothic" w:hAnsi="Century Gothic"/>
          <w:bCs/>
          <w:iCs/>
          <w:szCs w:val="26"/>
        </w:rPr>
        <w:t>C</w:t>
      </w:r>
      <w:r w:rsidRPr="00A80D32">
        <w:rPr>
          <w:rFonts w:ascii="Century Gothic" w:hAnsi="Century Gothic"/>
          <w:bCs/>
          <w:iCs/>
          <w:szCs w:val="26"/>
        </w:rPr>
        <w:t>al/k</w:t>
      </w:r>
      <w:r w:rsidR="00105D1A">
        <w:rPr>
          <w:rFonts w:ascii="Century Gothic" w:hAnsi="Century Gothic"/>
          <w:bCs/>
          <w:iCs/>
          <w:szCs w:val="26"/>
        </w:rPr>
        <w:t>W</w:t>
      </w:r>
      <w:r w:rsidRPr="00A80D32">
        <w:rPr>
          <w:rFonts w:ascii="Century Gothic" w:hAnsi="Century Gothic"/>
          <w:bCs/>
          <w:iCs/>
          <w:szCs w:val="26"/>
        </w:rPr>
        <w:t>h at</w:t>
      </w:r>
      <w:r w:rsidR="00AB099B" w:rsidRPr="00A80D32">
        <w:rPr>
          <w:rFonts w:ascii="Century Gothic" w:hAnsi="Century Gothic"/>
          <w:bCs/>
          <w:iCs/>
          <w:szCs w:val="26"/>
        </w:rPr>
        <w:t xml:space="preserve"> </w:t>
      </w:r>
      <w:r w:rsidRPr="00A80D32">
        <w:rPr>
          <w:rFonts w:ascii="Century Gothic" w:hAnsi="Century Gothic"/>
          <w:bCs/>
          <w:iCs/>
          <w:szCs w:val="26"/>
        </w:rPr>
        <w:t>100% PLF.</w:t>
      </w:r>
      <w:r w:rsidR="00704600">
        <w:rPr>
          <w:rFonts w:ascii="Century Gothic" w:hAnsi="Century Gothic"/>
          <w:bCs/>
          <w:iCs/>
          <w:szCs w:val="26"/>
        </w:rPr>
        <w:t xml:space="preserve"> </w:t>
      </w:r>
      <w:r w:rsidR="00DB44FD">
        <w:rPr>
          <w:rFonts w:ascii="Century Gothic" w:hAnsi="Century Gothic"/>
          <w:bCs/>
          <w:iCs/>
          <w:szCs w:val="26"/>
        </w:rPr>
        <w:t xml:space="preserve">It is </w:t>
      </w:r>
      <w:r w:rsidR="00704600">
        <w:rPr>
          <w:rFonts w:ascii="Century Gothic" w:hAnsi="Century Gothic"/>
          <w:bCs/>
          <w:iCs/>
          <w:szCs w:val="26"/>
        </w:rPr>
        <w:t xml:space="preserve">further </w:t>
      </w:r>
      <w:r w:rsidR="00DB44FD">
        <w:rPr>
          <w:rFonts w:ascii="Century Gothic" w:hAnsi="Century Gothic"/>
          <w:bCs/>
          <w:iCs/>
          <w:szCs w:val="26"/>
        </w:rPr>
        <w:t xml:space="preserve">submitted that </w:t>
      </w:r>
      <w:r w:rsidR="00BC50F3" w:rsidRPr="00A80D32">
        <w:rPr>
          <w:rFonts w:ascii="Century Gothic" w:hAnsi="Century Gothic"/>
          <w:bCs/>
          <w:iCs/>
          <w:szCs w:val="26"/>
        </w:rPr>
        <w:t xml:space="preserve">CEA has also considered the open cycle heat rate as 3075.3 kcal/kwh at 100% PLF on Page no. 24 of the </w:t>
      </w:r>
      <w:r w:rsidR="00E90186">
        <w:rPr>
          <w:rFonts w:ascii="Century Gothic" w:hAnsi="Century Gothic"/>
          <w:bCs/>
          <w:iCs/>
          <w:szCs w:val="26"/>
        </w:rPr>
        <w:t xml:space="preserve">report </w:t>
      </w:r>
      <w:r w:rsidR="00CB2553" w:rsidRPr="00E90186">
        <w:rPr>
          <w:rFonts w:ascii="Century Gothic" w:hAnsi="Century Gothic"/>
          <w:szCs w:val="22"/>
        </w:rPr>
        <w:t>of December, 2004</w:t>
      </w:r>
      <w:r w:rsidR="00CB2553">
        <w:rPr>
          <w:rFonts w:ascii="Century Gothic" w:hAnsi="Century Gothic"/>
          <w:szCs w:val="22"/>
        </w:rPr>
        <w:t xml:space="preserve"> </w:t>
      </w:r>
      <w:r w:rsidR="00E90186">
        <w:rPr>
          <w:rFonts w:ascii="Century Gothic" w:hAnsi="Century Gothic"/>
          <w:bCs/>
          <w:iCs/>
          <w:szCs w:val="26"/>
        </w:rPr>
        <w:t xml:space="preserve">on </w:t>
      </w:r>
      <w:r w:rsidR="00E90186" w:rsidRPr="00E90186">
        <w:rPr>
          <w:rFonts w:ascii="Century Gothic" w:hAnsi="Century Gothic"/>
          <w:szCs w:val="22"/>
        </w:rPr>
        <w:t xml:space="preserve">technical standards on operational norms </w:t>
      </w:r>
      <w:r w:rsidR="00262FD0">
        <w:rPr>
          <w:rFonts w:ascii="Century Gothic" w:hAnsi="Century Gothic"/>
          <w:szCs w:val="22"/>
        </w:rPr>
        <w:t>for</w:t>
      </w:r>
      <w:r w:rsidR="00E90186" w:rsidRPr="00E90186">
        <w:rPr>
          <w:rFonts w:ascii="Century Gothic" w:hAnsi="Century Gothic"/>
          <w:szCs w:val="22"/>
        </w:rPr>
        <w:t xml:space="preserve"> Gas Turbine stations</w:t>
      </w:r>
      <w:r w:rsidR="00BC50F3" w:rsidRPr="00A80D32">
        <w:rPr>
          <w:rFonts w:ascii="Century Gothic" w:hAnsi="Century Gothic"/>
          <w:bCs/>
          <w:iCs/>
          <w:szCs w:val="26"/>
        </w:rPr>
        <w:t>.</w:t>
      </w:r>
      <w:r w:rsidR="001B66D0">
        <w:rPr>
          <w:rFonts w:ascii="Century Gothic" w:hAnsi="Century Gothic"/>
          <w:bCs/>
          <w:iCs/>
          <w:szCs w:val="26"/>
        </w:rPr>
        <w:t xml:space="preserve"> The </w:t>
      </w:r>
      <w:r w:rsidR="00CC6D2E" w:rsidRPr="00CC6D2E">
        <w:rPr>
          <w:rFonts w:ascii="Century Gothic" w:hAnsi="Century Gothic"/>
          <w:bCs/>
          <w:iCs/>
          <w:szCs w:val="26"/>
        </w:rPr>
        <w:t>Hon’ble Commission</w:t>
      </w:r>
      <w:r w:rsidR="00A271C4">
        <w:rPr>
          <w:rFonts w:ascii="Century Gothic" w:hAnsi="Century Gothic"/>
          <w:bCs/>
          <w:iCs/>
          <w:szCs w:val="26"/>
        </w:rPr>
        <w:t xml:space="preserve"> has given the reason </w:t>
      </w:r>
      <w:r w:rsidR="001B66D0">
        <w:rPr>
          <w:rFonts w:ascii="Century Gothic" w:hAnsi="Century Gothic"/>
          <w:bCs/>
          <w:iCs/>
          <w:szCs w:val="26"/>
        </w:rPr>
        <w:t xml:space="preserve">to disallow the </w:t>
      </w:r>
      <w:r w:rsidR="001B66D0" w:rsidRPr="00A271C4">
        <w:rPr>
          <w:rFonts w:ascii="Century Gothic" w:hAnsi="Century Gothic"/>
          <w:bCs/>
          <w:iCs/>
          <w:szCs w:val="26"/>
        </w:rPr>
        <w:t>actual</w:t>
      </w:r>
      <w:r w:rsidR="007A0853" w:rsidRPr="00A271C4">
        <w:rPr>
          <w:rFonts w:ascii="Century Gothic" w:hAnsi="Century Gothic"/>
          <w:bCs/>
          <w:iCs/>
          <w:szCs w:val="26"/>
        </w:rPr>
        <w:t xml:space="preserve"> heat</w:t>
      </w:r>
      <w:r w:rsidR="007A0853">
        <w:rPr>
          <w:rFonts w:ascii="Century Gothic" w:hAnsi="Century Gothic"/>
          <w:bCs/>
          <w:iCs/>
          <w:szCs w:val="26"/>
        </w:rPr>
        <w:t xml:space="preserve"> </w:t>
      </w:r>
      <w:r w:rsidR="00A271C4">
        <w:rPr>
          <w:rFonts w:ascii="Century Gothic" w:hAnsi="Century Gothic"/>
          <w:bCs/>
          <w:iCs/>
          <w:szCs w:val="26"/>
        </w:rPr>
        <w:t xml:space="preserve">rate </w:t>
      </w:r>
      <w:r w:rsidR="007A0853">
        <w:rPr>
          <w:rFonts w:ascii="Century Gothic" w:hAnsi="Century Gothic"/>
          <w:bCs/>
          <w:iCs/>
          <w:szCs w:val="26"/>
        </w:rPr>
        <w:t xml:space="preserve">in open cycle mode </w:t>
      </w:r>
      <w:r w:rsidR="00CC6D2E" w:rsidRPr="00CC6D2E">
        <w:rPr>
          <w:rFonts w:ascii="Century Gothic" w:hAnsi="Century Gothic"/>
          <w:bCs/>
          <w:iCs/>
          <w:szCs w:val="26"/>
        </w:rPr>
        <w:t xml:space="preserve">that the station is expected to run in combined cycle mode most of the time and open cycle operation is rare. </w:t>
      </w:r>
      <w:r w:rsidR="00E957DE">
        <w:rPr>
          <w:rFonts w:ascii="Century Gothic" w:hAnsi="Century Gothic"/>
          <w:bCs/>
          <w:iCs/>
          <w:szCs w:val="26"/>
        </w:rPr>
        <w:t>In this regard, i</w:t>
      </w:r>
      <w:r w:rsidR="00CC6D2E" w:rsidRPr="00CC6D2E">
        <w:rPr>
          <w:rFonts w:ascii="Century Gothic" w:hAnsi="Century Gothic"/>
          <w:bCs/>
          <w:iCs/>
          <w:szCs w:val="26"/>
        </w:rPr>
        <w:t xml:space="preserve">t is submitted that the station runs in open cycle mode only as and when </w:t>
      </w:r>
      <w:r w:rsidR="00CC6D2E" w:rsidRPr="00433405">
        <w:rPr>
          <w:rFonts w:ascii="Century Gothic" w:hAnsi="Century Gothic"/>
          <w:bCs/>
          <w:iCs/>
          <w:szCs w:val="26"/>
        </w:rPr>
        <w:t>requisitioned</w:t>
      </w:r>
      <w:r w:rsidR="00CC6D2E" w:rsidRPr="00CC6D2E">
        <w:rPr>
          <w:rFonts w:ascii="Century Gothic" w:hAnsi="Century Gothic"/>
          <w:bCs/>
          <w:iCs/>
          <w:szCs w:val="26"/>
        </w:rPr>
        <w:t xml:space="preserve"> by SLDC, Delhi.</w:t>
      </w:r>
      <w:r w:rsidR="001052F2">
        <w:rPr>
          <w:rFonts w:ascii="Century Gothic" w:hAnsi="Century Gothic"/>
          <w:bCs/>
          <w:iCs/>
          <w:szCs w:val="26"/>
        </w:rPr>
        <w:t xml:space="preserve"> It is seen from the table-2 as below that backing down and open cycle generation has been substantially high.  The backdown during FY 2012-13, 2013-14 and 2014-15 has been 4.11%, 7.86% and 18.75% respectively.  </w:t>
      </w:r>
      <w:r w:rsidR="00472F06">
        <w:rPr>
          <w:rFonts w:ascii="Century Gothic" w:hAnsi="Century Gothic"/>
          <w:bCs/>
          <w:iCs/>
          <w:szCs w:val="26"/>
        </w:rPr>
        <w:t>The open cycle generation has also rising trend and same for FY 14-15 (upto Jan.,15)</w:t>
      </w:r>
      <w:r w:rsidR="004F07E5">
        <w:rPr>
          <w:rFonts w:ascii="Century Gothic" w:hAnsi="Century Gothic"/>
          <w:bCs/>
          <w:iCs/>
          <w:szCs w:val="26"/>
        </w:rPr>
        <w:t xml:space="preserve"> is </w:t>
      </w:r>
      <w:r w:rsidR="00472F06">
        <w:rPr>
          <w:rFonts w:ascii="Century Gothic" w:hAnsi="Century Gothic"/>
          <w:bCs/>
          <w:iCs/>
          <w:szCs w:val="26"/>
        </w:rPr>
        <w:t xml:space="preserve"> 5.25%.</w:t>
      </w:r>
    </w:p>
    <w:p w:rsidR="00433405" w:rsidRPr="00433405" w:rsidRDefault="007D5551" w:rsidP="00433405">
      <w:pPr>
        <w:pStyle w:val="Caption"/>
        <w:jc w:val="center"/>
      </w:pPr>
      <w:r>
        <w:t xml:space="preserve">    </w:t>
      </w:r>
      <w:bookmarkStart w:id="15" w:name="_Toc411525177"/>
      <w:r w:rsidR="00433405">
        <w:t xml:space="preserve">Table </w:t>
      </w:r>
      <w:fldSimple w:instr=" SEQ Table \* ARABIC ">
        <w:r w:rsidR="000F406F">
          <w:rPr>
            <w:noProof/>
          </w:rPr>
          <w:t>2</w:t>
        </w:r>
      </w:fldSimple>
      <w:r w:rsidR="00433405">
        <w:t xml:space="preserve"> :</w:t>
      </w:r>
      <w:r w:rsidR="00433405" w:rsidRPr="0083563F">
        <w:t xml:space="preserve"> </w:t>
      </w:r>
      <w:r w:rsidR="00433405">
        <w:t>Details of Back down &amp; Open cycle Generation</w:t>
      </w:r>
      <w:r w:rsidR="00433405" w:rsidRPr="0083563F">
        <w:t xml:space="preserve"> for PPS-I</w:t>
      </w:r>
      <w:bookmarkEnd w:id="15"/>
    </w:p>
    <w:tbl>
      <w:tblPr>
        <w:tblW w:w="0" w:type="auto"/>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3058"/>
        <w:gridCol w:w="1864"/>
        <w:gridCol w:w="1772"/>
        <w:gridCol w:w="1681"/>
      </w:tblGrid>
      <w:tr w:rsidR="00CC3FDD" w:rsidRPr="007D5551" w:rsidTr="00822D80">
        <w:trPr>
          <w:trHeight w:val="1224"/>
        </w:trPr>
        <w:tc>
          <w:tcPr>
            <w:tcW w:w="3058" w:type="dxa"/>
            <w:shd w:val="clear" w:color="auto" w:fill="00B0F0"/>
          </w:tcPr>
          <w:p w:rsidR="00CC3FDD" w:rsidRPr="007D5551" w:rsidRDefault="001052F2" w:rsidP="00CC3FDD">
            <w:pPr>
              <w:autoSpaceDE w:val="0"/>
              <w:autoSpaceDN w:val="0"/>
              <w:adjustRightInd w:val="0"/>
              <w:spacing w:line="240" w:lineRule="auto"/>
              <w:jc w:val="center"/>
              <w:rPr>
                <w:rFonts w:ascii="Calibri" w:hAnsi="Calibri" w:cs="Calibri"/>
                <w:b/>
                <w:bCs/>
                <w:color w:val="000000"/>
                <w:sz w:val="28"/>
                <w:szCs w:val="32"/>
              </w:rPr>
            </w:pPr>
            <w:r>
              <w:rPr>
                <w:rFonts w:ascii="Calibri" w:hAnsi="Calibri" w:cs="Calibri"/>
                <w:b/>
                <w:bCs/>
                <w:color w:val="000000"/>
                <w:sz w:val="28"/>
                <w:szCs w:val="32"/>
              </w:rPr>
              <w:t>Pa</w:t>
            </w:r>
            <w:r w:rsidR="00CC3FDD" w:rsidRPr="007D5551">
              <w:rPr>
                <w:rFonts w:ascii="Calibri" w:hAnsi="Calibri" w:cs="Calibri"/>
                <w:b/>
                <w:bCs/>
                <w:color w:val="000000"/>
                <w:sz w:val="28"/>
                <w:szCs w:val="32"/>
              </w:rPr>
              <w:t>rameters</w:t>
            </w:r>
          </w:p>
        </w:tc>
        <w:tc>
          <w:tcPr>
            <w:tcW w:w="1864" w:type="dxa"/>
            <w:shd w:val="clear" w:color="auto" w:fill="00B0F0"/>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2012-13</w:t>
            </w:r>
          </w:p>
        </w:tc>
        <w:tc>
          <w:tcPr>
            <w:tcW w:w="1772" w:type="dxa"/>
            <w:shd w:val="clear" w:color="auto" w:fill="00B0F0"/>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2013-14</w:t>
            </w:r>
          </w:p>
        </w:tc>
        <w:tc>
          <w:tcPr>
            <w:tcW w:w="1681" w:type="dxa"/>
            <w:shd w:val="clear" w:color="auto" w:fill="00B0F0"/>
          </w:tcPr>
          <w:p w:rsidR="00CC3FDD" w:rsidRPr="007D5551" w:rsidRDefault="00CC3FDD" w:rsidP="00CC3FDD">
            <w:pPr>
              <w:autoSpaceDE w:val="0"/>
              <w:autoSpaceDN w:val="0"/>
              <w:adjustRightInd w:val="0"/>
              <w:spacing w:line="240" w:lineRule="auto"/>
              <w:jc w:val="center"/>
              <w:rPr>
                <w:rFonts w:ascii="Calibri" w:hAnsi="Calibri" w:cs="Calibri"/>
                <w:b/>
                <w:bCs/>
                <w:color w:val="000000"/>
                <w:sz w:val="28"/>
                <w:szCs w:val="32"/>
              </w:rPr>
            </w:pPr>
            <w:r w:rsidRPr="007D5551">
              <w:rPr>
                <w:rFonts w:ascii="Calibri" w:hAnsi="Calibri" w:cs="Calibri"/>
                <w:b/>
                <w:bCs/>
                <w:color w:val="000000"/>
                <w:sz w:val="28"/>
                <w:szCs w:val="32"/>
              </w:rPr>
              <w:t>2014-15 (Upto 31-Jan'15)</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Station Heat Rate</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2008.05</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2002.94</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2057.85</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Heat Rate (OC)</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3121.18</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3161.23</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3213.19</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Heat Rate (CC)</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1988.70</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1989.94</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1992.35</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Gross Generation(MU)</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2508.29</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2425.35</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1605.12</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Open Cycle Gen.(MU)</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42.343</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26.919</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84.245</w:t>
            </w:r>
          </w:p>
        </w:tc>
      </w:tr>
      <w:tr w:rsidR="001052F2" w:rsidRPr="007D5551" w:rsidTr="007D5551">
        <w:trPr>
          <w:trHeight w:val="408"/>
        </w:trPr>
        <w:tc>
          <w:tcPr>
            <w:tcW w:w="3058" w:type="dxa"/>
          </w:tcPr>
          <w:p w:rsidR="001052F2" w:rsidRPr="007D5551" w:rsidRDefault="001052F2" w:rsidP="00CC3FDD">
            <w:pPr>
              <w:autoSpaceDE w:val="0"/>
              <w:autoSpaceDN w:val="0"/>
              <w:adjustRightInd w:val="0"/>
              <w:spacing w:line="240" w:lineRule="auto"/>
              <w:jc w:val="left"/>
              <w:rPr>
                <w:rFonts w:ascii="Calibri" w:hAnsi="Calibri" w:cs="Calibri"/>
                <w:b/>
                <w:bCs/>
                <w:color w:val="000000"/>
                <w:sz w:val="28"/>
                <w:szCs w:val="32"/>
              </w:rPr>
            </w:pPr>
            <w:r>
              <w:rPr>
                <w:rFonts w:ascii="Calibri" w:hAnsi="Calibri" w:cs="Calibri"/>
                <w:b/>
                <w:bCs/>
                <w:color w:val="000000"/>
                <w:sz w:val="28"/>
                <w:szCs w:val="32"/>
              </w:rPr>
              <w:t>Open Cycle Gen.(%</w:t>
            </w:r>
            <w:r w:rsidRPr="007D5551">
              <w:rPr>
                <w:rFonts w:ascii="Calibri" w:hAnsi="Calibri" w:cs="Calibri"/>
                <w:b/>
                <w:bCs/>
                <w:color w:val="000000"/>
                <w:sz w:val="28"/>
                <w:szCs w:val="32"/>
              </w:rPr>
              <w:t>)</w:t>
            </w:r>
          </w:p>
        </w:tc>
        <w:tc>
          <w:tcPr>
            <w:tcW w:w="1864" w:type="dxa"/>
          </w:tcPr>
          <w:p w:rsidR="001052F2" w:rsidRPr="007D5551" w:rsidRDefault="001052F2" w:rsidP="00CC3FDD">
            <w:pPr>
              <w:autoSpaceDE w:val="0"/>
              <w:autoSpaceDN w:val="0"/>
              <w:adjustRightInd w:val="0"/>
              <w:spacing w:line="240" w:lineRule="auto"/>
              <w:jc w:val="right"/>
              <w:rPr>
                <w:rFonts w:ascii="Calibri" w:hAnsi="Calibri" w:cs="Calibri"/>
                <w:color w:val="000000"/>
                <w:sz w:val="28"/>
                <w:szCs w:val="32"/>
              </w:rPr>
            </w:pPr>
            <w:r>
              <w:rPr>
                <w:rFonts w:ascii="Calibri" w:hAnsi="Calibri" w:cs="Calibri"/>
                <w:color w:val="000000"/>
                <w:sz w:val="28"/>
                <w:szCs w:val="32"/>
              </w:rPr>
              <w:t>1.68</w:t>
            </w:r>
          </w:p>
        </w:tc>
        <w:tc>
          <w:tcPr>
            <w:tcW w:w="1772" w:type="dxa"/>
          </w:tcPr>
          <w:p w:rsidR="001052F2" w:rsidRPr="007D5551" w:rsidRDefault="001052F2" w:rsidP="00CC3FDD">
            <w:pPr>
              <w:autoSpaceDE w:val="0"/>
              <w:autoSpaceDN w:val="0"/>
              <w:adjustRightInd w:val="0"/>
              <w:spacing w:line="240" w:lineRule="auto"/>
              <w:jc w:val="right"/>
              <w:rPr>
                <w:rFonts w:ascii="Calibri" w:hAnsi="Calibri" w:cs="Calibri"/>
                <w:color w:val="000000"/>
                <w:sz w:val="28"/>
                <w:szCs w:val="32"/>
              </w:rPr>
            </w:pPr>
            <w:r>
              <w:rPr>
                <w:rFonts w:ascii="Calibri" w:hAnsi="Calibri" w:cs="Calibri"/>
                <w:color w:val="000000"/>
                <w:sz w:val="28"/>
                <w:szCs w:val="32"/>
              </w:rPr>
              <w:t>1.11</w:t>
            </w:r>
          </w:p>
        </w:tc>
        <w:tc>
          <w:tcPr>
            <w:tcW w:w="1681" w:type="dxa"/>
          </w:tcPr>
          <w:p w:rsidR="001052F2" w:rsidRPr="007D5551" w:rsidRDefault="001052F2" w:rsidP="00CC3FDD">
            <w:pPr>
              <w:autoSpaceDE w:val="0"/>
              <w:autoSpaceDN w:val="0"/>
              <w:adjustRightInd w:val="0"/>
              <w:spacing w:line="240" w:lineRule="auto"/>
              <w:jc w:val="right"/>
              <w:rPr>
                <w:rFonts w:ascii="Calibri" w:hAnsi="Calibri" w:cs="Calibri"/>
                <w:color w:val="000000"/>
                <w:sz w:val="28"/>
                <w:szCs w:val="32"/>
              </w:rPr>
            </w:pPr>
            <w:r>
              <w:rPr>
                <w:rFonts w:ascii="Calibri" w:hAnsi="Calibri" w:cs="Calibri"/>
                <w:color w:val="000000"/>
                <w:sz w:val="28"/>
                <w:szCs w:val="32"/>
              </w:rPr>
              <w:t>5.25</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Back down (MU)</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107.547</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210.437</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370.431</w:t>
            </w:r>
          </w:p>
        </w:tc>
      </w:tr>
      <w:tr w:rsidR="00CC3FDD" w:rsidRPr="007D5551" w:rsidTr="007D5551">
        <w:trPr>
          <w:trHeight w:val="408"/>
        </w:trPr>
        <w:tc>
          <w:tcPr>
            <w:tcW w:w="3058" w:type="dxa"/>
          </w:tcPr>
          <w:p w:rsidR="00CC3FDD" w:rsidRPr="007D5551" w:rsidRDefault="00CC3FDD" w:rsidP="00CC3FDD">
            <w:pPr>
              <w:autoSpaceDE w:val="0"/>
              <w:autoSpaceDN w:val="0"/>
              <w:adjustRightInd w:val="0"/>
              <w:spacing w:line="240" w:lineRule="auto"/>
              <w:jc w:val="left"/>
              <w:rPr>
                <w:rFonts w:ascii="Calibri" w:hAnsi="Calibri" w:cs="Calibri"/>
                <w:b/>
                <w:bCs/>
                <w:color w:val="000000"/>
                <w:sz w:val="28"/>
                <w:szCs w:val="32"/>
              </w:rPr>
            </w:pPr>
            <w:r w:rsidRPr="007D5551">
              <w:rPr>
                <w:rFonts w:ascii="Calibri" w:hAnsi="Calibri" w:cs="Calibri"/>
                <w:b/>
                <w:bCs/>
                <w:color w:val="000000"/>
                <w:sz w:val="28"/>
                <w:szCs w:val="32"/>
              </w:rPr>
              <w:t>Back down (%)</w:t>
            </w:r>
          </w:p>
        </w:tc>
        <w:tc>
          <w:tcPr>
            <w:tcW w:w="1864"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4.11</w:t>
            </w:r>
          </w:p>
        </w:tc>
        <w:tc>
          <w:tcPr>
            <w:tcW w:w="1772"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7.86</w:t>
            </w:r>
          </w:p>
        </w:tc>
        <w:tc>
          <w:tcPr>
            <w:tcW w:w="1681" w:type="dxa"/>
          </w:tcPr>
          <w:p w:rsidR="00CC3FDD" w:rsidRPr="007D5551" w:rsidRDefault="00CC3FDD" w:rsidP="00CC3FDD">
            <w:pPr>
              <w:autoSpaceDE w:val="0"/>
              <w:autoSpaceDN w:val="0"/>
              <w:adjustRightInd w:val="0"/>
              <w:spacing w:line="240" w:lineRule="auto"/>
              <w:jc w:val="right"/>
              <w:rPr>
                <w:rFonts w:ascii="Calibri" w:hAnsi="Calibri" w:cs="Calibri"/>
                <w:color w:val="000000"/>
                <w:sz w:val="28"/>
                <w:szCs w:val="32"/>
              </w:rPr>
            </w:pPr>
            <w:r w:rsidRPr="007D5551">
              <w:rPr>
                <w:rFonts w:ascii="Calibri" w:hAnsi="Calibri" w:cs="Calibri"/>
                <w:color w:val="000000"/>
                <w:sz w:val="28"/>
                <w:szCs w:val="32"/>
              </w:rPr>
              <w:t>18.75</w:t>
            </w:r>
          </w:p>
        </w:tc>
      </w:tr>
    </w:tbl>
    <w:p w:rsidR="00CC3FDD" w:rsidRDefault="00CC3FDD" w:rsidP="00CC3FDD">
      <w:pPr>
        <w:pStyle w:val="BodyText"/>
        <w:ind w:left="900"/>
        <w:rPr>
          <w:rFonts w:ascii="Century Gothic" w:hAnsi="Century Gothic"/>
          <w:bCs/>
          <w:iCs/>
          <w:szCs w:val="26"/>
        </w:rPr>
      </w:pPr>
    </w:p>
    <w:p w:rsidR="000F7069" w:rsidRDefault="00221A11" w:rsidP="00221A11">
      <w:pPr>
        <w:pStyle w:val="BodyText"/>
        <w:ind w:left="900"/>
        <w:rPr>
          <w:rFonts w:ascii="Century Gothic" w:hAnsi="Century Gothic"/>
          <w:bCs/>
          <w:iCs/>
          <w:szCs w:val="26"/>
        </w:rPr>
      </w:pPr>
      <w:r>
        <w:rPr>
          <w:rFonts w:ascii="Century Gothic" w:hAnsi="Century Gothic"/>
          <w:bCs/>
          <w:iCs/>
          <w:szCs w:val="26"/>
        </w:rPr>
        <w:lastRenderedPageBreak/>
        <w:t>T</w:t>
      </w:r>
      <w:r w:rsidR="00CC6D2E" w:rsidRPr="00CC6D2E">
        <w:rPr>
          <w:rFonts w:ascii="Century Gothic" w:hAnsi="Century Gothic"/>
          <w:bCs/>
          <w:iCs/>
          <w:szCs w:val="26"/>
        </w:rPr>
        <w:t xml:space="preserve">here is a direct loss on </w:t>
      </w:r>
      <w:r w:rsidR="00812F20">
        <w:rPr>
          <w:rFonts w:ascii="Century Gothic" w:hAnsi="Century Gothic"/>
          <w:bCs/>
          <w:iCs/>
          <w:szCs w:val="26"/>
        </w:rPr>
        <w:t xml:space="preserve">account of </w:t>
      </w:r>
      <w:r w:rsidR="00CC6D2E" w:rsidRPr="00CC6D2E">
        <w:rPr>
          <w:rFonts w:ascii="Century Gothic" w:hAnsi="Century Gothic"/>
          <w:bCs/>
          <w:iCs/>
          <w:szCs w:val="26"/>
        </w:rPr>
        <w:t xml:space="preserve">recovery of </w:t>
      </w:r>
      <w:r w:rsidR="00812F20">
        <w:rPr>
          <w:rFonts w:ascii="Century Gothic" w:hAnsi="Century Gothic"/>
          <w:bCs/>
          <w:iCs/>
          <w:szCs w:val="26"/>
        </w:rPr>
        <w:t xml:space="preserve">lesser </w:t>
      </w:r>
      <w:r w:rsidR="00CC6D2E" w:rsidRPr="00CC6D2E">
        <w:rPr>
          <w:rFonts w:ascii="Century Gothic" w:hAnsi="Century Gothic"/>
          <w:bCs/>
          <w:iCs/>
          <w:szCs w:val="26"/>
        </w:rPr>
        <w:t xml:space="preserve">fuel cost when operated in open cycle mode. This loss in absolute terms is on higher side. </w:t>
      </w:r>
      <w:r w:rsidR="00073D7A">
        <w:rPr>
          <w:rFonts w:ascii="Century Gothic" w:hAnsi="Century Gothic"/>
          <w:bCs/>
          <w:iCs/>
          <w:szCs w:val="26"/>
        </w:rPr>
        <w:t xml:space="preserve">The </w:t>
      </w:r>
      <w:r w:rsidR="00881529">
        <w:rPr>
          <w:rFonts w:ascii="Century Gothic" w:hAnsi="Century Gothic"/>
          <w:bCs/>
          <w:iCs/>
          <w:szCs w:val="26"/>
        </w:rPr>
        <w:t>S</w:t>
      </w:r>
      <w:r w:rsidR="00CC6D2E" w:rsidRPr="00CC6D2E">
        <w:rPr>
          <w:rFonts w:ascii="Century Gothic" w:hAnsi="Century Gothic"/>
          <w:bCs/>
          <w:iCs/>
          <w:szCs w:val="26"/>
        </w:rPr>
        <w:t xml:space="preserve">tation </w:t>
      </w:r>
      <w:r w:rsidR="00881529">
        <w:rPr>
          <w:rFonts w:ascii="Century Gothic" w:hAnsi="Century Gothic"/>
          <w:bCs/>
          <w:iCs/>
          <w:szCs w:val="26"/>
        </w:rPr>
        <w:t xml:space="preserve">always </w:t>
      </w:r>
      <w:r w:rsidR="00CC6D2E" w:rsidRPr="00CC6D2E">
        <w:rPr>
          <w:rFonts w:ascii="Century Gothic" w:hAnsi="Century Gothic"/>
          <w:bCs/>
          <w:iCs/>
          <w:szCs w:val="26"/>
        </w:rPr>
        <w:t>endeavour to run in combined cycle mode but</w:t>
      </w:r>
      <w:r w:rsidR="00073D7A">
        <w:rPr>
          <w:rFonts w:ascii="Century Gothic" w:hAnsi="Century Gothic"/>
          <w:bCs/>
          <w:iCs/>
          <w:szCs w:val="26"/>
        </w:rPr>
        <w:t>,</w:t>
      </w:r>
      <w:r w:rsidR="00CC6D2E" w:rsidRPr="00CC6D2E">
        <w:rPr>
          <w:rFonts w:ascii="Century Gothic" w:hAnsi="Century Gothic"/>
          <w:bCs/>
          <w:iCs/>
          <w:szCs w:val="26"/>
        </w:rPr>
        <w:t xml:space="preserve"> </w:t>
      </w:r>
      <w:r w:rsidR="00073D7A">
        <w:rPr>
          <w:rFonts w:ascii="Century Gothic" w:hAnsi="Century Gothic"/>
          <w:bCs/>
          <w:iCs/>
          <w:szCs w:val="26"/>
        </w:rPr>
        <w:t>if</w:t>
      </w:r>
      <w:r w:rsidR="00CC6D2E" w:rsidRPr="00CC6D2E">
        <w:rPr>
          <w:rFonts w:ascii="Century Gothic" w:hAnsi="Century Gothic"/>
          <w:bCs/>
          <w:iCs/>
          <w:szCs w:val="26"/>
        </w:rPr>
        <w:t xml:space="preserve"> operated in open cycle mode</w:t>
      </w:r>
      <w:r w:rsidR="00033956">
        <w:rPr>
          <w:rFonts w:ascii="Century Gothic" w:hAnsi="Century Gothic"/>
          <w:bCs/>
          <w:iCs/>
          <w:szCs w:val="26"/>
        </w:rPr>
        <w:t>,</w:t>
      </w:r>
      <w:r w:rsidR="00CC6D2E" w:rsidRPr="00CC6D2E">
        <w:rPr>
          <w:rFonts w:ascii="Century Gothic" w:hAnsi="Century Gothic"/>
          <w:bCs/>
          <w:iCs/>
          <w:szCs w:val="26"/>
        </w:rPr>
        <w:t xml:space="preserve"> on the request of SLDC, the station may be allowed higher heat rate of 3</w:t>
      </w:r>
      <w:r w:rsidR="00073D7A">
        <w:rPr>
          <w:rFonts w:ascii="Century Gothic" w:hAnsi="Century Gothic"/>
          <w:bCs/>
          <w:iCs/>
          <w:szCs w:val="26"/>
        </w:rPr>
        <w:t>135</w:t>
      </w:r>
      <w:r w:rsidR="00CC6D2E" w:rsidRPr="00CC6D2E">
        <w:rPr>
          <w:rFonts w:ascii="Century Gothic" w:hAnsi="Century Gothic"/>
          <w:bCs/>
          <w:iCs/>
          <w:szCs w:val="26"/>
        </w:rPr>
        <w:t>kCal/kWh</w:t>
      </w:r>
      <w:r w:rsidR="00CC6D2E">
        <w:rPr>
          <w:rFonts w:ascii="Century Gothic" w:hAnsi="Century Gothic"/>
          <w:bCs/>
          <w:iCs/>
          <w:szCs w:val="26"/>
        </w:rPr>
        <w:t>.</w:t>
      </w:r>
      <w:r w:rsidR="00BC50F3" w:rsidRPr="00A80D32">
        <w:rPr>
          <w:rFonts w:ascii="Century Gothic" w:hAnsi="Century Gothic"/>
          <w:bCs/>
          <w:iCs/>
          <w:szCs w:val="26"/>
        </w:rPr>
        <w:t xml:space="preserve"> </w:t>
      </w:r>
      <w:r>
        <w:rPr>
          <w:rFonts w:ascii="Century Gothic" w:hAnsi="Century Gothic"/>
          <w:bCs/>
          <w:iCs/>
          <w:szCs w:val="26"/>
        </w:rPr>
        <w:t xml:space="preserve">The backing </w:t>
      </w:r>
      <w:r w:rsidR="00E22EA4">
        <w:rPr>
          <w:rFonts w:ascii="Century Gothic" w:hAnsi="Century Gothic"/>
          <w:bCs/>
          <w:iCs/>
          <w:szCs w:val="26"/>
        </w:rPr>
        <w:t>down and</w:t>
      </w:r>
      <w:r>
        <w:rPr>
          <w:rFonts w:ascii="Century Gothic" w:hAnsi="Century Gothic"/>
          <w:bCs/>
          <w:iCs/>
          <w:szCs w:val="26"/>
        </w:rPr>
        <w:t xml:space="preserve"> open cycle generation also results in increase in auxiliary consumption. </w:t>
      </w:r>
      <w:r w:rsidR="00073D7A" w:rsidRPr="00073D7A">
        <w:rPr>
          <w:rFonts w:ascii="Century Gothic" w:hAnsi="Century Gothic"/>
          <w:b/>
          <w:bCs/>
          <w:iCs/>
          <w:szCs w:val="26"/>
        </w:rPr>
        <w:t>The p</w:t>
      </w:r>
      <w:r w:rsidR="00DB44FD" w:rsidRPr="00073D7A">
        <w:rPr>
          <w:rFonts w:ascii="Century Gothic" w:hAnsi="Century Gothic"/>
          <w:b/>
          <w:bCs/>
          <w:iCs/>
          <w:szCs w:val="26"/>
        </w:rPr>
        <w:t>etitioner</w:t>
      </w:r>
      <w:r w:rsidR="000F7069" w:rsidRPr="00073D7A">
        <w:rPr>
          <w:rFonts w:ascii="Century Gothic" w:hAnsi="Century Gothic"/>
          <w:b/>
          <w:bCs/>
          <w:iCs/>
          <w:szCs w:val="26"/>
        </w:rPr>
        <w:t xml:space="preserve"> requests the </w:t>
      </w:r>
      <w:r w:rsidR="00311F80" w:rsidRPr="00073D7A">
        <w:rPr>
          <w:rFonts w:ascii="Century Gothic" w:hAnsi="Century Gothic"/>
          <w:b/>
          <w:bCs/>
          <w:iCs/>
          <w:szCs w:val="26"/>
        </w:rPr>
        <w:t xml:space="preserve">Hon’ble </w:t>
      </w:r>
      <w:r w:rsidR="000F7069" w:rsidRPr="00073D7A">
        <w:rPr>
          <w:rFonts w:ascii="Century Gothic" w:hAnsi="Century Gothic"/>
          <w:b/>
          <w:bCs/>
          <w:iCs/>
          <w:szCs w:val="26"/>
        </w:rPr>
        <w:t>Commissio</w:t>
      </w:r>
      <w:r w:rsidR="00074895" w:rsidRPr="00073D7A">
        <w:rPr>
          <w:rFonts w:ascii="Century Gothic" w:hAnsi="Century Gothic"/>
          <w:b/>
          <w:bCs/>
          <w:iCs/>
          <w:szCs w:val="26"/>
        </w:rPr>
        <w:t>n to approve the open cycle heat</w:t>
      </w:r>
      <w:r w:rsidR="00E332CA" w:rsidRPr="00073D7A">
        <w:rPr>
          <w:rFonts w:ascii="Century Gothic" w:hAnsi="Century Gothic"/>
          <w:b/>
          <w:bCs/>
          <w:iCs/>
          <w:szCs w:val="26"/>
        </w:rPr>
        <w:t xml:space="preserve"> rate of 31</w:t>
      </w:r>
      <w:r w:rsidR="00E12806" w:rsidRPr="00073D7A">
        <w:rPr>
          <w:rFonts w:ascii="Century Gothic" w:hAnsi="Century Gothic"/>
          <w:b/>
          <w:bCs/>
          <w:iCs/>
          <w:szCs w:val="26"/>
        </w:rPr>
        <w:t>35</w:t>
      </w:r>
      <w:r w:rsidR="00E332CA" w:rsidRPr="00073D7A">
        <w:rPr>
          <w:rFonts w:ascii="Century Gothic" w:hAnsi="Century Gothic"/>
          <w:b/>
          <w:bCs/>
          <w:iCs/>
          <w:szCs w:val="26"/>
        </w:rPr>
        <w:t xml:space="preserve"> </w:t>
      </w:r>
      <w:r w:rsidR="000F7069" w:rsidRPr="00073D7A">
        <w:rPr>
          <w:rFonts w:ascii="Century Gothic" w:hAnsi="Century Gothic"/>
          <w:b/>
          <w:bCs/>
          <w:iCs/>
          <w:szCs w:val="26"/>
        </w:rPr>
        <w:t>kCal/k</w:t>
      </w:r>
      <w:r w:rsidR="00E12806" w:rsidRPr="00073D7A">
        <w:rPr>
          <w:rFonts w:ascii="Century Gothic" w:hAnsi="Century Gothic"/>
          <w:b/>
          <w:bCs/>
          <w:iCs/>
          <w:szCs w:val="26"/>
        </w:rPr>
        <w:t>W</w:t>
      </w:r>
      <w:r w:rsidR="000F7069" w:rsidRPr="00073D7A">
        <w:rPr>
          <w:rFonts w:ascii="Century Gothic" w:hAnsi="Century Gothic"/>
          <w:b/>
          <w:bCs/>
          <w:iCs/>
          <w:szCs w:val="26"/>
        </w:rPr>
        <w:t xml:space="preserve">h for FY </w:t>
      </w:r>
      <w:r w:rsidR="00B976D4" w:rsidRPr="00073D7A">
        <w:rPr>
          <w:rFonts w:ascii="Century Gothic" w:hAnsi="Century Gothic"/>
          <w:b/>
          <w:bCs/>
          <w:iCs/>
          <w:szCs w:val="26"/>
        </w:rPr>
        <w:t>20</w:t>
      </w:r>
      <w:r w:rsidR="000F7069" w:rsidRPr="00073D7A">
        <w:rPr>
          <w:rFonts w:ascii="Century Gothic" w:hAnsi="Century Gothic"/>
          <w:b/>
          <w:bCs/>
          <w:iCs/>
          <w:szCs w:val="26"/>
        </w:rPr>
        <w:t>1</w:t>
      </w:r>
      <w:r w:rsidR="00073D7A" w:rsidRPr="00073D7A">
        <w:rPr>
          <w:rFonts w:ascii="Century Gothic" w:hAnsi="Century Gothic"/>
          <w:b/>
          <w:bCs/>
          <w:iCs/>
          <w:szCs w:val="26"/>
        </w:rPr>
        <w:t>2</w:t>
      </w:r>
      <w:r w:rsidR="000F7069" w:rsidRPr="00073D7A">
        <w:rPr>
          <w:rFonts w:ascii="Century Gothic" w:hAnsi="Century Gothic"/>
          <w:b/>
          <w:bCs/>
          <w:iCs/>
          <w:szCs w:val="26"/>
        </w:rPr>
        <w:t>-1</w:t>
      </w:r>
      <w:r w:rsidR="00073D7A" w:rsidRPr="00073D7A">
        <w:rPr>
          <w:rFonts w:ascii="Century Gothic" w:hAnsi="Century Gothic"/>
          <w:b/>
          <w:bCs/>
          <w:iCs/>
          <w:szCs w:val="26"/>
        </w:rPr>
        <w:t>3 to FY 2014-15</w:t>
      </w:r>
      <w:r w:rsidR="00DC2E9E" w:rsidRPr="00073D7A">
        <w:rPr>
          <w:rFonts w:ascii="Century Gothic" w:hAnsi="Century Gothic"/>
          <w:b/>
          <w:bCs/>
          <w:iCs/>
          <w:szCs w:val="26"/>
        </w:rPr>
        <w:t xml:space="preserve"> </w:t>
      </w:r>
      <w:r w:rsidR="00B10176" w:rsidRPr="00073D7A">
        <w:rPr>
          <w:rFonts w:ascii="Century Gothic" w:hAnsi="Century Gothic"/>
          <w:b/>
          <w:bCs/>
          <w:iCs/>
          <w:szCs w:val="26"/>
        </w:rPr>
        <w:t xml:space="preserve">and allow the actual SHR </w:t>
      </w:r>
      <w:r w:rsidR="0082635E" w:rsidRPr="00073D7A">
        <w:rPr>
          <w:rFonts w:ascii="Century Gothic" w:hAnsi="Century Gothic"/>
          <w:b/>
          <w:bCs/>
          <w:iCs/>
          <w:szCs w:val="26"/>
        </w:rPr>
        <w:t>achieved in</w:t>
      </w:r>
      <w:r w:rsidR="002F5649" w:rsidRPr="00073D7A">
        <w:rPr>
          <w:rFonts w:ascii="Century Gothic" w:hAnsi="Century Gothic"/>
          <w:b/>
          <w:bCs/>
          <w:iCs/>
          <w:szCs w:val="26"/>
        </w:rPr>
        <w:t xml:space="preserve"> open</w:t>
      </w:r>
      <w:r w:rsidR="00B976D4" w:rsidRPr="00073D7A">
        <w:rPr>
          <w:rFonts w:ascii="Century Gothic" w:hAnsi="Century Gothic"/>
          <w:b/>
          <w:bCs/>
          <w:iCs/>
          <w:szCs w:val="26"/>
        </w:rPr>
        <w:t xml:space="preserve"> </w:t>
      </w:r>
      <w:r w:rsidR="002F5649" w:rsidRPr="00073D7A">
        <w:rPr>
          <w:rFonts w:ascii="Century Gothic" w:hAnsi="Century Gothic"/>
          <w:b/>
          <w:bCs/>
          <w:iCs/>
          <w:szCs w:val="26"/>
        </w:rPr>
        <w:t xml:space="preserve">cycle mode during the </w:t>
      </w:r>
      <w:r w:rsidR="00704600">
        <w:rPr>
          <w:rFonts w:ascii="Century Gothic" w:hAnsi="Century Gothic"/>
          <w:b/>
          <w:bCs/>
          <w:iCs/>
          <w:szCs w:val="26"/>
        </w:rPr>
        <w:t xml:space="preserve">extended period of current MYT Regulation for </w:t>
      </w:r>
      <w:r w:rsidR="00B10176" w:rsidRPr="00073D7A">
        <w:rPr>
          <w:rFonts w:ascii="Century Gothic" w:hAnsi="Century Gothic"/>
          <w:b/>
          <w:bCs/>
          <w:iCs/>
          <w:szCs w:val="26"/>
        </w:rPr>
        <w:t xml:space="preserve">FY </w:t>
      </w:r>
      <w:r w:rsidR="00B976D4" w:rsidRPr="00073D7A">
        <w:rPr>
          <w:rFonts w:ascii="Century Gothic" w:hAnsi="Century Gothic"/>
          <w:b/>
          <w:bCs/>
          <w:iCs/>
          <w:szCs w:val="26"/>
        </w:rPr>
        <w:t>20</w:t>
      </w:r>
      <w:r w:rsidR="00704600">
        <w:rPr>
          <w:rFonts w:ascii="Century Gothic" w:hAnsi="Century Gothic"/>
          <w:b/>
          <w:bCs/>
          <w:iCs/>
          <w:szCs w:val="26"/>
        </w:rPr>
        <w:t>15-16</w:t>
      </w:r>
      <w:r w:rsidR="000C6798">
        <w:rPr>
          <w:rFonts w:ascii="Century Gothic" w:hAnsi="Century Gothic"/>
          <w:bCs/>
          <w:iCs/>
          <w:szCs w:val="26"/>
        </w:rPr>
        <w:t>.</w:t>
      </w:r>
    </w:p>
    <w:p w:rsidR="0082635E" w:rsidRDefault="0082635E" w:rsidP="0082635E">
      <w:pPr>
        <w:pStyle w:val="BodyText"/>
        <w:rPr>
          <w:rFonts w:ascii="Century Gothic" w:hAnsi="Century Gothic"/>
          <w:bCs/>
          <w:iCs/>
          <w:szCs w:val="26"/>
        </w:rPr>
      </w:pPr>
    </w:p>
    <w:p w:rsidR="000F7069" w:rsidRDefault="000F7069">
      <w:pPr>
        <w:pStyle w:val="Heading6"/>
        <w:numPr>
          <w:ilvl w:val="0"/>
          <w:numId w:val="0"/>
        </w:numPr>
        <w:spacing w:before="0" w:after="0"/>
      </w:pPr>
      <w:r>
        <w:t xml:space="preserve">3.1.2 </w:t>
      </w:r>
      <w:r w:rsidR="00D322E5">
        <w:t>Availability</w:t>
      </w:r>
    </w:p>
    <w:p w:rsidR="000137E0" w:rsidRPr="00376313" w:rsidRDefault="000137E0" w:rsidP="000137E0">
      <w:pPr>
        <w:rPr>
          <w:sz w:val="4"/>
        </w:rPr>
      </w:pPr>
    </w:p>
    <w:p w:rsidR="00E95F3F" w:rsidRPr="00822D80" w:rsidRDefault="000F7069" w:rsidP="00822D80">
      <w:pPr>
        <w:pStyle w:val="ListParagraph"/>
        <w:numPr>
          <w:ilvl w:val="0"/>
          <w:numId w:val="40"/>
        </w:numPr>
        <w:rPr>
          <w:bCs/>
          <w:iCs/>
          <w:sz w:val="22"/>
          <w:szCs w:val="26"/>
        </w:rPr>
      </w:pPr>
      <w:r w:rsidRPr="00822D80">
        <w:rPr>
          <w:bCs/>
          <w:iCs/>
          <w:sz w:val="22"/>
          <w:szCs w:val="26"/>
        </w:rPr>
        <w:t xml:space="preserve">Table 2 </w:t>
      </w:r>
      <w:r w:rsidR="00625982" w:rsidRPr="00822D80">
        <w:rPr>
          <w:bCs/>
          <w:iCs/>
          <w:sz w:val="22"/>
          <w:szCs w:val="26"/>
        </w:rPr>
        <w:t>depicts</w:t>
      </w:r>
      <w:r w:rsidRPr="00822D80">
        <w:rPr>
          <w:bCs/>
          <w:iCs/>
          <w:sz w:val="22"/>
          <w:szCs w:val="26"/>
        </w:rPr>
        <w:t xml:space="preserve"> the achieved parameter for </w:t>
      </w:r>
      <w:r w:rsidR="0082635E" w:rsidRPr="00822D80">
        <w:rPr>
          <w:bCs/>
          <w:iCs/>
          <w:sz w:val="22"/>
          <w:szCs w:val="26"/>
        </w:rPr>
        <w:t>Availability for</w:t>
      </w:r>
      <w:r w:rsidRPr="00822D80">
        <w:rPr>
          <w:bCs/>
          <w:iCs/>
          <w:sz w:val="22"/>
          <w:szCs w:val="26"/>
        </w:rPr>
        <w:t xml:space="preserve"> PP</w:t>
      </w:r>
      <w:r w:rsidR="00BD67B0" w:rsidRPr="00822D80">
        <w:rPr>
          <w:bCs/>
          <w:iCs/>
          <w:sz w:val="22"/>
          <w:szCs w:val="26"/>
        </w:rPr>
        <w:t xml:space="preserve">S-I during the Control period from </w:t>
      </w:r>
      <w:r w:rsidR="00534CC4" w:rsidRPr="00822D80">
        <w:rPr>
          <w:bCs/>
          <w:iCs/>
          <w:sz w:val="22"/>
          <w:szCs w:val="26"/>
        </w:rPr>
        <w:t>FY 2012-13 to 2013-14 and 2014-15</w:t>
      </w:r>
      <w:r w:rsidR="009A35F6" w:rsidRPr="00822D80">
        <w:rPr>
          <w:bCs/>
          <w:iCs/>
          <w:sz w:val="22"/>
          <w:szCs w:val="26"/>
        </w:rPr>
        <w:t xml:space="preserve"> (Provisional)</w:t>
      </w:r>
      <w:r w:rsidR="00BB2141" w:rsidRPr="00822D80">
        <w:rPr>
          <w:bCs/>
          <w:iCs/>
          <w:sz w:val="22"/>
          <w:szCs w:val="26"/>
        </w:rPr>
        <w:t xml:space="preserve"> </w:t>
      </w:r>
      <w:r w:rsidRPr="00822D80">
        <w:rPr>
          <w:bCs/>
          <w:iCs/>
          <w:sz w:val="22"/>
          <w:szCs w:val="26"/>
        </w:rPr>
        <w:t xml:space="preserve">and proposed </w:t>
      </w:r>
      <w:r w:rsidR="00FF6ECC" w:rsidRPr="00822D80">
        <w:rPr>
          <w:bCs/>
          <w:iCs/>
          <w:sz w:val="22"/>
          <w:szCs w:val="26"/>
        </w:rPr>
        <w:t>Availability</w:t>
      </w:r>
      <w:r w:rsidRPr="00822D80">
        <w:rPr>
          <w:bCs/>
          <w:iCs/>
          <w:sz w:val="22"/>
          <w:szCs w:val="26"/>
        </w:rPr>
        <w:t xml:space="preserve"> for</w:t>
      </w:r>
      <w:r w:rsidR="000137E0" w:rsidRPr="00822D80">
        <w:rPr>
          <w:bCs/>
          <w:iCs/>
          <w:sz w:val="22"/>
          <w:szCs w:val="26"/>
        </w:rPr>
        <w:t xml:space="preserve"> </w:t>
      </w:r>
      <w:r w:rsidR="005F4A33" w:rsidRPr="00822D80">
        <w:rPr>
          <w:bCs/>
          <w:iCs/>
          <w:sz w:val="22"/>
          <w:szCs w:val="26"/>
        </w:rPr>
        <w:t>FY 201</w:t>
      </w:r>
      <w:r w:rsidR="009A35F6" w:rsidRPr="00822D80">
        <w:rPr>
          <w:bCs/>
          <w:iCs/>
          <w:sz w:val="22"/>
          <w:szCs w:val="26"/>
        </w:rPr>
        <w:t>5-16</w:t>
      </w:r>
      <w:r w:rsidR="00721A9D" w:rsidRPr="00822D80">
        <w:rPr>
          <w:bCs/>
          <w:iCs/>
          <w:sz w:val="22"/>
          <w:szCs w:val="26"/>
        </w:rPr>
        <w:t xml:space="preserve">. </w:t>
      </w:r>
    </w:p>
    <w:p w:rsidR="00822D80" w:rsidRPr="00822D80" w:rsidRDefault="00822D80" w:rsidP="00822D80">
      <w:pPr>
        <w:pStyle w:val="ListParagraph"/>
        <w:ind w:left="900"/>
        <w:rPr>
          <w:bCs/>
          <w:iCs/>
          <w:sz w:val="22"/>
          <w:szCs w:val="26"/>
        </w:rPr>
      </w:pPr>
    </w:p>
    <w:p w:rsidR="00407556" w:rsidRPr="00822D80" w:rsidRDefault="000F7069" w:rsidP="00DE1ED0">
      <w:pPr>
        <w:ind w:left="900" w:hanging="360"/>
        <w:rPr>
          <w:b/>
        </w:rPr>
      </w:pPr>
      <w:r>
        <w:rPr>
          <w:bCs/>
          <w:iCs/>
          <w:sz w:val="22"/>
          <w:szCs w:val="26"/>
        </w:rPr>
        <w:t xml:space="preserve">               </w:t>
      </w:r>
      <w:r>
        <w:rPr>
          <w:b/>
          <w:bCs/>
        </w:rPr>
        <w:t xml:space="preserve">  </w:t>
      </w:r>
      <w:bookmarkStart w:id="16" w:name="_Toc174196336"/>
      <w:bookmarkStart w:id="17" w:name="_Toc411525178"/>
      <w:r w:rsidR="00272798" w:rsidRPr="00822D80">
        <w:rPr>
          <w:b/>
        </w:rPr>
        <w:t xml:space="preserve">Table </w:t>
      </w:r>
      <w:r w:rsidR="009F72BB" w:rsidRPr="00822D80">
        <w:rPr>
          <w:b/>
        </w:rPr>
        <w:fldChar w:fldCharType="begin"/>
      </w:r>
      <w:r w:rsidR="00965C11" w:rsidRPr="00822D80">
        <w:rPr>
          <w:b/>
        </w:rPr>
        <w:instrText xml:space="preserve"> SEQ Table \* ARABIC </w:instrText>
      </w:r>
      <w:r w:rsidR="009F72BB" w:rsidRPr="00822D80">
        <w:rPr>
          <w:b/>
        </w:rPr>
        <w:fldChar w:fldCharType="separate"/>
      </w:r>
      <w:r w:rsidR="000F406F">
        <w:rPr>
          <w:b/>
          <w:noProof/>
        </w:rPr>
        <w:t>3</w:t>
      </w:r>
      <w:r w:rsidR="009F72BB" w:rsidRPr="00822D80">
        <w:rPr>
          <w:b/>
        </w:rPr>
        <w:fldChar w:fldCharType="end"/>
      </w:r>
      <w:r w:rsidR="00272798" w:rsidRPr="00822D80">
        <w:rPr>
          <w:b/>
        </w:rPr>
        <w:t xml:space="preserve"> :</w:t>
      </w:r>
      <w:r w:rsidRPr="00822D80">
        <w:rPr>
          <w:b/>
        </w:rPr>
        <w:t xml:space="preserve"> </w:t>
      </w:r>
      <w:r w:rsidR="00D322E5" w:rsidRPr="00822D80">
        <w:rPr>
          <w:b/>
        </w:rPr>
        <w:t>Availability</w:t>
      </w:r>
      <w:r w:rsidRPr="00822D80">
        <w:rPr>
          <w:b/>
        </w:rPr>
        <w:t xml:space="preserve"> (%) for PP</w:t>
      </w:r>
      <w:bookmarkEnd w:id="16"/>
      <w:r w:rsidR="00F22D93" w:rsidRPr="00822D80">
        <w:rPr>
          <w:b/>
        </w:rPr>
        <w:t>S-I</w:t>
      </w:r>
      <w:bookmarkEnd w:id="17"/>
    </w:p>
    <w:p w:rsidR="00407556" w:rsidRDefault="00407556" w:rsidP="00407556"/>
    <w:tbl>
      <w:tblPr>
        <w:tblW w:w="843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83"/>
        <w:gridCol w:w="1710"/>
        <w:gridCol w:w="1350"/>
        <w:gridCol w:w="1170"/>
        <w:gridCol w:w="1620"/>
      </w:tblGrid>
      <w:tr w:rsidR="00407556" w:rsidRPr="009F2D88" w:rsidTr="0064724E">
        <w:trPr>
          <w:trHeight w:val="489"/>
        </w:trPr>
        <w:tc>
          <w:tcPr>
            <w:tcW w:w="2583" w:type="dxa"/>
            <w:shd w:val="clear" w:color="auto" w:fill="000080"/>
            <w:noWrap/>
            <w:vAlign w:val="center"/>
          </w:tcPr>
          <w:p w:rsidR="00407556" w:rsidRPr="009F2D88" w:rsidRDefault="00407556" w:rsidP="00545FB4">
            <w:pPr>
              <w:spacing w:line="240" w:lineRule="auto"/>
              <w:rPr>
                <w:b/>
                <w:bCs/>
                <w:sz w:val="22"/>
                <w:szCs w:val="22"/>
              </w:rPr>
            </w:pPr>
            <w:r w:rsidRPr="009F2D88">
              <w:rPr>
                <w:b/>
                <w:bCs/>
                <w:sz w:val="22"/>
                <w:szCs w:val="22"/>
              </w:rPr>
              <w:t>Description</w:t>
            </w:r>
          </w:p>
        </w:tc>
        <w:tc>
          <w:tcPr>
            <w:tcW w:w="1710" w:type="dxa"/>
            <w:shd w:val="clear" w:color="auto" w:fill="000080"/>
            <w:vAlign w:val="center"/>
          </w:tcPr>
          <w:p w:rsidR="00407556" w:rsidRPr="009F2D88" w:rsidRDefault="00407556" w:rsidP="00545FB4">
            <w:pPr>
              <w:jc w:val="center"/>
              <w:rPr>
                <w:b/>
                <w:bCs/>
                <w:sz w:val="22"/>
                <w:szCs w:val="22"/>
              </w:rPr>
            </w:pPr>
            <w:r w:rsidRPr="009F2D88">
              <w:rPr>
                <w:b/>
                <w:bCs/>
                <w:sz w:val="22"/>
                <w:szCs w:val="22"/>
              </w:rPr>
              <w:t>12-13</w:t>
            </w:r>
          </w:p>
        </w:tc>
        <w:tc>
          <w:tcPr>
            <w:tcW w:w="1350" w:type="dxa"/>
            <w:shd w:val="clear" w:color="auto" w:fill="000080"/>
            <w:noWrap/>
            <w:vAlign w:val="center"/>
          </w:tcPr>
          <w:p w:rsidR="00407556" w:rsidRPr="009F2D88" w:rsidRDefault="00407556" w:rsidP="00545FB4">
            <w:pPr>
              <w:jc w:val="center"/>
              <w:rPr>
                <w:b/>
                <w:bCs/>
                <w:sz w:val="22"/>
                <w:szCs w:val="22"/>
              </w:rPr>
            </w:pPr>
            <w:r w:rsidRPr="009F2D88">
              <w:rPr>
                <w:b/>
                <w:bCs/>
                <w:sz w:val="22"/>
                <w:szCs w:val="22"/>
              </w:rPr>
              <w:t>13-14</w:t>
            </w:r>
          </w:p>
        </w:tc>
        <w:tc>
          <w:tcPr>
            <w:tcW w:w="1170" w:type="dxa"/>
            <w:shd w:val="clear" w:color="auto" w:fill="000080"/>
            <w:noWrap/>
            <w:vAlign w:val="center"/>
          </w:tcPr>
          <w:p w:rsidR="00407556" w:rsidRPr="009F2D88" w:rsidRDefault="00407556" w:rsidP="00545FB4">
            <w:pPr>
              <w:jc w:val="center"/>
              <w:rPr>
                <w:b/>
                <w:bCs/>
                <w:sz w:val="22"/>
                <w:szCs w:val="22"/>
              </w:rPr>
            </w:pPr>
            <w:r w:rsidRPr="009F2D88">
              <w:rPr>
                <w:b/>
                <w:bCs/>
                <w:sz w:val="22"/>
                <w:szCs w:val="22"/>
              </w:rPr>
              <w:t>14-15</w:t>
            </w:r>
          </w:p>
        </w:tc>
        <w:tc>
          <w:tcPr>
            <w:tcW w:w="1620" w:type="dxa"/>
            <w:shd w:val="clear" w:color="auto" w:fill="000080"/>
            <w:noWrap/>
            <w:vAlign w:val="center"/>
          </w:tcPr>
          <w:p w:rsidR="00407556" w:rsidRPr="009F2D88" w:rsidRDefault="00407556" w:rsidP="00545FB4">
            <w:pPr>
              <w:jc w:val="center"/>
              <w:rPr>
                <w:b/>
                <w:bCs/>
                <w:sz w:val="22"/>
                <w:szCs w:val="22"/>
              </w:rPr>
            </w:pPr>
            <w:r>
              <w:rPr>
                <w:b/>
                <w:bCs/>
                <w:sz w:val="22"/>
                <w:szCs w:val="22"/>
              </w:rPr>
              <w:t>15-16</w:t>
            </w:r>
            <w:r w:rsidR="0064724E">
              <w:rPr>
                <w:b/>
                <w:bCs/>
                <w:sz w:val="22"/>
                <w:szCs w:val="22"/>
              </w:rPr>
              <w:t xml:space="preserve"> (Estimated)</w:t>
            </w:r>
          </w:p>
        </w:tc>
      </w:tr>
      <w:tr w:rsidR="00407556" w:rsidRPr="009F2D88" w:rsidTr="0064724E">
        <w:trPr>
          <w:trHeight w:val="600"/>
        </w:trPr>
        <w:tc>
          <w:tcPr>
            <w:tcW w:w="2583" w:type="dxa"/>
            <w:noWrap/>
            <w:vAlign w:val="center"/>
          </w:tcPr>
          <w:p w:rsidR="00407556" w:rsidRPr="009F2D88" w:rsidRDefault="00407556" w:rsidP="00545FB4">
            <w:pPr>
              <w:spacing w:line="240" w:lineRule="auto"/>
              <w:rPr>
                <w:b/>
                <w:bCs/>
                <w:sz w:val="22"/>
                <w:szCs w:val="22"/>
              </w:rPr>
            </w:pPr>
            <w:r w:rsidRPr="00272798">
              <w:rPr>
                <w:b/>
                <w:bCs/>
                <w:sz w:val="22"/>
                <w:szCs w:val="22"/>
              </w:rPr>
              <w:t>Plant Availability</w:t>
            </w:r>
          </w:p>
        </w:tc>
        <w:tc>
          <w:tcPr>
            <w:tcW w:w="1710" w:type="dxa"/>
            <w:vAlign w:val="center"/>
          </w:tcPr>
          <w:p w:rsidR="00407556" w:rsidRPr="00E22EA4" w:rsidRDefault="00C17E4A" w:rsidP="00545FB4">
            <w:pPr>
              <w:jc w:val="center"/>
              <w:rPr>
                <w:rFonts w:cs="Arial"/>
                <w:sz w:val="22"/>
                <w:szCs w:val="22"/>
              </w:rPr>
            </w:pPr>
            <w:r w:rsidRPr="00E22EA4">
              <w:rPr>
                <w:rFonts w:cs="Arial"/>
                <w:sz w:val="22"/>
                <w:szCs w:val="22"/>
              </w:rPr>
              <w:t>90.50</w:t>
            </w:r>
            <w:r w:rsidR="00407556" w:rsidRPr="00E22EA4">
              <w:rPr>
                <w:rFonts w:cs="Arial"/>
                <w:sz w:val="22"/>
                <w:szCs w:val="22"/>
              </w:rPr>
              <w:t>%</w:t>
            </w:r>
          </w:p>
        </w:tc>
        <w:tc>
          <w:tcPr>
            <w:tcW w:w="1350" w:type="dxa"/>
            <w:noWrap/>
            <w:vAlign w:val="center"/>
          </w:tcPr>
          <w:p w:rsidR="00407556" w:rsidRPr="00E22EA4" w:rsidRDefault="00C17E4A" w:rsidP="00545FB4">
            <w:pPr>
              <w:jc w:val="center"/>
              <w:rPr>
                <w:rFonts w:cs="Arial"/>
                <w:sz w:val="22"/>
                <w:szCs w:val="22"/>
              </w:rPr>
            </w:pPr>
            <w:r w:rsidRPr="00E22EA4">
              <w:rPr>
                <w:rFonts w:cs="Arial"/>
                <w:sz w:val="22"/>
                <w:szCs w:val="22"/>
              </w:rPr>
              <w:t>92.62</w:t>
            </w:r>
            <w:r w:rsidR="00407556" w:rsidRPr="00E22EA4">
              <w:rPr>
                <w:rFonts w:cs="Arial"/>
                <w:sz w:val="22"/>
                <w:szCs w:val="22"/>
              </w:rPr>
              <w:t>%</w:t>
            </w:r>
          </w:p>
        </w:tc>
        <w:tc>
          <w:tcPr>
            <w:tcW w:w="1170" w:type="dxa"/>
            <w:noWrap/>
            <w:vAlign w:val="center"/>
          </w:tcPr>
          <w:p w:rsidR="00407556" w:rsidRPr="00E22EA4" w:rsidRDefault="0081510E" w:rsidP="00545FB4">
            <w:pPr>
              <w:jc w:val="center"/>
              <w:rPr>
                <w:rFonts w:cs="Arial"/>
                <w:sz w:val="22"/>
                <w:szCs w:val="22"/>
              </w:rPr>
            </w:pPr>
            <w:r w:rsidRPr="00E22EA4">
              <w:rPr>
                <w:rFonts w:cs="Arial"/>
                <w:sz w:val="22"/>
                <w:szCs w:val="22"/>
              </w:rPr>
              <w:t>85.00</w:t>
            </w:r>
            <w:r w:rsidR="00407556" w:rsidRPr="00E22EA4">
              <w:rPr>
                <w:rFonts w:cs="Arial"/>
                <w:sz w:val="22"/>
                <w:szCs w:val="22"/>
              </w:rPr>
              <w:t>%</w:t>
            </w:r>
          </w:p>
        </w:tc>
        <w:tc>
          <w:tcPr>
            <w:tcW w:w="1620" w:type="dxa"/>
            <w:noWrap/>
            <w:vAlign w:val="center"/>
          </w:tcPr>
          <w:p w:rsidR="00407556" w:rsidRPr="00E22EA4" w:rsidRDefault="0039523E" w:rsidP="00545FB4">
            <w:pPr>
              <w:jc w:val="center"/>
              <w:rPr>
                <w:rFonts w:cs="Arial"/>
                <w:sz w:val="22"/>
                <w:szCs w:val="22"/>
              </w:rPr>
            </w:pPr>
            <w:r w:rsidRPr="00E22EA4">
              <w:rPr>
                <w:rFonts w:cs="Arial"/>
                <w:sz w:val="22"/>
                <w:szCs w:val="22"/>
              </w:rPr>
              <w:t>85</w:t>
            </w:r>
            <w:r w:rsidR="0081510E" w:rsidRPr="00E22EA4">
              <w:rPr>
                <w:rFonts w:cs="Arial"/>
                <w:sz w:val="22"/>
                <w:szCs w:val="22"/>
              </w:rPr>
              <w:t>.00</w:t>
            </w:r>
            <w:r w:rsidRPr="00E22EA4">
              <w:rPr>
                <w:rFonts w:cs="Arial"/>
                <w:sz w:val="22"/>
                <w:szCs w:val="22"/>
              </w:rPr>
              <w:t>%</w:t>
            </w:r>
          </w:p>
        </w:tc>
      </w:tr>
    </w:tbl>
    <w:p w:rsidR="00407556" w:rsidRDefault="00407556" w:rsidP="00407556"/>
    <w:p w:rsidR="00AB099B" w:rsidRDefault="00AB099B">
      <w:pPr>
        <w:ind w:left="900" w:hanging="360"/>
        <w:rPr>
          <w:sz w:val="22"/>
          <w:szCs w:val="22"/>
        </w:rPr>
      </w:pPr>
    </w:p>
    <w:p w:rsidR="00E95F3F" w:rsidRDefault="00E95F3F">
      <w:pPr>
        <w:ind w:left="900" w:hanging="360"/>
        <w:rPr>
          <w:sz w:val="22"/>
          <w:szCs w:val="22"/>
        </w:rPr>
      </w:pPr>
      <w:r>
        <w:rPr>
          <w:sz w:val="22"/>
          <w:szCs w:val="22"/>
        </w:rPr>
        <w:t>2.</w:t>
      </w:r>
      <w:r>
        <w:rPr>
          <w:sz w:val="22"/>
          <w:szCs w:val="22"/>
        </w:rPr>
        <w:tab/>
      </w:r>
      <w:r w:rsidR="005464B4">
        <w:rPr>
          <w:sz w:val="22"/>
          <w:szCs w:val="22"/>
        </w:rPr>
        <w:t xml:space="preserve">The Hon’ble </w:t>
      </w:r>
      <w:r w:rsidR="00967FCE">
        <w:rPr>
          <w:sz w:val="22"/>
          <w:szCs w:val="22"/>
        </w:rPr>
        <w:t xml:space="preserve">Commission </w:t>
      </w:r>
      <w:r w:rsidR="005464B4">
        <w:rPr>
          <w:sz w:val="22"/>
          <w:szCs w:val="22"/>
        </w:rPr>
        <w:t xml:space="preserve">has fixed the normative annual </w:t>
      </w:r>
      <w:r w:rsidR="00967FCE">
        <w:rPr>
          <w:sz w:val="22"/>
          <w:szCs w:val="22"/>
        </w:rPr>
        <w:t>plant availability</w:t>
      </w:r>
      <w:r w:rsidR="005464B4">
        <w:rPr>
          <w:sz w:val="22"/>
          <w:szCs w:val="22"/>
        </w:rPr>
        <w:t xml:space="preserve"> factor of 85%</w:t>
      </w:r>
      <w:r w:rsidR="00967FCE">
        <w:rPr>
          <w:sz w:val="22"/>
          <w:szCs w:val="22"/>
        </w:rPr>
        <w:t xml:space="preserve"> for FY 2012-13 to 2014-15</w:t>
      </w:r>
      <w:r w:rsidR="00B343F5">
        <w:rPr>
          <w:sz w:val="22"/>
          <w:szCs w:val="22"/>
        </w:rPr>
        <w:t xml:space="preserve"> and extended period FY 2015-16</w:t>
      </w:r>
      <w:r w:rsidR="00967FCE">
        <w:rPr>
          <w:sz w:val="22"/>
          <w:szCs w:val="22"/>
        </w:rPr>
        <w:t>. The Hon’ble Commission has fixed the norm of 85% availability for PPS-I</w:t>
      </w:r>
      <w:r w:rsidR="00346254">
        <w:rPr>
          <w:sz w:val="22"/>
          <w:szCs w:val="22"/>
        </w:rPr>
        <w:t xml:space="preserve"> based upon the</w:t>
      </w:r>
      <w:r w:rsidR="00967FCE">
        <w:rPr>
          <w:sz w:val="22"/>
          <w:szCs w:val="22"/>
        </w:rPr>
        <w:t xml:space="preserve"> target availability fixed by CERC for NTPC Stations. The Hon’ble Commission while fixing the norms </w:t>
      </w:r>
      <w:r w:rsidR="00346254">
        <w:rPr>
          <w:sz w:val="22"/>
          <w:szCs w:val="22"/>
        </w:rPr>
        <w:t xml:space="preserve">did not consider </w:t>
      </w:r>
      <w:r w:rsidR="00967FCE">
        <w:rPr>
          <w:sz w:val="22"/>
          <w:szCs w:val="22"/>
        </w:rPr>
        <w:t>the principles adopted by Hon’ble CERC</w:t>
      </w:r>
      <w:r w:rsidR="00346254">
        <w:rPr>
          <w:sz w:val="22"/>
          <w:szCs w:val="22"/>
        </w:rPr>
        <w:t xml:space="preserve"> such as </w:t>
      </w:r>
      <w:r w:rsidR="006448FC">
        <w:rPr>
          <w:sz w:val="22"/>
          <w:szCs w:val="22"/>
        </w:rPr>
        <w:t>scope of</w:t>
      </w:r>
      <w:r w:rsidR="00346254">
        <w:rPr>
          <w:sz w:val="22"/>
          <w:szCs w:val="22"/>
        </w:rPr>
        <w:t xml:space="preserve"> operational flexibility </w:t>
      </w:r>
      <w:r w:rsidR="006448FC">
        <w:rPr>
          <w:sz w:val="22"/>
          <w:szCs w:val="22"/>
        </w:rPr>
        <w:t>and the</w:t>
      </w:r>
      <w:r w:rsidR="00346254">
        <w:rPr>
          <w:sz w:val="22"/>
          <w:szCs w:val="22"/>
        </w:rPr>
        <w:t xml:space="preserve"> practical difficult</w:t>
      </w:r>
      <w:r w:rsidR="0003274F">
        <w:rPr>
          <w:sz w:val="22"/>
          <w:szCs w:val="22"/>
        </w:rPr>
        <w:t xml:space="preserve">ies </w:t>
      </w:r>
      <w:r w:rsidR="00346254">
        <w:rPr>
          <w:sz w:val="22"/>
          <w:szCs w:val="22"/>
        </w:rPr>
        <w:t xml:space="preserve">being faced by the station. </w:t>
      </w:r>
      <w:r w:rsidR="00967FCE">
        <w:rPr>
          <w:sz w:val="22"/>
          <w:szCs w:val="22"/>
        </w:rPr>
        <w:t xml:space="preserve">The average availability achieved by the </w:t>
      </w:r>
      <w:r w:rsidR="002270C9">
        <w:rPr>
          <w:sz w:val="22"/>
          <w:szCs w:val="22"/>
        </w:rPr>
        <w:t xml:space="preserve">station </w:t>
      </w:r>
      <w:r w:rsidR="006448FC">
        <w:rPr>
          <w:sz w:val="22"/>
          <w:szCs w:val="22"/>
        </w:rPr>
        <w:t xml:space="preserve">during </w:t>
      </w:r>
      <w:r w:rsidR="00186C5B">
        <w:rPr>
          <w:sz w:val="22"/>
          <w:szCs w:val="22"/>
        </w:rPr>
        <w:t xml:space="preserve">FY 2012-13, 2013-14 to 2014-15 </w:t>
      </w:r>
      <w:r w:rsidR="009F2C03">
        <w:rPr>
          <w:sz w:val="22"/>
          <w:szCs w:val="22"/>
        </w:rPr>
        <w:t xml:space="preserve">(Provisional) </w:t>
      </w:r>
      <w:r w:rsidR="006448FC">
        <w:rPr>
          <w:sz w:val="22"/>
          <w:szCs w:val="22"/>
        </w:rPr>
        <w:t>was</w:t>
      </w:r>
      <w:r w:rsidR="00967FCE">
        <w:rPr>
          <w:sz w:val="22"/>
          <w:szCs w:val="22"/>
        </w:rPr>
        <w:t xml:space="preserve"> around</w:t>
      </w:r>
      <w:r w:rsidR="00346254">
        <w:rPr>
          <w:sz w:val="22"/>
          <w:szCs w:val="22"/>
        </w:rPr>
        <w:t xml:space="preserve"> </w:t>
      </w:r>
      <w:r w:rsidR="00346254" w:rsidRPr="00D61962">
        <w:rPr>
          <w:sz w:val="22"/>
          <w:szCs w:val="22"/>
        </w:rPr>
        <w:t>8</w:t>
      </w:r>
      <w:r w:rsidR="00C31EAF" w:rsidRPr="00D61962">
        <w:rPr>
          <w:sz w:val="22"/>
          <w:szCs w:val="22"/>
        </w:rPr>
        <w:t>7.67</w:t>
      </w:r>
      <w:r w:rsidR="006448FC" w:rsidRPr="00D61962">
        <w:rPr>
          <w:sz w:val="22"/>
          <w:szCs w:val="22"/>
        </w:rPr>
        <w:t>%</w:t>
      </w:r>
      <w:r w:rsidR="006448FC">
        <w:rPr>
          <w:sz w:val="22"/>
          <w:szCs w:val="22"/>
        </w:rPr>
        <w:t xml:space="preserve"> which is almost equal to norm fixed by Hon’ble Commission in MYT Regulations 2011 and </w:t>
      </w:r>
      <w:r w:rsidR="003C0905">
        <w:rPr>
          <w:sz w:val="22"/>
          <w:szCs w:val="22"/>
        </w:rPr>
        <w:t xml:space="preserve">the company has hardly any margin with the Target of 85% </w:t>
      </w:r>
      <w:r w:rsidR="00A64EFC">
        <w:rPr>
          <w:sz w:val="22"/>
          <w:szCs w:val="22"/>
        </w:rPr>
        <w:t>and to earn incentive.</w:t>
      </w:r>
    </w:p>
    <w:p w:rsidR="00E95F3F" w:rsidRPr="00376313" w:rsidRDefault="00E95F3F">
      <w:pPr>
        <w:ind w:left="900" w:hanging="360"/>
        <w:rPr>
          <w:sz w:val="10"/>
          <w:szCs w:val="22"/>
        </w:rPr>
      </w:pPr>
    </w:p>
    <w:p w:rsidR="000F7069" w:rsidRDefault="00BE058A">
      <w:pPr>
        <w:ind w:left="900" w:hanging="360"/>
        <w:rPr>
          <w:sz w:val="22"/>
          <w:szCs w:val="22"/>
        </w:rPr>
      </w:pPr>
      <w:r>
        <w:rPr>
          <w:sz w:val="22"/>
          <w:szCs w:val="22"/>
        </w:rPr>
        <w:t>3</w:t>
      </w:r>
      <w:r w:rsidR="00F827BD">
        <w:rPr>
          <w:sz w:val="22"/>
          <w:szCs w:val="22"/>
        </w:rPr>
        <w:t>.</w:t>
      </w:r>
      <w:r w:rsidR="005E5591">
        <w:rPr>
          <w:sz w:val="22"/>
          <w:szCs w:val="22"/>
        </w:rPr>
        <w:t xml:space="preserve"> </w:t>
      </w:r>
      <w:r w:rsidR="0026033B">
        <w:rPr>
          <w:sz w:val="22"/>
          <w:szCs w:val="22"/>
        </w:rPr>
        <w:t xml:space="preserve"> The p</w:t>
      </w:r>
      <w:r w:rsidR="008D2247">
        <w:rPr>
          <w:sz w:val="22"/>
          <w:szCs w:val="22"/>
        </w:rPr>
        <w:t>etitioner</w:t>
      </w:r>
      <w:r w:rsidR="000F7069">
        <w:rPr>
          <w:sz w:val="22"/>
          <w:szCs w:val="22"/>
        </w:rPr>
        <w:t xml:space="preserve"> </w:t>
      </w:r>
      <w:r w:rsidR="007F1922">
        <w:rPr>
          <w:sz w:val="22"/>
          <w:szCs w:val="22"/>
        </w:rPr>
        <w:t xml:space="preserve">submits that </w:t>
      </w:r>
      <w:r w:rsidR="00AD0265">
        <w:rPr>
          <w:sz w:val="22"/>
          <w:szCs w:val="22"/>
        </w:rPr>
        <w:t>Petitioner</w:t>
      </w:r>
      <w:r w:rsidR="007F1922">
        <w:rPr>
          <w:sz w:val="22"/>
          <w:szCs w:val="22"/>
        </w:rPr>
        <w:t xml:space="preserve"> will make its all efforts to achieve the target availability of 85% as fixed by the Hon’ble Commission in the</w:t>
      </w:r>
      <w:r w:rsidR="00E85483">
        <w:rPr>
          <w:sz w:val="22"/>
          <w:szCs w:val="22"/>
        </w:rPr>
        <w:t xml:space="preserve"> extended period of current</w:t>
      </w:r>
      <w:r w:rsidR="007F1922">
        <w:rPr>
          <w:sz w:val="22"/>
          <w:szCs w:val="22"/>
        </w:rPr>
        <w:t xml:space="preserve"> MYT Regulations, 2011</w:t>
      </w:r>
      <w:r w:rsidR="00647AEF">
        <w:rPr>
          <w:sz w:val="22"/>
          <w:szCs w:val="22"/>
        </w:rPr>
        <w:t>.</w:t>
      </w:r>
      <w:r w:rsidR="00D635BF">
        <w:rPr>
          <w:sz w:val="22"/>
          <w:szCs w:val="22"/>
        </w:rPr>
        <w:t xml:space="preserve"> </w:t>
      </w:r>
      <w:r w:rsidR="007F1922">
        <w:rPr>
          <w:sz w:val="22"/>
          <w:szCs w:val="22"/>
        </w:rPr>
        <w:t xml:space="preserve"> </w:t>
      </w:r>
      <w:r w:rsidR="00647AEF">
        <w:rPr>
          <w:sz w:val="22"/>
          <w:szCs w:val="22"/>
        </w:rPr>
        <w:t>It is prayed that in case if it is not able to achieve the target availability of 85% due to reasons beyond its control</w:t>
      </w:r>
      <w:r w:rsidR="00326EEF">
        <w:rPr>
          <w:sz w:val="22"/>
          <w:szCs w:val="22"/>
        </w:rPr>
        <w:t xml:space="preserve">, </w:t>
      </w:r>
      <w:r w:rsidR="0026033B">
        <w:rPr>
          <w:sz w:val="22"/>
          <w:szCs w:val="22"/>
        </w:rPr>
        <w:t xml:space="preserve">the Hon’ble Commission </w:t>
      </w:r>
      <w:r w:rsidR="00326EEF">
        <w:rPr>
          <w:sz w:val="22"/>
          <w:szCs w:val="22"/>
        </w:rPr>
        <w:t>may kindly consider and relax the norm of target availability.</w:t>
      </w:r>
      <w:r w:rsidR="000F7069">
        <w:rPr>
          <w:sz w:val="22"/>
          <w:szCs w:val="22"/>
        </w:rPr>
        <w:t xml:space="preserve"> </w:t>
      </w:r>
    </w:p>
    <w:p w:rsidR="000F7069" w:rsidRDefault="000F7069">
      <w:pPr>
        <w:rPr>
          <w:b/>
          <w:iCs/>
          <w:sz w:val="22"/>
          <w:szCs w:val="26"/>
        </w:rPr>
      </w:pPr>
    </w:p>
    <w:p w:rsidR="000F7069" w:rsidRDefault="000F7069">
      <w:pPr>
        <w:pStyle w:val="Heading6"/>
        <w:numPr>
          <w:ilvl w:val="0"/>
          <w:numId w:val="0"/>
        </w:numPr>
        <w:spacing w:before="0" w:after="0"/>
      </w:pPr>
      <w:r>
        <w:t xml:space="preserve">3.1.3 Auxiliary </w:t>
      </w:r>
      <w:r w:rsidR="003D7989">
        <w:t>Power</w:t>
      </w:r>
      <w:r>
        <w:t xml:space="preserve"> Consumption</w:t>
      </w:r>
      <w:r w:rsidR="008539C9">
        <w:t xml:space="preserve"> (APC)</w:t>
      </w:r>
    </w:p>
    <w:p w:rsidR="000F7069" w:rsidRPr="002044DB" w:rsidRDefault="000F7069">
      <w:pPr>
        <w:rPr>
          <w:sz w:val="10"/>
        </w:rPr>
      </w:pPr>
    </w:p>
    <w:p w:rsidR="000F7069" w:rsidRDefault="000F7069">
      <w:pPr>
        <w:ind w:left="900" w:hanging="360"/>
        <w:rPr>
          <w:bCs/>
          <w:iCs/>
          <w:sz w:val="22"/>
          <w:szCs w:val="26"/>
        </w:rPr>
      </w:pPr>
      <w:r>
        <w:rPr>
          <w:bCs/>
          <w:iCs/>
          <w:sz w:val="22"/>
          <w:szCs w:val="26"/>
        </w:rPr>
        <w:t>1.</w:t>
      </w:r>
      <w:r w:rsidR="008C6D41">
        <w:rPr>
          <w:bCs/>
          <w:iCs/>
          <w:sz w:val="22"/>
          <w:szCs w:val="26"/>
        </w:rPr>
        <w:tab/>
      </w:r>
      <w:r>
        <w:rPr>
          <w:bCs/>
          <w:iCs/>
          <w:sz w:val="22"/>
          <w:szCs w:val="26"/>
        </w:rPr>
        <w:t xml:space="preserve">Table </w:t>
      </w:r>
      <w:r w:rsidR="004F07E5">
        <w:rPr>
          <w:bCs/>
          <w:iCs/>
          <w:sz w:val="22"/>
          <w:szCs w:val="26"/>
        </w:rPr>
        <w:t>4</w:t>
      </w:r>
      <w:r>
        <w:rPr>
          <w:bCs/>
          <w:iCs/>
          <w:sz w:val="22"/>
          <w:szCs w:val="26"/>
        </w:rPr>
        <w:t xml:space="preserve"> </w:t>
      </w:r>
      <w:r w:rsidR="001C76A5">
        <w:rPr>
          <w:bCs/>
          <w:iCs/>
          <w:sz w:val="22"/>
          <w:szCs w:val="26"/>
        </w:rPr>
        <w:t>depicts</w:t>
      </w:r>
      <w:r>
        <w:rPr>
          <w:bCs/>
          <w:iCs/>
          <w:sz w:val="22"/>
          <w:szCs w:val="26"/>
        </w:rPr>
        <w:t xml:space="preserve"> the achieved parameter for Auxiliary </w:t>
      </w:r>
      <w:r w:rsidR="003D7989">
        <w:rPr>
          <w:bCs/>
          <w:iCs/>
          <w:sz w:val="22"/>
          <w:szCs w:val="26"/>
        </w:rPr>
        <w:t>P</w:t>
      </w:r>
      <w:r w:rsidR="005A3C6E">
        <w:rPr>
          <w:bCs/>
          <w:iCs/>
          <w:sz w:val="22"/>
          <w:szCs w:val="26"/>
        </w:rPr>
        <w:t xml:space="preserve">ower </w:t>
      </w:r>
      <w:r w:rsidR="00C646A8">
        <w:rPr>
          <w:bCs/>
          <w:iCs/>
          <w:sz w:val="22"/>
          <w:szCs w:val="26"/>
        </w:rPr>
        <w:t>Consumption (</w:t>
      </w:r>
      <w:r w:rsidR="00133E03">
        <w:rPr>
          <w:bCs/>
          <w:iCs/>
          <w:sz w:val="22"/>
          <w:szCs w:val="26"/>
        </w:rPr>
        <w:t>%)</w:t>
      </w:r>
      <w:r w:rsidR="005A3C6E">
        <w:rPr>
          <w:bCs/>
          <w:iCs/>
          <w:sz w:val="22"/>
          <w:szCs w:val="26"/>
        </w:rPr>
        <w:t xml:space="preserve"> in combined cycle </w:t>
      </w:r>
      <w:r w:rsidR="003C4FA5">
        <w:rPr>
          <w:bCs/>
          <w:iCs/>
          <w:sz w:val="22"/>
          <w:szCs w:val="26"/>
        </w:rPr>
        <w:t>mode during</w:t>
      </w:r>
      <w:r w:rsidR="003D7989">
        <w:rPr>
          <w:bCs/>
          <w:iCs/>
          <w:sz w:val="22"/>
          <w:szCs w:val="26"/>
        </w:rPr>
        <w:t xml:space="preserve"> the control </w:t>
      </w:r>
      <w:r w:rsidR="003C4FA5">
        <w:rPr>
          <w:bCs/>
          <w:iCs/>
          <w:sz w:val="22"/>
          <w:szCs w:val="26"/>
        </w:rPr>
        <w:t>period FY</w:t>
      </w:r>
      <w:r>
        <w:rPr>
          <w:bCs/>
          <w:iCs/>
          <w:sz w:val="22"/>
          <w:szCs w:val="26"/>
        </w:rPr>
        <w:t xml:space="preserve"> </w:t>
      </w:r>
      <w:r w:rsidR="003D7989">
        <w:rPr>
          <w:bCs/>
          <w:iCs/>
          <w:sz w:val="22"/>
          <w:szCs w:val="26"/>
        </w:rPr>
        <w:t>2</w:t>
      </w:r>
      <w:r w:rsidR="0072609F">
        <w:rPr>
          <w:bCs/>
          <w:iCs/>
          <w:sz w:val="22"/>
          <w:szCs w:val="26"/>
        </w:rPr>
        <w:t>012-13, 2013-14 and</w:t>
      </w:r>
      <w:r w:rsidR="003C4FA5">
        <w:rPr>
          <w:bCs/>
          <w:iCs/>
          <w:sz w:val="22"/>
          <w:szCs w:val="26"/>
        </w:rPr>
        <w:t xml:space="preserve"> FY</w:t>
      </w:r>
      <w:r w:rsidR="001863D7">
        <w:rPr>
          <w:bCs/>
          <w:iCs/>
          <w:sz w:val="22"/>
          <w:szCs w:val="26"/>
        </w:rPr>
        <w:t xml:space="preserve"> </w:t>
      </w:r>
      <w:r w:rsidR="003D7989">
        <w:rPr>
          <w:bCs/>
          <w:iCs/>
          <w:sz w:val="22"/>
          <w:szCs w:val="26"/>
        </w:rPr>
        <w:t>201</w:t>
      </w:r>
      <w:r w:rsidR="0072609F">
        <w:rPr>
          <w:bCs/>
          <w:iCs/>
          <w:sz w:val="22"/>
          <w:szCs w:val="26"/>
        </w:rPr>
        <w:t>4-15 (Provisional)</w:t>
      </w:r>
      <w:r>
        <w:rPr>
          <w:bCs/>
          <w:iCs/>
          <w:sz w:val="22"/>
          <w:szCs w:val="26"/>
        </w:rPr>
        <w:t xml:space="preserve"> and proposed </w:t>
      </w:r>
      <w:r w:rsidR="001D5E80">
        <w:rPr>
          <w:bCs/>
          <w:iCs/>
          <w:sz w:val="22"/>
          <w:szCs w:val="26"/>
        </w:rPr>
        <w:t>APC</w:t>
      </w:r>
      <w:r>
        <w:rPr>
          <w:bCs/>
          <w:iCs/>
          <w:sz w:val="22"/>
          <w:szCs w:val="26"/>
        </w:rPr>
        <w:t xml:space="preserve"> for</w:t>
      </w:r>
      <w:r w:rsidR="00E82840">
        <w:rPr>
          <w:bCs/>
          <w:iCs/>
          <w:sz w:val="22"/>
          <w:szCs w:val="26"/>
        </w:rPr>
        <w:t xml:space="preserve"> extended period of current MYT </w:t>
      </w:r>
      <w:r w:rsidR="005F4A33">
        <w:rPr>
          <w:bCs/>
          <w:iCs/>
          <w:sz w:val="22"/>
          <w:szCs w:val="26"/>
        </w:rPr>
        <w:t>FY 201</w:t>
      </w:r>
      <w:r w:rsidR="00E82840">
        <w:rPr>
          <w:bCs/>
          <w:iCs/>
          <w:sz w:val="22"/>
          <w:szCs w:val="26"/>
        </w:rPr>
        <w:t>5-16</w:t>
      </w:r>
      <w:r>
        <w:rPr>
          <w:bCs/>
          <w:iCs/>
          <w:sz w:val="22"/>
          <w:szCs w:val="26"/>
        </w:rPr>
        <w:t xml:space="preserve">. </w:t>
      </w:r>
      <w:r w:rsidR="008C6D41">
        <w:rPr>
          <w:bCs/>
          <w:iCs/>
          <w:sz w:val="22"/>
          <w:szCs w:val="26"/>
        </w:rPr>
        <w:t xml:space="preserve">The open cycle auxiliary power </w:t>
      </w:r>
      <w:r w:rsidR="00C646A8">
        <w:rPr>
          <w:bCs/>
          <w:iCs/>
          <w:sz w:val="22"/>
          <w:szCs w:val="26"/>
        </w:rPr>
        <w:t>consumption (</w:t>
      </w:r>
      <w:r w:rsidR="008C6D41">
        <w:rPr>
          <w:bCs/>
          <w:iCs/>
          <w:sz w:val="22"/>
          <w:szCs w:val="26"/>
        </w:rPr>
        <w:t xml:space="preserve">%) has been </w:t>
      </w:r>
      <w:r w:rsidR="00C646A8">
        <w:rPr>
          <w:bCs/>
          <w:iCs/>
          <w:sz w:val="22"/>
          <w:szCs w:val="26"/>
        </w:rPr>
        <w:t>considered as</w:t>
      </w:r>
      <w:r w:rsidR="008C6D41">
        <w:rPr>
          <w:bCs/>
          <w:iCs/>
          <w:sz w:val="22"/>
          <w:szCs w:val="26"/>
        </w:rPr>
        <w:t xml:space="preserve"> 1%.</w:t>
      </w:r>
      <w:r>
        <w:rPr>
          <w:bCs/>
          <w:iCs/>
          <w:sz w:val="22"/>
          <w:szCs w:val="26"/>
        </w:rPr>
        <w:t xml:space="preserve">              </w:t>
      </w:r>
    </w:p>
    <w:p w:rsidR="000F7069" w:rsidRPr="002044DB" w:rsidRDefault="000F7069">
      <w:pPr>
        <w:spacing w:line="240" w:lineRule="auto"/>
        <w:rPr>
          <w:b/>
          <w:bCs/>
          <w:sz w:val="12"/>
        </w:rPr>
      </w:pPr>
      <w:r>
        <w:rPr>
          <w:b/>
          <w:bCs/>
        </w:rPr>
        <w:t xml:space="preserve">  </w:t>
      </w:r>
    </w:p>
    <w:p w:rsidR="000F7069" w:rsidRDefault="00C55489" w:rsidP="006D30E7">
      <w:pPr>
        <w:pStyle w:val="Caption"/>
        <w:jc w:val="center"/>
      </w:pPr>
      <w:bookmarkStart w:id="18" w:name="_Toc174196337"/>
      <w:bookmarkStart w:id="19" w:name="_Toc411525179"/>
      <w:r>
        <w:t xml:space="preserve">Table </w:t>
      </w:r>
      <w:fldSimple w:instr=" SEQ Table \* ARABIC ">
        <w:r w:rsidR="000F406F">
          <w:rPr>
            <w:noProof/>
          </w:rPr>
          <w:t>4</w:t>
        </w:r>
      </w:fldSimple>
      <w:r>
        <w:t xml:space="preserve"> : </w:t>
      </w:r>
      <w:r w:rsidR="000F7069" w:rsidRPr="00C55489">
        <w:t xml:space="preserve">Auxiliary </w:t>
      </w:r>
      <w:r w:rsidR="00A96A88" w:rsidRPr="00C55489">
        <w:t xml:space="preserve">Power </w:t>
      </w:r>
      <w:r w:rsidR="000F7069" w:rsidRPr="00C55489">
        <w:t xml:space="preserve">Consumption (%) </w:t>
      </w:r>
      <w:r w:rsidR="005A3C6E" w:rsidRPr="00C55489">
        <w:t>in CC mode</w:t>
      </w:r>
      <w:bookmarkEnd w:id="18"/>
      <w:bookmarkEnd w:id="19"/>
    </w:p>
    <w:tbl>
      <w:tblPr>
        <w:tblW w:w="85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251"/>
        <w:gridCol w:w="1170"/>
        <w:gridCol w:w="1260"/>
        <w:gridCol w:w="1440"/>
      </w:tblGrid>
      <w:tr w:rsidR="00474418" w:rsidRPr="009F2D88" w:rsidTr="0064724E">
        <w:trPr>
          <w:trHeight w:val="489"/>
        </w:trPr>
        <w:tc>
          <w:tcPr>
            <w:tcW w:w="3402" w:type="dxa"/>
            <w:shd w:val="clear" w:color="auto" w:fill="000080"/>
            <w:noWrap/>
            <w:vAlign w:val="center"/>
          </w:tcPr>
          <w:p w:rsidR="00474418" w:rsidRPr="009F2D88" w:rsidRDefault="00474418" w:rsidP="00545FB4">
            <w:pPr>
              <w:spacing w:line="240" w:lineRule="auto"/>
              <w:rPr>
                <w:b/>
                <w:bCs/>
                <w:sz w:val="22"/>
                <w:szCs w:val="22"/>
              </w:rPr>
            </w:pPr>
            <w:r w:rsidRPr="009F2D88">
              <w:rPr>
                <w:b/>
                <w:bCs/>
                <w:sz w:val="22"/>
                <w:szCs w:val="22"/>
              </w:rPr>
              <w:t>Description</w:t>
            </w:r>
          </w:p>
        </w:tc>
        <w:tc>
          <w:tcPr>
            <w:tcW w:w="1251" w:type="dxa"/>
            <w:shd w:val="clear" w:color="auto" w:fill="000080"/>
            <w:vAlign w:val="center"/>
          </w:tcPr>
          <w:p w:rsidR="00474418" w:rsidRPr="009F2D88" w:rsidRDefault="00474418" w:rsidP="00545FB4">
            <w:pPr>
              <w:jc w:val="center"/>
              <w:rPr>
                <w:b/>
                <w:bCs/>
                <w:sz w:val="22"/>
                <w:szCs w:val="22"/>
              </w:rPr>
            </w:pPr>
            <w:r w:rsidRPr="009F2D88">
              <w:rPr>
                <w:b/>
                <w:bCs/>
                <w:sz w:val="22"/>
                <w:szCs w:val="22"/>
              </w:rPr>
              <w:t>12-13</w:t>
            </w:r>
          </w:p>
        </w:tc>
        <w:tc>
          <w:tcPr>
            <w:tcW w:w="1170" w:type="dxa"/>
            <w:shd w:val="clear" w:color="auto" w:fill="000080"/>
            <w:noWrap/>
            <w:vAlign w:val="center"/>
          </w:tcPr>
          <w:p w:rsidR="00474418" w:rsidRPr="009F2D88" w:rsidRDefault="00474418" w:rsidP="00545FB4">
            <w:pPr>
              <w:jc w:val="center"/>
              <w:rPr>
                <w:b/>
                <w:bCs/>
                <w:sz w:val="22"/>
                <w:szCs w:val="22"/>
              </w:rPr>
            </w:pPr>
            <w:r w:rsidRPr="009F2D88">
              <w:rPr>
                <w:b/>
                <w:bCs/>
                <w:sz w:val="22"/>
                <w:szCs w:val="22"/>
              </w:rPr>
              <w:t>13-14</w:t>
            </w:r>
          </w:p>
        </w:tc>
        <w:tc>
          <w:tcPr>
            <w:tcW w:w="1260" w:type="dxa"/>
            <w:shd w:val="clear" w:color="auto" w:fill="000080"/>
            <w:noWrap/>
            <w:vAlign w:val="center"/>
          </w:tcPr>
          <w:p w:rsidR="00474418" w:rsidRPr="009F2D88" w:rsidRDefault="00474418" w:rsidP="00545FB4">
            <w:pPr>
              <w:jc w:val="center"/>
              <w:rPr>
                <w:b/>
                <w:bCs/>
                <w:sz w:val="22"/>
                <w:szCs w:val="22"/>
              </w:rPr>
            </w:pPr>
            <w:r w:rsidRPr="009F2D88">
              <w:rPr>
                <w:b/>
                <w:bCs/>
                <w:sz w:val="22"/>
                <w:szCs w:val="22"/>
              </w:rPr>
              <w:t>14-15</w:t>
            </w:r>
          </w:p>
        </w:tc>
        <w:tc>
          <w:tcPr>
            <w:tcW w:w="1440" w:type="dxa"/>
            <w:shd w:val="clear" w:color="auto" w:fill="000080"/>
            <w:noWrap/>
            <w:vAlign w:val="center"/>
          </w:tcPr>
          <w:p w:rsidR="00474418" w:rsidRPr="009F2D88" w:rsidRDefault="0064724E" w:rsidP="00545FB4">
            <w:pPr>
              <w:jc w:val="center"/>
              <w:rPr>
                <w:b/>
                <w:bCs/>
                <w:sz w:val="22"/>
                <w:szCs w:val="22"/>
              </w:rPr>
            </w:pPr>
            <w:r>
              <w:rPr>
                <w:b/>
                <w:bCs/>
                <w:sz w:val="22"/>
                <w:szCs w:val="22"/>
              </w:rPr>
              <w:t>15-16 (Estimated)</w:t>
            </w:r>
          </w:p>
        </w:tc>
      </w:tr>
      <w:tr w:rsidR="00474418" w:rsidRPr="009F2D88" w:rsidTr="0064724E">
        <w:trPr>
          <w:trHeight w:val="600"/>
        </w:trPr>
        <w:tc>
          <w:tcPr>
            <w:tcW w:w="3402" w:type="dxa"/>
            <w:noWrap/>
            <w:vAlign w:val="center"/>
          </w:tcPr>
          <w:p w:rsidR="00474418" w:rsidRPr="009F2D88" w:rsidRDefault="00474418" w:rsidP="00545FB4">
            <w:pPr>
              <w:spacing w:line="240" w:lineRule="auto"/>
              <w:rPr>
                <w:b/>
                <w:bCs/>
                <w:sz w:val="22"/>
                <w:szCs w:val="22"/>
              </w:rPr>
            </w:pPr>
            <w:r w:rsidRPr="00C55489">
              <w:rPr>
                <w:b/>
                <w:bCs/>
                <w:sz w:val="22"/>
                <w:szCs w:val="22"/>
              </w:rPr>
              <w:t>Auxiliary Consumption</w:t>
            </w:r>
          </w:p>
        </w:tc>
        <w:tc>
          <w:tcPr>
            <w:tcW w:w="1251" w:type="dxa"/>
            <w:vAlign w:val="center"/>
          </w:tcPr>
          <w:p w:rsidR="00474418" w:rsidRPr="006D12AD" w:rsidRDefault="00C17E4A" w:rsidP="00545FB4">
            <w:pPr>
              <w:jc w:val="center"/>
              <w:rPr>
                <w:rFonts w:cs="Arial"/>
                <w:sz w:val="22"/>
                <w:szCs w:val="22"/>
              </w:rPr>
            </w:pPr>
            <w:r w:rsidRPr="006D12AD">
              <w:rPr>
                <w:rFonts w:cs="Arial"/>
                <w:sz w:val="22"/>
                <w:szCs w:val="22"/>
              </w:rPr>
              <w:t>2.65</w:t>
            </w:r>
          </w:p>
        </w:tc>
        <w:tc>
          <w:tcPr>
            <w:tcW w:w="1170" w:type="dxa"/>
            <w:noWrap/>
            <w:vAlign w:val="center"/>
          </w:tcPr>
          <w:p w:rsidR="00474418" w:rsidRPr="006D12AD" w:rsidRDefault="00C17E4A" w:rsidP="00545FB4">
            <w:pPr>
              <w:jc w:val="center"/>
              <w:rPr>
                <w:rFonts w:cs="Arial"/>
                <w:sz w:val="22"/>
                <w:szCs w:val="22"/>
              </w:rPr>
            </w:pPr>
            <w:r w:rsidRPr="006D12AD">
              <w:rPr>
                <w:rFonts w:cs="Arial"/>
                <w:sz w:val="22"/>
                <w:szCs w:val="22"/>
              </w:rPr>
              <w:t>2.73</w:t>
            </w:r>
          </w:p>
        </w:tc>
        <w:tc>
          <w:tcPr>
            <w:tcW w:w="1260" w:type="dxa"/>
            <w:noWrap/>
            <w:vAlign w:val="center"/>
          </w:tcPr>
          <w:p w:rsidR="00474418" w:rsidRPr="006D12AD" w:rsidRDefault="00B70718" w:rsidP="005F7AFD">
            <w:pPr>
              <w:jc w:val="center"/>
              <w:rPr>
                <w:rFonts w:cs="Arial"/>
                <w:sz w:val="22"/>
                <w:szCs w:val="22"/>
              </w:rPr>
            </w:pPr>
            <w:r w:rsidRPr="006D12AD">
              <w:rPr>
                <w:rFonts w:cs="Arial"/>
                <w:sz w:val="22"/>
                <w:szCs w:val="22"/>
              </w:rPr>
              <w:t>3.00</w:t>
            </w:r>
          </w:p>
        </w:tc>
        <w:tc>
          <w:tcPr>
            <w:tcW w:w="1440" w:type="dxa"/>
            <w:noWrap/>
            <w:vAlign w:val="center"/>
          </w:tcPr>
          <w:p w:rsidR="00474418" w:rsidRPr="006D12AD" w:rsidRDefault="00474418" w:rsidP="00B70718">
            <w:pPr>
              <w:jc w:val="left"/>
              <w:rPr>
                <w:rFonts w:cs="Arial"/>
                <w:sz w:val="22"/>
                <w:szCs w:val="22"/>
              </w:rPr>
            </w:pPr>
            <w:r w:rsidRPr="006D12AD">
              <w:rPr>
                <w:rFonts w:cs="Arial"/>
                <w:sz w:val="22"/>
                <w:szCs w:val="22"/>
              </w:rPr>
              <w:t>3.00</w:t>
            </w:r>
          </w:p>
        </w:tc>
      </w:tr>
    </w:tbl>
    <w:p w:rsidR="00474418" w:rsidRDefault="00474418" w:rsidP="00474418"/>
    <w:p w:rsidR="000F7069" w:rsidRDefault="000F7069">
      <w:pPr>
        <w:ind w:left="900" w:hanging="360"/>
        <w:rPr>
          <w:sz w:val="22"/>
          <w:szCs w:val="22"/>
        </w:rPr>
      </w:pPr>
      <w:r>
        <w:rPr>
          <w:sz w:val="22"/>
          <w:szCs w:val="22"/>
        </w:rPr>
        <w:t xml:space="preserve">2.  The Actual Auxiliary </w:t>
      </w:r>
      <w:r w:rsidR="00A96A88">
        <w:rPr>
          <w:sz w:val="22"/>
          <w:szCs w:val="22"/>
        </w:rPr>
        <w:t>Power C</w:t>
      </w:r>
      <w:r>
        <w:rPr>
          <w:sz w:val="22"/>
          <w:szCs w:val="22"/>
        </w:rPr>
        <w:t>onsumption</w:t>
      </w:r>
      <w:r w:rsidR="00937081">
        <w:rPr>
          <w:sz w:val="22"/>
          <w:szCs w:val="22"/>
        </w:rPr>
        <w:t xml:space="preserve"> in combined cycle </w:t>
      </w:r>
      <w:r w:rsidR="00302BDB">
        <w:rPr>
          <w:sz w:val="22"/>
          <w:szCs w:val="22"/>
        </w:rPr>
        <w:t>mode for</w:t>
      </w:r>
      <w:r>
        <w:rPr>
          <w:sz w:val="22"/>
          <w:szCs w:val="22"/>
        </w:rPr>
        <w:t xml:space="preserve"> PP</w:t>
      </w:r>
      <w:r w:rsidR="00A96A88">
        <w:rPr>
          <w:sz w:val="22"/>
          <w:szCs w:val="22"/>
        </w:rPr>
        <w:t>S-I</w:t>
      </w:r>
      <w:r w:rsidR="00937081">
        <w:rPr>
          <w:sz w:val="22"/>
          <w:szCs w:val="22"/>
        </w:rPr>
        <w:t xml:space="preserve"> is in the range of 3</w:t>
      </w:r>
      <w:r w:rsidR="00302BDB">
        <w:rPr>
          <w:sz w:val="22"/>
          <w:szCs w:val="22"/>
        </w:rPr>
        <w:t xml:space="preserve">%. </w:t>
      </w:r>
      <w:r w:rsidR="0019456B">
        <w:rPr>
          <w:sz w:val="22"/>
          <w:szCs w:val="22"/>
        </w:rPr>
        <w:t>PPS-I</w:t>
      </w:r>
      <w:r>
        <w:rPr>
          <w:sz w:val="22"/>
          <w:szCs w:val="22"/>
        </w:rPr>
        <w:t xml:space="preserve"> </w:t>
      </w:r>
      <w:r w:rsidR="001057E2">
        <w:rPr>
          <w:sz w:val="22"/>
          <w:szCs w:val="22"/>
        </w:rPr>
        <w:t>will continue</w:t>
      </w:r>
      <w:r w:rsidR="00C30F77">
        <w:rPr>
          <w:sz w:val="22"/>
          <w:szCs w:val="22"/>
        </w:rPr>
        <w:t xml:space="preserve"> to </w:t>
      </w:r>
      <w:r w:rsidR="00302BDB">
        <w:rPr>
          <w:sz w:val="22"/>
          <w:szCs w:val="22"/>
        </w:rPr>
        <w:t>perform within</w:t>
      </w:r>
      <w:r w:rsidR="00C30F77">
        <w:rPr>
          <w:sz w:val="22"/>
          <w:szCs w:val="22"/>
        </w:rPr>
        <w:t xml:space="preserve"> </w:t>
      </w:r>
      <w:r>
        <w:rPr>
          <w:sz w:val="22"/>
          <w:szCs w:val="22"/>
        </w:rPr>
        <w:t xml:space="preserve">the norm of </w:t>
      </w:r>
      <w:r w:rsidR="00A96A88">
        <w:rPr>
          <w:sz w:val="22"/>
          <w:szCs w:val="22"/>
        </w:rPr>
        <w:t xml:space="preserve">3% </w:t>
      </w:r>
      <w:r w:rsidR="00AA45B6">
        <w:rPr>
          <w:sz w:val="22"/>
          <w:szCs w:val="22"/>
        </w:rPr>
        <w:t xml:space="preserve">auxiliary </w:t>
      </w:r>
      <w:r w:rsidR="00A96A88">
        <w:rPr>
          <w:sz w:val="22"/>
          <w:szCs w:val="22"/>
        </w:rPr>
        <w:t xml:space="preserve">power </w:t>
      </w:r>
      <w:r w:rsidR="00AA45B6">
        <w:rPr>
          <w:sz w:val="22"/>
          <w:szCs w:val="22"/>
        </w:rPr>
        <w:t>consumption</w:t>
      </w:r>
      <w:r>
        <w:rPr>
          <w:sz w:val="22"/>
          <w:szCs w:val="22"/>
        </w:rPr>
        <w:t xml:space="preserve"> </w:t>
      </w:r>
      <w:r w:rsidR="00AA45B6">
        <w:rPr>
          <w:sz w:val="22"/>
          <w:szCs w:val="22"/>
        </w:rPr>
        <w:t xml:space="preserve">in combined cycle mode and 1% in open cycle mode </w:t>
      </w:r>
      <w:r>
        <w:rPr>
          <w:sz w:val="22"/>
          <w:szCs w:val="22"/>
        </w:rPr>
        <w:t xml:space="preserve">during </w:t>
      </w:r>
      <w:r w:rsidR="006C1700">
        <w:rPr>
          <w:sz w:val="22"/>
          <w:szCs w:val="22"/>
        </w:rPr>
        <w:t>extended period FY 2015-16 of current MYT Regulation</w:t>
      </w:r>
      <w:r w:rsidR="00AA45B6">
        <w:rPr>
          <w:sz w:val="22"/>
          <w:szCs w:val="22"/>
        </w:rPr>
        <w:t>.</w:t>
      </w:r>
      <w:r>
        <w:rPr>
          <w:sz w:val="22"/>
          <w:szCs w:val="22"/>
        </w:rPr>
        <w:t xml:space="preserve"> </w:t>
      </w:r>
    </w:p>
    <w:p w:rsidR="000F7069" w:rsidRDefault="000F7069">
      <w:pPr>
        <w:pStyle w:val="StyleHeading216ptJustifiedLinespacing15lines"/>
        <w:numPr>
          <w:ilvl w:val="0"/>
          <w:numId w:val="0"/>
        </w:numPr>
        <w:rPr>
          <w:b w:val="0"/>
          <w:bCs w:val="0"/>
          <w:sz w:val="22"/>
          <w:szCs w:val="22"/>
        </w:rPr>
      </w:pPr>
      <w:bookmarkStart w:id="20" w:name="_Toc411603918"/>
      <w:r>
        <w:rPr>
          <w:color w:val="000080"/>
        </w:rPr>
        <w:t>3.2 Gross Generation and Net Generation</w:t>
      </w:r>
      <w:bookmarkEnd w:id="20"/>
    </w:p>
    <w:p w:rsidR="007F66B8" w:rsidRPr="00CA7D93" w:rsidRDefault="000F7069" w:rsidP="007F66B8">
      <w:pPr>
        <w:numPr>
          <w:ilvl w:val="0"/>
          <w:numId w:val="11"/>
        </w:numPr>
        <w:tabs>
          <w:tab w:val="clear" w:pos="720"/>
          <w:tab w:val="num" w:pos="900"/>
        </w:tabs>
        <w:ind w:left="900"/>
        <w:rPr>
          <w:rFonts w:cs="Times New Roman"/>
          <w:i/>
          <w:iCs/>
          <w:sz w:val="22"/>
          <w:szCs w:val="22"/>
          <w:lang w:bidi="hi-IN"/>
        </w:rPr>
      </w:pPr>
      <w:r>
        <w:rPr>
          <w:sz w:val="22"/>
          <w:szCs w:val="22"/>
        </w:rPr>
        <w:t>Gross generation of PP</w:t>
      </w:r>
      <w:r w:rsidR="003B305B">
        <w:rPr>
          <w:sz w:val="22"/>
          <w:szCs w:val="22"/>
        </w:rPr>
        <w:t>S-I</w:t>
      </w:r>
      <w:r>
        <w:rPr>
          <w:sz w:val="22"/>
          <w:szCs w:val="22"/>
        </w:rPr>
        <w:t xml:space="preserve"> for </w:t>
      </w:r>
      <w:r w:rsidR="00D0131B">
        <w:rPr>
          <w:sz w:val="22"/>
          <w:szCs w:val="22"/>
        </w:rPr>
        <w:t>FY 2012-13, 2013-14 and</w:t>
      </w:r>
      <w:r w:rsidR="00303728">
        <w:rPr>
          <w:sz w:val="22"/>
          <w:szCs w:val="22"/>
        </w:rPr>
        <w:t xml:space="preserve"> FY 201</w:t>
      </w:r>
      <w:r w:rsidR="00D0131B">
        <w:rPr>
          <w:sz w:val="22"/>
          <w:szCs w:val="22"/>
        </w:rPr>
        <w:t>4-15 (Provisional)</w:t>
      </w:r>
      <w:r w:rsidR="00303728">
        <w:rPr>
          <w:sz w:val="22"/>
          <w:szCs w:val="22"/>
        </w:rPr>
        <w:t xml:space="preserve"> </w:t>
      </w:r>
      <w:r w:rsidR="00C31EAF" w:rsidRPr="00721D66">
        <w:rPr>
          <w:sz w:val="22"/>
          <w:szCs w:val="22"/>
        </w:rPr>
        <w:t>is</w:t>
      </w:r>
      <w:r w:rsidR="00CA2D71" w:rsidRPr="00721D66">
        <w:rPr>
          <w:sz w:val="22"/>
          <w:szCs w:val="22"/>
        </w:rPr>
        <w:t xml:space="preserve"> </w:t>
      </w:r>
      <w:r w:rsidR="00C17E4A" w:rsidRPr="00721D66">
        <w:rPr>
          <w:sz w:val="22"/>
          <w:szCs w:val="22"/>
        </w:rPr>
        <w:t>2508.28</w:t>
      </w:r>
      <w:r w:rsidR="004A46A3" w:rsidRPr="00721D66">
        <w:rPr>
          <w:sz w:val="22"/>
          <w:szCs w:val="22"/>
        </w:rPr>
        <w:t xml:space="preserve"> </w:t>
      </w:r>
      <w:r w:rsidR="00CA2D71" w:rsidRPr="00721D66">
        <w:rPr>
          <w:sz w:val="22"/>
          <w:szCs w:val="22"/>
        </w:rPr>
        <w:t xml:space="preserve">MU, </w:t>
      </w:r>
      <w:r w:rsidR="00C17E4A" w:rsidRPr="00721D66">
        <w:rPr>
          <w:sz w:val="22"/>
          <w:szCs w:val="22"/>
        </w:rPr>
        <w:t>2425.35</w:t>
      </w:r>
      <w:r w:rsidR="00D0131B" w:rsidRPr="00721D66">
        <w:rPr>
          <w:sz w:val="22"/>
          <w:szCs w:val="22"/>
        </w:rPr>
        <w:t xml:space="preserve">, </w:t>
      </w:r>
      <w:r w:rsidR="00CA2D71" w:rsidRPr="00721D66">
        <w:rPr>
          <w:sz w:val="22"/>
          <w:szCs w:val="22"/>
        </w:rPr>
        <w:t>MU</w:t>
      </w:r>
      <w:r w:rsidR="00303728" w:rsidRPr="00721D66">
        <w:rPr>
          <w:sz w:val="22"/>
          <w:szCs w:val="22"/>
        </w:rPr>
        <w:t xml:space="preserve"> and </w:t>
      </w:r>
      <w:r w:rsidR="00721D66" w:rsidRPr="00721D66">
        <w:rPr>
          <w:sz w:val="22"/>
          <w:szCs w:val="22"/>
        </w:rPr>
        <w:t>1605.12</w:t>
      </w:r>
      <w:r w:rsidR="00C31EAF" w:rsidRPr="00721D66">
        <w:rPr>
          <w:sz w:val="22"/>
          <w:szCs w:val="22"/>
        </w:rPr>
        <w:t xml:space="preserve"> MU (Upto </w:t>
      </w:r>
      <w:r w:rsidR="00721D66" w:rsidRPr="00721D66">
        <w:rPr>
          <w:sz w:val="22"/>
          <w:szCs w:val="22"/>
        </w:rPr>
        <w:t>Jan.,’15</w:t>
      </w:r>
      <w:r w:rsidR="00C31EAF" w:rsidRPr="00721D66">
        <w:rPr>
          <w:sz w:val="22"/>
          <w:szCs w:val="22"/>
        </w:rPr>
        <w:t>)</w:t>
      </w:r>
      <w:r w:rsidR="00303728" w:rsidRPr="00721D66">
        <w:rPr>
          <w:sz w:val="22"/>
          <w:szCs w:val="22"/>
        </w:rPr>
        <w:t xml:space="preserve"> </w:t>
      </w:r>
      <w:r w:rsidR="00CA2D71" w:rsidRPr="00721D66">
        <w:rPr>
          <w:sz w:val="22"/>
          <w:szCs w:val="22"/>
        </w:rPr>
        <w:t>respectively</w:t>
      </w:r>
      <w:r w:rsidR="004F5EF0" w:rsidRPr="00721D66">
        <w:rPr>
          <w:sz w:val="22"/>
          <w:szCs w:val="22"/>
        </w:rPr>
        <w:t xml:space="preserve">. </w:t>
      </w:r>
      <w:r w:rsidR="00CE4F23" w:rsidRPr="00721D66">
        <w:rPr>
          <w:sz w:val="22"/>
          <w:szCs w:val="22"/>
        </w:rPr>
        <w:t xml:space="preserve">The </w:t>
      </w:r>
      <w:r w:rsidR="006131F2" w:rsidRPr="00721D66">
        <w:rPr>
          <w:sz w:val="22"/>
          <w:szCs w:val="22"/>
        </w:rPr>
        <w:t xml:space="preserve">estimated </w:t>
      </w:r>
      <w:r w:rsidR="00CE4F23" w:rsidRPr="00721D66">
        <w:rPr>
          <w:sz w:val="22"/>
          <w:szCs w:val="22"/>
        </w:rPr>
        <w:t xml:space="preserve">Gross generation of </w:t>
      </w:r>
      <w:r w:rsidRPr="00721D66">
        <w:rPr>
          <w:sz w:val="22"/>
          <w:szCs w:val="22"/>
        </w:rPr>
        <w:t>PP</w:t>
      </w:r>
      <w:r w:rsidR="003B305B" w:rsidRPr="00721D66">
        <w:rPr>
          <w:sz w:val="22"/>
          <w:szCs w:val="22"/>
        </w:rPr>
        <w:t>S-</w:t>
      </w:r>
      <w:r w:rsidR="00522D5C" w:rsidRPr="00721D66">
        <w:rPr>
          <w:sz w:val="22"/>
          <w:szCs w:val="22"/>
        </w:rPr>
        <w:t>I is</w:t>
      </w:r>
      <w:r w:rsidRPr="00721D66">
        <w:rPr>
          <w:sz w:val="22"/>
          <w:szCs w:val="22"/>
        </w:rPr>
        <w:t xml:space="preserve"> </w:t>
      </w:r>
      <w:r w:rsidR="00C31EAF" w:rsidRPr="00721D66">
        <w:rPr>
          <w:sz w:val="22"/>
          <w:szCs w:val="22"/>
        </w:rPr>
        <w:t>2463.91</w:t>
      </w:r>
      <w:r w:rsidR="00CE4F23" w:rsidRPr="00721D66">
        <w:rPr>
          <w:sz w:val="22"/>
          <w:szCs w:val="22"/>
        </w:rPr>
        <w:t xml:space="preserve"> </w:t>
      </w:r>
      <w:r w:rsidRPr="00721D66">
        <w:rPr>
          <w:sz w:val="22"/>
          <w:szCs w:val="22"/>
        </w:rPr>
        <w:t xml:space="preserve">MU for the </w:t>
      </w:r>
      <w:r w:rsidR="00BE23DE" w:rsidRPr="00721D66">
        <w:rPr>
          <w:sz w:val="22"/>
          <w:szCs w:val="22"/>
        </w:rPr>
        <w:t>FY 20</w:t>
      </w:r>
      <w:r w:rsidR="00D0131B" w:rsidRPr="00721D66">
        <w:rPr>
          <w:sz w:val="22"/>
          <w:szCs w:val="22"/>
        </w:rPr>
        <w:t>15-16</w:t>
      </w:r>
      <w:r w:rsidR="00BE23DE" w:rsidRPr="00721D66">
        <w:rPr>
          <w:sz w:val="22"/>
          <w:szCs w:val="22"/>
        </w:rPr>
        <w:t>.</w:t>
      </w:r>
      <w:r w:rsidR="007F66B8" w:rsidRPr="00721D66">
        <w:rPr>
          <w:sz w:val="22"/>
          <w:szCs w:val="22"/>
        </w:rPr>
        <w:t xml:space="preserve"> </w:t>
      </w:r>
      <w:r w:rsidR="006131F2" w:rsidRPr="00721D66">
        <w:rPr>
          <w:sz w:val="22"/>
          <w:szCs w:val="22"/>
        </w:rPr>
        <w:t>The</w:t>
      </w:r>
      <w:r w:rsidR="006131F2">
        <w:rPr>
          <w:sz w:val="22"/>
          <w:szCs w:val="22"/>
        </w:rPr>
        <w:t xml:space="preserve"> </w:t>
      </w:r>
      <w:r w:rsidR="007F66B8">
        <w:rPr>
          <w:sz w:val="22"/>
          <w:szCs w:val="22"/>
        </w:rPr>
        <w:t xml:space="preserve">Petitioner shall endeavor to perform </w:t>
      </w:r>
      <w:r w:rsidR="006131F2">
        <w:rPr>
          <w:sz w:val="22"/>
          <w:szCs w:val="22"/>
        </w:rPr>
        <w:t>at the target of generation at 85</w:t>
      </w:r>
      <w:r w:rsidR="007F66B8">
        <w:rPr>
          <w:sz w:val="22"/>
          <w:szCs w:val="22"/>
        </w:rPr>
        <w:t xml:space="preserve">% Availability during FY </w:t>
      </w:r>
      <w:r w:rsidR="00D0131B">
        <w:rPr>
          <w:sz w:val="22"/>
          <w:szCs w:val="22"/>
        </w:rPr>
        <w:t>2015-16</w:t>
      </w:r>
      <w:r w:rsidR="007F66B8">
        <w:rPr>
          <w:sz w:val="22"/>
          <w:szCs w:val="22"/>
        </w:rPr>
        <w:t xml:space="preserve"> in accordance with system requirement and provisions of new electricity Grid Code. </w:t>
      </w:r>
    </w:p>
    <w:p w:rsidR="000F7069" w:rsidRDefault="000F7069">
      <w:pPr>
        <w:ind w:left="540"/>
        <w:rPr>
          <w:sz w:val="22"/>
          <w:szCs w:val="22"/>
        </w:rPr>
      </w:pPr>
    </w:p>
    <w:p w:rsidR="000F7069" w:rsidRDefault="000F7069" w:rsidP="004267DD">
      <w:pPr>
        <w:numPr>
          <w:ilvl w:val="0"/>
          <w:numId w:val="11"/>
        </w:numPr>
        <w:ind w:left="900"/>
        <w:rPr>
          <w:sz w:val="22"/>
          <w:szCs w:val="22"/>
        </w:rPr>
      </w:pPr>
      <w:r>
        <w:rPr>
          <w:sz w:val="22"/>
          <w:szCs w:val="22"/>
        </w:rPr>
        <w:lastRenderedPageBreak/>
        <w:t xml:space="preserve">On the basis of </w:t>
      </w:r>
      <w:r w:rsidR="002B086E">
        <w:rPr>
          <w:sz w:val="22"/>
          <w:szCs w:val="22"/>
        </w:rPr>
        <w:t>Availability</w:t>
      </w:r>
      <w:r>
        <w:rPr>
          <w:sz w:val="22"/>
          <w:szCs w:val="22"/>
        </w:rPr>
        <w:t xml:space="preserve"> as referred in the Table </w:t>
      </w:r>
      <w:r w:rsidR="004F07E5">
        <w:rPr>
          <w:sz w:val="22"/>
          <w:szCs w:val="22"/>
        </w:rPr>
        <w:t>3</w:t>
      </w:r>
      <w:r>
        <w:rPr>
          <w:sz w:val="22"/>
          <w:szCs w:val="22"/>
        </w:rPr>
        <w:t xml:space="preserve"> and Auxiliary </w:t>
      </w:r>
      <w:r w:rsidR="00397B51">
        <w:rPr>
          <w:sz w:val="22"/>
          <w:szCs w:val="22"/>
        </w:rPr>
        <w:t xml:space="preserve">Power </w:t>
      </w:r>
      <w:r>
        <w:rPr>
          <w:sz w:val="22"/>
          <w:szCs w:val="22"/>
        </w:rPr>
        <w:t xml:space="preserve">Consumption as referred in Table </w:t>
      </w:r>
      <w:r w:rsidR="004F07E5">
        <w:rPr>
          <w:sz w:val="22"/>
          <w:szCs w:val="22"/>
        </w:rPr>
        <w:t>4</w:t>
      </w:r>
      <w:r>
        <w:rPr>
          <w:sz w:val="22"/>
          <w:szCs w:val="22"/>
        </w:rPr>
        <w:t xml:space="preserve">, Gross and Net Generation from the </w:t>
      </w:r>
      <w:r w:rsidR="007F66B8">
        <w:rPr>
          <w:sz w:val="22"/>
          <w:szCs w:val="22"/>
        </w:rPr>
        <w:t>P</w:t>
      </w:r>
      <w:r>
        <w:rPr>
          <w:sz w:val="22"/>
          <w:szCs w:val="22"/>
        </w:rPr>
        <w:t xml:space="preserve">ower </w:t>
      </w:r>
      <w:r w:rsidR="007F66B8">
        <w:rPr>
          <w:sz w:val="22"/>
          <w:szCs w:val="22"/>
        </w:rPr>
        <w:t>S</w:t>
      </w:r>
      <w:r w:rsidR="00D169DC">
        <w:rPr>
          <w:sz w:val="22"/>
          <w:szCs w:val="22"/>
        </w:rPr>
        <w:t xml:space="preserve">tation </w:t>
      </w:r>
      <w:r w:rsidR="0095783B">
        <w:rPr>
          <w:sz w:val="22"/>
          <w:szCs w:val="22"/>
        </w:rPr>
        <w:t xml:space="preserve">are </w:t>
      </w:r>
      <w:r w:rsidR="00D169DC">
        <w:rPr>
          <w:sz w:val="22"/>
          <w:szCs w:val="22"/>
        </w:rPr>
        <w:t xml:space="preserve">as per the Table </w:t>
      </w:r>
      <w:r w:rsidR="004F07E5">
        <w:rPr>
          <w:sz w:val="22"/>
          <w:szCs w:val="22"/>
        </w:rPr>
        <w:t>5</w:t>
      </w:r>
      <w:r w:rsidR="002841CA">
        <w:rPr>
          <w:sz w:val="22"/>
          <w:szCs w:val="22"/>
        </w:rPr>
        <w:t>.</w:t>
      </w:r>
    </w:p>
    <w:p w:rsidR="000F7069" w:rsidRPr="00977A51" w:rsidRDefault="0031397F" w:rsidP="00977A51">
      <w:pPr>
        <w:pStyle w:val="Caption"/>
        <w:jc w:val="center"/>
      </w:pPr>
      <w:bookmarkStart w:id="21" w:name="_Toc174196338"/>
      <w:bookmarkStart w:id="22" w:name="_Toc411525180"/>
      <w:r>
        <w:t xml:space="preserve">Table </w:t>
      </w:r>
      <w:fldSimple w:instr=" SEQ Table \* ARABIC ">
        <w:r w:rsidR="000F406F">
          <w:rPr>
            <w:noProof/>
          </w:rPr>
          <w:t>5</w:t>
        </w:r>
      </w:fldSimple>
      <w:r>
        <w:t xml:space="preserve"> :</w:t>
      </w:r>
      <w:r w:rsidR="000F7069">
        <w:rPr>
          <w:sz w:val="20"/>
        </w:rPr>
        <w:t xml:space="preserve"> </w:t>
      </w:r>
      <w:r w:rsidR="000F7069" w:rsidRPr="00977A51">
        <w:t>Gross and Net Generation</w:t>
      </w:r>
      <w:bookmarkEnd w:id="21"/>
      <w:bookmarkEnd w:id="22"/>
    </w:p>
    <w:tbl>
      <w:tblPr>
        <w:tblW w:w="8878" w:type="dxa"/>
        <w:tblInd w:w="108" w:type="dxa"/>
        <w:tblLayout w:type="fixed"/>
        <w:tblLook w:val="0000"/>
      </w:tblPr>
      <w:tblGrid>
        <w:gridCol w:w="3047"/>
        <w:gridCol w:w="1559"/>
        <w:gridCol w:w="1418"/>
        <w:gridCol w:w="1347"/>
        <w:gridCol w:w="1507"/>
      </w:tblGrid>
      <w:tr w:rsidR="00A043ED" w:rsidRPr="006D30E7" w:rsidTr="00D241D6">
        <w:trPr>
          <w:trHeight w:val="352"/>
        </w:trPr>
        <w:tc>
          <w:tcPr>
            <w:tcW w:w="3047" w:type="dxa"/>
            <w:tcBorders>
              <w:top w:val="single" w:sz="4" w:space="0" w:color="auto"/>
              <w:left w:val="single" w:sz="4" w:space="0" w:color="auto"/>
              <w:bottom w:val="single" w:sz="4" w:space="0" w:color="auto"/>
              <w:right w:val="single" w:sz="4" w:space="0" w:color="auto"/>
            </w:tcBorders>
            <w:shd w:val="clear" w:color="auto" w:fill="000080"/>
            <w:vAlign w:val="center"/>
          </w:tcPr>
          <w:p w:rsidR="00A043ED" w:rsidRPr="006D30E7" w:rsidRDefault="00A043ED" w:rsidP="006D30E7">
            <w:pPr>
              <w:spacing w:line="240" w:lineRule="auto"/>
              <w:rPr>
                <w:b/>
                <w:bCs/>
                <w:sz w:val="22"/>
                <w:szCs w:val="22"/>
              </w:rPr>
            </w:pPr>
            <w:bookmarkStart w:id="23" w:name="OLE_LINK2"/>
            <w:r w:rsidRPr="006D30E7">
              <w:rPr>
                <w:b/>
                <w:bCs/>
                <w:sz w:val="22"/>
                <w:szCs w:val="22"/>
              </w:rPr>
              <w:t>Particulars</w:t>
            </w:r>
          </w:p>
        </w:tc>
        <w:tc>
          <w:tcPr>
            <w:tcW w:w="1559" w:type="dxa"/>
            <w:tcBorders>
              <w:top w:val="single" w:sz="4" w:space="0" w:color="auto"/>
              <w:left w:val="nil"/>
              <w:bottom w:val="single" w:sz="4" w:space="0" w:color="auto"/>
              <w:right w:val="single" w:sz="4" w:space="0" w:color="auto"/>
            </w:tcBorders>
            <w:shd w:val="clear" w:color="auto" w:fill="000080"/>
            <w:vAlign w:val="center"/>
          </w:tcPr>
          <w:p w:rsidR="00A043ED" w:rsidRPr="006D30E7" w:rsidRDefault="00A043ED" w:rsidP="00545FB4">
            <w:pPr>
              <w:spacing w:line="240" w:lineRule="auto"/>
              <w:ind w:left="-88" w:right="-126"/>
              <w:jc w:val="center"/>
              <w:rPr>
                <w:b/>
                <w:bCs/>
                <w:sz w:val="22"/>
                <w:szCs w:val="22"/>
              </w:rPr>
            </w:pPr>
            <w:r w:rsidRPr="006D30E7">
              <w:rPr>
                <w:b/>
                <w:bCs/>
                <w:sz w:val="22"/>
                <w:szCs w:val="22"/>
              </w:rPr>
              <w:t>12-13</w:t>
            </w:r>
          </w:p>
        </w:tc>
        <w:tc>
          <w:tcPr>
            <w:tcW w:w="1418" w:type="dxa"/>
            <w:tcBorders>
              <w:top w:val="single" w:sz="4" w:space="0" w:color="auto"/>
              <w:left w:val="nil"/>
              <w:bottom w:val="single" w:sz="4" w:space="0" w:color="auto"/>
              <w:right w:val="single" w:sz="4" w:space="0" w:color="auto"/>
            </w:tcBorders>
            <w:shd w:val="clear" w:color="auto" w:fill="000080"/>
            <w:vAlign w:val="center"/>
          </w:tcPr>
          <w:p w:rsidR="00A043ED" w:rsidRPr="006D30E7" w:rsidRDefault="00A043ED" w:rsidP="00545FB4">
            <w:pPr>
              <w:spacing w:line="240" w:lineRule="auto"/>
              <w:ind w:left="-88" w:right="-126"/>
              <w:jc w:val="center"/>
              <w:rPr>
                <w:b/>
                <w:bCs/>
                <w:sz w:val="22"/>
                <w:szCs w:val="22"/>
              </w:rPr>
            </w:pPr>
            <w:r w:rsidRPr="006D30E7">
              <w:rPr>
                <w:b/>
                <w:bCs/>
                <w:sz w:val="22"/>
                <w:szCs w:val="22"/>
              </w:rPr>
              <w:t>13-14</w:t>
            </w:r>
          </w:p>
        </w:tc>
        <w:tc>
          <w:tcPr>
            <w:tcW w:w="1347" w:type="dxa"/>
            <w:tcBorders>
              <w:top w:val="single" w:sz="4" w:space="0" w:color="auto"/>
              <w:left w:val="nil"/>
              <w:bottom w:val="single" w:sz="4" w:space="0" w:color="auto"/>
              <w:right w:val="single" w:sz="4" w:space="0" w:color="auto"/>
            </w:tcBorders>
            <w:shd w:val="clear" w:color="auto" w:fill="000080"/>
            <w:vAlign w:val="center"/>
          </w:tcPr>
          <w:p w:rsidR="00A043ED" w:rsidRPr="006D30E7" w:rsidRDefault="00A043ED" w:rsidP="00545FB4">
            <w:pPr>
              <w:spacing w:line="240" w:lineRule="auto"/>
              <w:ind w:left="-88" w:right="-126"/>
              <w:jc w:val="center"/>
              <w:rPr>
                <w:b/>
                <w:bCs/>
                <w:sz w:val="22"/>
                <w:szCs w:val="22"/>
              </w:rPr>
            </w:pPr>
            <w:r w:rsidRPr="006D30E7">
              <w:rPr>
                <w:b/>
                <w:bCs/>
                <w:sz w:val="22"/>
                <w:szCs w:val="22"/>
              </w:rPr>
              <w:t>14-15</w:t>
            </w:r>
          </w:p>
        </w:tc>
        <w:tc>
          <w:tcPr>
            <w:tcW w:w="1507" w:type="dxa"/>
            <w:tcBorders>
              <w:top w:val="single" w:sz="4" w:space="0" w:color="auto"/>
              <w:left w:val="nil"/>
              <w:bottom w:val="single" w:sz="4" w:space="0" w:color="auto"/>
              <w:right w:val="single" w:sz="4" w:space="0" w:color="auto"/>
            </w:tcBorders>
            <w:shd w:val="clear" w:color="auto" w:fill="000080"/>
            <w:vAlign w:val="center"/>
          </w:tcPr>
          <w:p w:rsidR="00A043ED" w:rsidRPr="006D30E7" w:rsidRDefault="0064724E" w:rsidP="006D30E7">
            <w:pPr>
              <w:spacing w:line="240" w:lineRule="auto"/>
              <w:ind w:left="-88" w:right="-126"/>
              <w:jc w:val="center"/>
              <w:rPr>
                <w:b/>
                <w:bCs/>
                <w:sz w:val="22"/>
                <w:szCs w:val="22"/>
              </w:rPr>
            </w:pPr>
            <w:r>
              <w:rPr>
                <w:b/>
                <w:bCs/>
                <w:sz w:val="22"/>
                <w:szCs w:val="22"/>
              </w:rPr>
              <w:t>15-16 (Estimated)</w:t>
            </w:r>
          </w:p>
        </w:tc>
      </w:tr>
      <w:tr w:rsidR="00A043ED" w:rsidRPr="006D30E7" w:rsidTr="00D241D6">
        <w:trPr>
          <w:trHeight w:val="338"/>
        </w:trPr>
        <w:tc>
          <w:tcPr>
            <w:tcW w:w="3047" w:type="dxa"/>
            <w:tcBorders>
              <w:top w:val="nil"/>
              <w:left w:val="single" w:sz="4" w:space="0" w:color="auto"/>
              <w:bottom w:val="single" w:sz="4" w:space="0" w:color="auto"/>
              <w:right w:val="single" w:sz="4" w:space="0" w:color="auto"/>
            </w:tcBorders>
            <w:noWrap/>
            <w:vAlign w:val="center"/>
          </w:tcPr>
          <w:p w:rsidR="00A043ED" w:rsidRPr="006D30E7" w:rsidRDefault="00A043ED" w:rsidP="006D30E7">
            <w:pPr>
              <w:spacing w:line="240" w:lineRule="auto"/>
              <w:ind w:left="-108" w:right="-128"/>
              <w:rPr>
                <w:sz w:val="22"/>
                <w:szCs w:val="22"/>
              </w:rPr>
            </w:pPr>
            <w:r w:rsidRPr="006D30E7">
              <w:rPr>
                <w:sz w:val="22"/>
                <w:szCs w:val="22"/>
              </w:rPr>
              <w:t>Gross Generation (MU)</w:t>
            </w:r>
          </w:p>
        </w:tc>
        <w:tc>
          <w:tcPr>
            <w:tcW w:w="1559" w:type="dxa"/>
            <w:tcBorders>
              <w:top w:val="nil"/>
              <w:left w:val="nil"/>
              <w:bottom w:val="single" w:sz="4" w:space="0" w:color="auto"/>
              <w:right w:val="single" w:sz="4" w:space="0" w:color="auto"/>
            </w:tcBorders>
            <w:noWrap/>
            <w:vAlign w:val="center"/>
          </w:tcPr>
          <w:p w:rsidR="00A043ED" w:rsidRPr="007D7CEF" w:rsidRDefault="0039523E" w:rsidP="00545FB4">
            <w:pPr>
              <w:spacing w:line="240" w:lineRule="auto"/>
              <w:ind w:left="-88" w:right="-126"/>
              <w:jc w:val="center"/>
              <w:rPr>
                <w:rFonts w:cs="Arial"/>
                <w:sz w:val="22"/>
                <w:szCs w:val="22"/>
              </w:rPr>
            </w:pPr>
            <w:r w:rsidRPr="007D7CEF">
              <w:rPr>
                <w:rFonts w:cs="Arial"/>
                <w:sz w:val="22"/>
                <w:szCs w:val="22"/>
              </w:rPr>
              <w:t>2508.28</w:t>
            </w:r>
          </w:p>
        </w:tc>
        <w:tc>
          <w:tcPr>
            <w:tcW w:w="1418" w:type="dxa"/>
            <w:tcBorders>
              <w:top w:val="nil"/>
              <w:left w:val="nil"/>
              <w:bottom w:val="single" w:sz="4" w:space="0" w:color="auto"/>
              <w:right w:val="single" w:sz="4" w:space="0" w:color="auto"/>
            </w:tcBorders>
            <w:noWrap/>
            <w:vAlign w:val="center"/>
          </w:tcPr>
          <w:p w:rsidR="00A043ED" w:rsidRPr="007D7CEF" w:rsidRDefault="0039523E" w:rsidP="00545FB4">
            <w:pPr>
              <w:spacing w:line="240" w:lineRule="auto"/>
              <w:ind w:left="-88" w:right="-126"/>
              <w:jc w:val="center"/>
              <w:rPr>
                <w:rFonts w:cs="Arial"/>
                <w:sz w:val="22"/>
                <w:szCs w:val="22"/>
              </w:rPr>
            </w:pPr>
            <w:r w:rsidRPr="007D7CEF">
              <w:rPr>
                <w:rFonts w:cs="Arial"/>
                <w:sz w:val="22"/>
                <w:szCs w:val="22"/>
              </w:rPr>
              <w:t>2425.35</w:t>
            </w:r>
          </w:p>
        </w:tc>
        <w:tc>
          <w:tcPr>
            <w:tcW w:w="1347" w:type="dxa"/>
            <w:tcBorders>
              <w:top w:val="nil"/>
              <w:left w:val="nil"/>
              <w:bottom w:val="single" w:sz="4" w:space="0" w:color="auto"/>
              <w:right w:val="single" w:sz="4" w:space="0" w:color="auto"/>
            </w:tcBorders>
            <w:noWrap/>
            <w:vAlign w:val="center"/>
          </w:tcPr>
          <w:p w:rsidR="00A043ED" w:rsidRPr="007D7CEF" w:rsidRDefault="00B70718" w:rsidP="00545FB4">
            <w:pPr>
              <w:spacing w:line="240" w:lineRule="auto"/>
              <w:ind w:left="-88" w:right="-126"/>
              <w:jc w:val="center"/>
              <w:rPr>
                <w:rFonts w:cs="Arial"/>
                <w:sz w:val="22"/>
                <w:szCs w:val="22"/>
              </w:rPr>
            </w:pPr>
            <w:r w:rsidRPr="007D7CEF">
              <w:rPr>
                <w:rFonts w:cs="Arial"/>
                <w:sz w:val="22"/>
                <w:szCs w:val="22"/>
              </w:rPr>
              <w:t>2457</w:t>
            </w:r>
            <w:r w:rsidR="00C31EAF" w:rsidRPr="007D7CEF">
              <w:rPr>
                <w:rFonts w:cs="Arial"/>
                <w:sz w:val="22"/>
                <w:szCs w:val="22"/>
              </w:rPr>
              <w:t>.18</w:t>
            </w:r>
          </w:p>
        </w:tc>
        <w:tc>
          <w:tcPr>
            <w:tcW w:w="1507" w:type="dxa"/>
            <w:tcBorders>
              <w:top w:val="nil"/>
              <w:left w:val="nil"/>
              <w:bottom w:val="single" w:sz="4" w:space="0" w:color="auto"/>
              <w:right w:val="single" w:sz="4" w:space="0" w:color="auto"/>
            </w:tcBorders>
            <w:noWrap/>
            <w:vAlign w:val="center"/>
          </w:tcPr>
          <w:p w:rsidR="00A043ED" w:rsidRPr="007D7CEF" w:rsidRDefault="00B70718" w:rsidP="00C31EAF">
            <w:pPr>
              <w:spacing w:line="240" w:lineRule="auto"/>
              <w:ind w:left="-88" w:right="-126"/>
              <w:jc w:val="center"/>
              <w:rPr>
                <w:rFonts w:cs="Arial"/>
                <w:sz w:val="22"/>
                <w:szCs w:val="22"/>
              </w:rPr>
            </w:pPr>
            <w:r w:rsidRPr="007D7CEF">
              <w:rPr>
                <w:rFonts w:cs="Arial"/>
                <w:sz w:val="22"/>
                <w:szCs w:val="22"/>
              </w:rPr>
              <w:t>246</w:t>
            </w:r>
            <w:r w:rsidR="00C31EAF" w:rsidRPr="007D7CEF">
              <w:rPr>
                <w:rFonts w:cs="Arial"/>
                <w:sz w:val="22"/>
                <w:szCs w:val="22"/>
              </w:rPr>
              <w:t>3.91</w:t>
            </w:r>
          </w:p>
        </w:tc>
      </w:tr>
      <w:tr w:rsidR="00A043ED" w:rsidRPr="006D30E7" w:rsidTr="00D241D6">
        <w:trPr>
          <w:trHeight w:val="322"/>
        </w:trPr>
        <w:tc>
          <w:tcPr>
            <w:tcW w:w="3047" w:type="dxa"/>
            <w:tcBorders>
              <w:top w:val="nil"/>
              <w:left w:val="single" w:sz="4" w:space="0" w:color="auto"/>
              <w:bottom w:val="single" w:sz="4" w:space="0" w:color="auto"/>
              <w:right w:val="single" w:sz="4" w:space="0" w:color="auto"/>
            </w:tcBorders>
            <w:noWrap/>
            <w:vAlign w:val="center"/>
          </w:tcPr>
          <w:p w:rsidR="00A043ED" w:rsidRPr="006D30E7" w:rsidRDefault="00A043ED" w:rsidP="006D30E7">
            <w:pPr>
              <w:spacing w:line="240" w:lineRule="auto"/>
              <w:ind w:left="-108" w:right="-128"/>
              <w:rPr>
                <w:sz w:val="22"/>
                <w:szCs w:val="22"/>
              </w:rPr>
            </w:pPr>
            <w:r w:rsidRPr="006D30E7">
              <w:rPr>
                <w:sz w:val="22"/>
                <w:szCs w:val="22"/>
              </w:rPr>
              <w:t>Auxiliary Consumption (%)</w:t>
            </w:r>
          </w:p>
        </w:tc>
        <w:tc>
          <w:tcPr>
            <w:tcW w:w="1559" w:type="dxa"/>
            <w:tcBorders>
              <w:top w:val="nil"/>
              <w:left w:val="nil"/>
              <w:bottom w:val="single" w:sz="4" w:space="0" w:color="auto"/>
              <w:right w:val="single" w:sz="4" w:space="0" w:color="auto"/>
            </w:tcBorders>
            <w:noWrap/>
            <w:vAlign w:val="center"/>
          </w:tcPr>
          <w:p w:rsidR="00A043ED" w:rsidRPr="007D7CEF" w:rsidRDefault="0039523E" w:rsidP="00545FB4">
            <w:pPr>
              <w:spacing w:line="240" w:lineRule="auto"/>
              <w:ind w:left="-88" w:right="-126"/>
              <w:jc w:val="center"/>
              <w:rPr>
                <w:rFonts w:cs="Arial"/>
                <w:sz w:val="22"/>
                <w:szCs w:val="22"/>
              </w:rPr>
            </w:pPr>
            <w:r w:rsidRPr="007D7CEF">
              <w:rPr>
                <w:rFonts w:cs="Arial"/>
                <w:sz w:val="22"/>
                <w:szCs w:val="22"/>
              </w:rPr>
              <w:t>2.65</w:t>
            </w:r>
            <w:r w:rsidR="00A043ED" w:rsidRPr="007D7CEF">
              <w:rPr>
                <w:rFonts w:cs="Arial"/>
                <w:sz w:val="22"/>
                <w:szCs w:val="22"/>
              </w:rPr>
              <w:t>%</w:t>
            </w:r>
          </w:p>
        </w:tc>
        <w:tc>
          <w:tcPr>
            <w:tcW w:w="1418" w:type="dxa"/>
            <w:tcBorders>
              <w:top w:val="nil"/>
              <w:left w:val="nil"/>
              <w:bottom w:val="single" w:sz="4" w:space="0" w:color="auto"/>
              <w:right w:val="single" w:sz="4" w:space="0" w:color="auto"/>
            </w:tcBorders>
            <w:noWrap/>
            <w:vAlign w:val="center"/>
          </w:tcPr>
          <w:p w:rsidR="00A043ED" w:rsidRPr="007D7CEF" w:rsidRDefault="0039523E" w:rsidP="00545FB4">
            <w:pPr>
              <w:spacing w:line="240" w:lineRule="auto"/>
              <w:ind w:left="-88" w:right="-126"/>
              <w:jc w:val="center"/>
              <w:rPr>
                <w:rFonts w:cs="Arial"/>
                <w:sz w:val="22"/>
                <w:szCs w:val="22"/>
              </w:rPr>
            </w:pPr>
            <w:r w:rsidRPr="007D7CEF">
              <w:rPr>
                <w:rFonts w:cs="Arial"/>
                <w:sz w:val="22"/>
                <w:szCs w:val="22"/>
              </w:rPr>
              <w:t>2.73</w:t>
            </w:r>
            <w:r w:rsidR="00A043ED" w:rsidRPr="007D7CEF">
              <w:rPr>
                <w:rFonts w:cs="Arial"/>
                <w:sz w:val="22"/>
                <w:szCs w:val="22"/>
              </w:rPr>
              <w:t>%</w:t>
            </w:r>
          </w:p>
        </w:tc>
        <w:tc>
          <w:tcPr>
            <w:tcW w:w="1347" w:type="dxa"/>
            <w:tcBorders>
              <w:top w:val="nil"/>
              <w:left w:val="nil"/>
              <w:bottom w:val="single" w:sz="4" w:space="0" w:color="auto"/>
              <w:right w:val="single" w:sz="4" w:space="0" w:color="auto"/>
            </w:tcBorders>
            <w:noWrap/>
            <w:vAlign w:val="center"/>
          </w:tcPr>
          <w:p w:rsidR="00A043ED" w:rsidRPr="007D7CEF" w:rsidRDefault="00B70718" w:rsidP="00B24867">
            <w:pPr>
              <w:spacing w:line="240" w:lineRule="auto"/>
              <w:ind w:left="-88" w:right="-126"/>
              <w:jc w:val="center"/>
              <w:rPr>
                <w:rFonts w:cs="Arial"/>
                <w:sz w:val="22"/>
                <w:szCs w:val="22"/>
              </w:rPr>
            </w:pPr>
            <w:r w:rsidRPr="007D7CEF">
              <w:rPr>
                <w:rFonts w:cs="Arial"/>
                <w:sz w:val="22"/>
                <w:szCs w:val="22"/>
              </w:rPr>
              <w:t>3.00</w:t>
            </w:r>
            <w:r w:rsidR="00A043ED" w:rsidRPr="007D7CEF">
              <w:rPr>
                <w:rFonts w:cs="Arial"/>
                <w:sz w:val="22"/>
                <w:szCs w:val="22"/>
              </w:rPr>
              <w:t>%</w:t>
            </w:r>
          </w:p>
        </w:tc>
        <w:tc>
          <w:tcPr>
            <w:tcW w:w="1507" w:type="dxa"/>
            <w:tcBorders>
              <w:top w:val="nil"/>
              <w:left w:val="nil"/>
              <w:bottom w:val="single" w:sz="4" w:space="0" w:color="auto"/>
              <w:right w:val="single" w:sz="4" w:space="0" w:color="auto"/>
            </w:tcBorders>
            <w:noWrap/>
            <w:vAlign w:val="center"/>
          </w:tcPr>
          <w:p w:rsidR="00A043ED" w:rsidRPr="007D7CEF" w:rsidRDefault="00A043ED" w:rsidP="00545FB4">
            <w:pPr>
              <w:spacing w:line="240" w:lineRule="auto"/>
              <w:ind w:left="-88" w:right="-126"/>
              <w:jc w:val="center"/>
              <w:rPr>
                <w:rFonts w:cs="Arial"/>
                <w:sz w:val="22"/>
                <w:szCs w:val="22"/>
              </w:rPr>
            </w:pPr>
            <w:r w:rsidRPr="007D7CEF">
              <w:rPr>
                <w:rFonts w:cs="Arial"/>
                <w:sz w:val="22"/>
                <w:szCs w:val="22"/>
              </w:rPr>
              <w:t>3.00%</w:t>
            </w:r>
          </w:p>
        </w:tc>
      </w:tr>
      <w:tr w:rsidR="00A043ED" w:rsidRPr="006D30E7" w:rsidTr="00D241D6">
        <w:trPr>
          <w:trHeight w:val="338"/>
        </w:trPr>
        <w:tc>
          <w:tcPr>
            <w:tcW w:w="3047" w:type="dxa"/>
            <w:tcBorders>
              <w:top w:val="nil"/>
              <w:left w:val="single" w:sz="4" w:space="0" w:color="auto"/>
              <w:bottom w:val="single" w:sz="4" w:space="0" w:color="auto"/>
              <w:right w:val="single" w:sz="4" w:space="0" w:color="auto"/>
            </w:tcBorders>
            <w:noWrap/>
            <w:vAlign w:val="center"/>
          </w:tcPr>
          <w:p w:rsidR="00A043ED" w:rsidRPr="006D30E7" w:rsidRDefault="00A043ED" w:rsidP="006D30E7">
            <w:pPr>
              <w:spacing w:line="240" w:lineRule="auto"/>
              <w:ind w:left="-108" w:right="-128"/>
              <w:rPr>
                <w:sz w:val="22"/>
                <w:szCs w:val="22"/>
              </w:rPr>
            </w:pPr>
            <w:r w:rsidRPr="006D30E7">
              <w:rPr>
                <w:sz w:val="22"/>
                <w:szCs w:val="22"/>
              </w:rPr>
              <w:t>Net Generation (MU)</w:t>
            </w:r>
          </w:p>
        </w:tc>
        <w:tc>
          <w:tcPr>
            <w:tcW w:w="1559" w:type="dxa"/>
            <w:tcBorders>
              <w:top w:val="nil"/>
              <w:left w:val="nil"/>
              <w:bottom w:val="single" w:sz="4" w:space="0" w:color="auto"/>
              <w:right w:val="single" w:sz="4" w:space="0" w:color="auto"/>
            </w:tcBorders>
            <w:noWrap/>
            <w:vAlign w:val="center"/>
          </w:tcPr>
          <w:p w:rsidR="00A043ED" w:rsidRPr="007D7CEF" w:rsidRDefault="00A043ED" w:rsidP="0039523E">
            <w:pPr>
              <w:spacing w:line="240" w:lineRule="auto"/>
              <w:ind w:left="-88" w:right="-126"/>
              <w:jc w:val="center"/>
              <w:rPr>
                <w:rFonts w:cs="Arial"/>
                <w:sz w:val="22"/>
                <w:szCs w:val="22"/>
              </w:rPr>
            </w:pPr>
            <w:r w:rsidRPr="007D7CEF">
              <w:rPr>
                <w:rFonts w:cs="Arial"/>
                <w:sz w:val="22"/>
                <w:szCs w:val="22"/>
              </w:rPr>
              <w:t>2</w:t>
            </w:r>
            <w:r w:rsidR="0039523E" w:rsidRPr="007D7CEF">
              <w:rPr>
                <w:rFonts w:cs="Arial"/>
                <w:sz w:val="22"/>
                <w:szCs w:val="22"/>
              </w:rPr>
              <w:t>441.83</w:t>
            </w:r>
          </w:p>
        </w:tc>
        <w:tc>
          <w:tcPr>
            <w:tcW w:w="1418" w:type="dxa"/>
            <w:tcBorders>
              <w:top w:val="nil"/>
              <w:left w:val="nil"/>
              <w:bottom w:val="single" w:sz="4" w:space="0" w:color="auto"/>
              <w:right w:val="single" w:sz="4" w:space="0" w:color="auto"/>
            </w:tcBorders>
            <w:noWrap/>
            <w:vAlign w:val="center"/>
          </w:tcPr>
          <w:p w:rsidR="00A043ED" w:rsidRPr="007D7CEF" w:rsidRDefault="0039523E" w:rsidP="00B70718">
            <w:pPr>
              <w:spacing w:line="240" w:lineRule="auto"/>
              <w:ind w:left="-88" w:right="-126"/>
              <w:jc w:val="center"/>
              <w:rPr>
                <w:rFonts w:cs="Arial"/>
                <w:sz w:val="22"/>
                <w:szCs w:val="22"/>
              </w:rPr>
            </w:pPr>
            <w:r w:rsidRPr="007D7CEF">
              <w:rPr>
                <w:rFonts w:cs="Arial"/>
                <w:sz w:val="22"/>
                <w:szCs w:val="22"/>
              </w:rPr>
              <w:t>2359.1</w:t>
            </w:r>
            <w:r w:rsidR="00B70718" w:rsidRPr="007D7CEF">
              <w:rPr>
                <w:rFonts w:cs="Arial"/>
                <w:sz w:val="22"/>
                <w:szCs w:val="22"/>
              </w:rPr>
              <w:t>1</w:t>
            </w:r>
          </w:p>
        </w:tc>
        <w:tc>
          <w:tcPr>
            <w:tcW w:w="1347" w:type="dxa"/>
            <w:tcBorders>
              <w:top w:val="nil"/>
              <w:left w:val="nil"/>
              <w:bottom w:val="single" w:sz="4" w:space="0" w:color="auto"/>
              <w:right w:val="single" w:sz="4" w:space="0" w:color="auto"/>
            </w:tcBorders>
            <w:noWrap/>
            <w:vAlign w:val="center"/>
          </w:tcPr>
          <w:p w:rsidR="00B70718" w:rsidRPr="007D7CEF" w:rsidRDefault="00B70718" w:rsidP="00B70718">
            <w:pPr>
              <w:spacing w:line="240" w:lineRule="auto"/>
              <w:ind w:left="-88" w:right="-126"/>
              <w:jc w:val="center"/>
              <w:rPr>
                <w:rFonts w:cs="Arial"/>
                <w:sz w:val="22"/>
                <w:szCs w:val="22"/>
              </w:rPr>
            </w:pPr>
            <w:r w:rsidRPr="007D7CEF">
              <w:rPr>
                <w:rFonts w:cs="Arial"/>
                <w:sz w:val="22"/>
                <w:szCs w:val="22"/>
              </w:rPr>
              <w:t>2383.46</w:t>
            </w:r>
          </w:p>
        </w:tc>
        <w:tc>
          <w:tcPr>
            <w:tcW w:w="1507" w:type="dxa"/>
            <w:tcBorders>
              <w:top w:val="nil"/>
              <w:left w:val="nil"/>
              <w:bottom w:val="single" w:sz="4" w:space="0" w:color="auto"/>
              <w:right w:val="single" w:sz="4" w:space="0" w:color="auto"/>
            </w:tcBorders>
            <w:noWrap/>
            <w:vAlign w:val="center"/>
          </w:tcPr>
          <w:p w:rsidR="00A043ED" w:rsidRPr="007D7CEF" w:rsidRDefault="00B24867" w:rsidP="00B24867">
            <w:pPr>
              <w:spacing w:line="240" w:lineRule="auto"/>
              <w:ind w:left="-88" w:right="-126"/>
              <w:jc w:val="center"/>
              <w:rPr>
                <w:rFonts w:cs="Arial"/>
                <w:sz w:val="22"/>
                <w:szCs w:val="22"/>
              </w:rPr>
            </w:pPr>
            <w:r w:rsidRPr="007D7CEF">
              <w:rPr>
                <w:rFonts w:cs="Arial"/>
                <w:sz w:val="22"/>
                <w:szCs w:val="22"/>
              </w:rPr>
              <w:t>2389</w:t>
            </w:r>
            <w:r w:rsidR="00A043ED" w:rsidRPr="007D7CEF">
              <w:rPr>
                <w:rFonts w:cs="Arial"/>
                <w:sz w:val="22"/>
                <w:szCs w:val="22"/>
              </w:rPr>
              <w:t>.</w:t>
            </w:r>
            <w:r w:rsidRPr="007D7CEF">
              <w:rPr>
                <w:rFonts w:cs="Arial"/>
                <w:sz w:val="22"/>
                <w:szCs w:val="22"/>
              </w:rPr>
              <w:t>99</w:t>
            </w:r>
          </w:p>
        </w:tc>
      </w:tr>
    </w:tbl>
    <w:p w:rsidR="00BF1545" w:rsidRDefault="00BF1545">
      <w:pPr>
        <w:pStyle w:val="StyleHeading216ptJustifiedLinespacing15lines"/>
        <w:numPr>
          <w:ilvl w:val="0"/>
          <w:numId w:val="0"/>
        </w:numPr>
        <w:rPr>
          <w:color w:val="000080"/>
        </w:rPr>
      </w:pPr>
      <w:bookmarkStart w:id="24" w:name="_Toc173135802"/>
      <w:bookmarkEnd w:id="23"/>
    </w:p>
    <w:p w:rsidR="000F7069" w:rsidRDefault="000F7069">
      <w:pPr>
        <w:pStyle w:val="StyleHeading216ptJustifiedLinespacing15lines"/>
        <w:numPr>
          <w:ilvl w:val="0"/>
          <w:numId w:val="0"/>
        </w:numPr>
        <w:rPr>
          <w:szCs w:val="22"/>
        </w:rPr>
      </w:pPr>
      <w:bookmarkStart w:id="25" w:name="_Toc411603919"/>
      <w:r>
        <w:rPr>
          <w:color w:val="000080"/>
        </w:rPr>
        <w:t xml:space="preserve">3.3 Variable Cost for </w:t>
      </w:r>
      <w:bookmarkEnd w:id="24"/>
      <w:r w:rsidR="0019456B">
        <w:rPr>
          <w:color w:val="000080"/>
        </w:rPr>
        <w:t>PPS-I</w:t>
      </w:r>
      <w:bookmarkEnd w:id="25"/>
      <w:r>
        <w:rPr>
          <w:color w:val="000080"/>
        </w:rPr>
        <w:t xml:space="preserve"> </w:t>
      </w:r>
    </w:p>
    <w:p w:rsidR="000B7353" w:rsidRPr="002044DB" w:rsidRDefault="000B7353">
      <w:pPr>
        <w:pStyle w:val="BodyText"/>
        <w:tabs>
          <w:tab w:val="left" w:pos="2610"/>
        </w:tabs>
        <w:rPr>
          <w:rFonts w:ascii="Century Gothic" w:hAnsi="Century Gothic"/>
          <w:b/>
          <w:bCs/>
          <w:sz w:val="10"/>
          <w:szCs w:val="22"/>
        </w:rPr>
      </w:pPr>
    </w:p>
    <w:p w:rsidR="000F7069" w:rsidRDefault="00AB1757">
      <w:pPr>
        <w:pStyle w:val="BodyText"/>
        <w:tabs>
          <w:tab w:val="left" w:pos="2610"/>
        </w:tabs>
        <w:rPr>
          <w:rFonts w:ascii="Century Gothic" w:hAnsi="Century Gothic"/>
          <w:b/>
          <w:bCs/>
          <w:szCs w:val="22"/>
        </w:rPr>
      </w:pPr>
      <w:r>
        <w:rPr>
          <w:rFonts w:ascii="Century Gothic" w:hAnsi="Century Gothic"/>
          <w:b/>
          <w:bCs/>
          <w:szCs w:val="22"/>
        </w:rPr>
        <w:t>3.3.1 Fuel</w:t>
      </w:r>
      <w:r w:rsidR="000F7069">
        <w:rPr>
          <w:rFonts w:ascii="Century Gothic" w:hAnsi="Century Gothic"/>
          <w:b/>
          <w:bCs/>
          <w:szCs w:val="22"/>
        </w:rPr>
        <w:t xml:space="preserve"> Consumption:</w:t>
      </w:r>
      <w:r w:rsidR="000F7069">
        <w:rPr>
          <w:rFonts w:ascii="Century Gothic" w:hAnsi="Century Gothic"/>
          <w:b/>
          <w:bCs/>
          <w:szCs w:val="22"/>
        </w:rPr>
        <w:tab/>
      </w:r>
    </w:p>
    <w:p w:rsidR="000F7069" w:rsidRDefault="005A0FBF" w:rsidP="0069014D">
      <w:pPr>
        <w:pStyle w:val="BodyText"/>
        <w:numPr>
          <w:ilvl w:val="0"/>
          <w:numId w:val="12"/>
        </w:numPr>
      </w:pPr>
      <w:r w:rsidRPr="00384F2A">
        <w:rPr>
          <w:rFonts w:ascii="Century Gothic" w:hAnsi="Century Gothic"/>
          <w:szCs w:val="24"/>
        </w:rPr>
        <w:t>Pragati Power Station</w:t>
      </w:r>
      <w:r w:rsidR="0061798D">
        <w:rPr>
          <w:rFonts w:ascii="Century Gothic" w:hAnsi="Century Gothic"/>
          <w:szCs w:val="24"/>
        </w:rPr>
        <w:t>-I</w:t>
      </w:r>
      <w:r w:rsidRPr="00384F2A">
        <w:rPr>
          <w:rFonts w:ascii="Century Gothic" w:hAnsi="Century Gothic"/>
          <w:szCs w:val="24"/>
        </w:rPr>
        <w:t xml:space="preserve"> </w:t>
      </w:r>
      <w:r w:rsidRPr="00384F2A">
        <w:rPr>
          <w:rFonts w:ascii="Century Gothic" w:hAnsi="Century Gothic"/>
          <w:szCs w:val="22"/>
        </w:rPr>
        <w:t>has a long-term agreement with Gas Authority of India Limited (GAIL) for supply of Gas. Initially, PP</w:t>
      </w:r>
      <w:r w:rsidR="0061798D">
        <w:rPr>
          <w:rFonts w:ascii="Century Gothic" w:hAnsi="Century Gothic"/>
          <w:szCs w:val="22"/>
        </w:rPr>
        <w:t>S-I</w:t>
      </w:r>
      <w:r w:rsidRPr="00384F2A">
        <w:rPr>
          <w:rFonts w:ascii="Century Gothic" w:hAnsi="Century Gothic"/>
          <w:szCs w:val="22"/>
        </w:rPr>
        <w:t xml:space="preserve"> </w:t>
      </w:r>
      <w:r w:rsidR="00040179" w:rsidRPr="00384F2A">
        <w:rPr>
          <w:rFonts w:ascii="Century Gothic" w:hAnsi="Century Gothic"/>
          <w:szCs w:val="24"/>
        </w:rPr>
        <w:t>was having an alloc</w:t>
      </w:r>
      <w:r w:rsidR="0012250D">
        <w:rPr>
          <w:rFonts w:ascii="Century Gothic" w:hAnsi="Century Gothic"/>
          <w:szCs w:val="24"/>
        </w:rPr>
        <w:t>ation of 1.75 MMSCMD of APM Gas</w:t>
      </w:r>
      <w:r w:rsidR="00040179" w:rsidRPr="00384F2A">
        <w:rPr>
          <w:rFonts w:ascii="Century Gothic" w:hAnsi="Century Gothic"/>
          <w:szCs w:val="24"/>
        </w:rPr>
        <w:t xml:space="preserve">.  This gas was sufficient to run both the Gas Turbines on base load.  </w:t>
      </w:r>
      <w:r w:rsidR="0012250D" w:rsidRPr="00384F2A">
        <w:rPr>
          <w:rFonts w:ascii="Century Gothic" w:hAnsi="Century Gothic"/>
          <w:szCs w:val="24"/>
        </w:rPr>
        <w:t xml:space="preserve">Due to depleting </w:t>
      </w:r>
      <w:r w:rsidR="007518C4">
        <w:rPr>
          <w:rFonts w:ascii="Century Gothic" w:hAnsi="Century Gothic"/>
          <w:szCs w:val="24"/>
        </w:rPr>
        <w:t>g</w:t>
      </w:r>
      <w:r w:rsidR="0012250D" w:rsidRPr="00384F2A">
        <w:rPr>
          <w:rFonts w:ascii="Century Gothic" w:hAnsi="Century Gothic"/>
          <w:szCs w:val="24"/>
        </w:rPr>
        <w:t xml:space="preserve">as reserves of ONGC, GAIL </w:t>
      </w:r>
      <w:r w:rsidR="0012250D">
        <w:rPr>
          <w:rFonts w:ascii="Century Gothic" w:hAnsi="Century Gothic"/>
          <w:szCs w:val="24"/>
        </w:rPr>
        <w:t xml:space="preserve">has </w:t>
      </w:r>
      <w:r w:rsidR="003D75B1">
        <w:rPr>
          <w:rFonts w:ascii="Century Gothic" w:hAnsi="Century Gothic"/>
          <w:szCs w:val="24"/>
        </w:rPr>
        <w:t>been imposing</w:t>
      </w:r>
      <w:r w:rsidR="0012250D" w:rsidRPr="00384F2A">
        <w:rPr>
          <w:rFonts w:ascii="Century Gothic" w:hAnsi="Century Gothic"/>
          <w:szCs w:val="24"/>
        </w:rPr>
        <w:t xml:space="preserve"> cuts on its supply on day to day basis</w:t>
      </w:r>
      <w:r w:rsidR="006160AA">
        <w:rPr>
          <w:rFonts w:ascii="Century Gothic" w:hAnsi="Century Gothic"/>
          <w:szCs w:val="24"/>
        </w:rPr>
        <w:t>.</w:t>
      </w:r>
      <w:r w:rsidR="0012250D" w:rsidRPr="00447A39">
        <w:rPr>
          <w:rFonts w:ascii="Century Gothic" w:hAnsi="Century Gothic"/>
          <w:szCs w:val="24"/>
        </w:rPr>
        <w:t xml:space="preserve"> </w:t>
      </w:r>
      <w:r w:rsidR="0012250D" w:rsidRPr="007D7CEF">
        <w:rPr>
          <w:rFonts w:ascii="Century Gothic" w:hAnsi="Century Gothic"/>
          <w:color w:val="000000" w:themeColor="text1"/>
          <w:szCs w:val="24"/>
        </w:rPr>
        <w:t>T</w:t>
      </w:r>
      <w:r w:rsidR="00040179" w:rsidRPr="007D7CEF">
        <w:rPr>
          <w:rFonts w:ascii="Century Gothic" w:hAnsi="Century Gothic"/>
          <w:color w:val="000000" w:themeColor="text1"/>
          <w:szCs w:val="24"/>
        </w:rPr>
        <w:t xml:space="preserve">he </w:t>
      </w:r>
      <w:r w:rsidR="00FE1921" w:rsidRPr="007D7CEF">
        <w:rPr>
          <w:rFonts w:ascii="Century Gothic" w:hAnsi="Century Gothic"/>
          <w:color w:val="000000" w:themeColor="text1"/>
          <w:szCs w:val="24"/>
        </w:rPr>
        <w:t xml:space="preserve">present </w:t>
      </w:r>
      <w:r w:rsidR="00040179" w:rsidRPr="007D7CEF">
        <w:rPr>
          <w:rFonts w:ascii="Century Gothic" w:hAnsi="Century Gothic"/>
          <w:color w:val="000000" w:themeColor="text1"/>
          <w:szCs w:val="24"/>
        </w:rPr>
        <w:t xml:space="preserve">gas allocation </w:t>
      </w:r>
      <w:r w:rsidR="0012250D" w:rsidRPr="007D7CEF">
        <w:rPr>
          <w:rFonts w:ascii="Century Gothic" w:hAnsi="Century Gothic"/>
          <w:color w:val="000000" w:themeColor="text1"/>
          <w:szCs w:val="24"/>
        </w:rPr>
        <w:t>on day to day basis is between 1.1</w:t>
      </w:r>
      <w:r w:rsidR="00C31EAF" w:rsidRPr="007D7CEF">
        <w:rPr>
          <w:rFonts w:ascii="Century Gothic" w:hAnsi="Century Gothic"/>
          <w:color w:val="000000" w:themeColor="text1"/>
          <w:szCs w:val="24"/>
        </w:rPr>
        <w:t xml:space="preserve"> </w:t>
      </w:r>
      <w:r w:rsidR="00841C01" w:rsidRPr="007D7CEF">
        <w:rPr>
          <w:rFonts w:ascii="Century Gothic" w:hAnsi="Century Gothic"/>
          <w:color w:val="000000" w:themeColor="text1"/>
          <w:szCs w:val="24"/>
        </w:rPr>
        <w:t>MMSCMD</w:t>
      </w:r>
      <w:r w:rsidR="0012250D" w:rsidRPr="007D7CEF">
        <w:rPr>
          <w:rFonts w:ascii="Century Gothic" w:hAnsi="Century Gothic"/>
          <w:color w:val="000000" w:themeColor="text1"/>
          <w:szCs w:val="24"/>
        </w:rPr>
        <w:t xml:space="preserve"> to 1.2</w:t>
      </w:r>
      <w:r w:rsidR="00040179" w:rsidRPr="007D7CEF">
        <w:rPr>
          <w:rFonts w:ascii="Century Gothic" w:hAnsi="Century Gothic"/>
          <w:color w:val="000000" w:themeColor="text1"/>
          <w:szCs w:val="24"/>
        </w:rPr>
        <w:t xml:space="preserve"> MMSCMD of APM gas and 0.</w:t>
      </w:r>
      <w:r w:rsidR="00841C01" w:rsidRPr="007D7CEF">
        <w:rPr>
          <w:rFonts w:ascii="Century Gothic" w:hAnsi="Century Gothic"/>
          <w:color w:val="000000" w:themeColor="text1"/>
          <w:szCs w:val="24"/>
        </w:rPr>
        <w:t>28</w:t>
      </w:r>
      <w:r w:rsidR="00040179" w:rsidRPr="007D7CEF">
        <w:rPr>
          <w:rFonts w:ascii="Century Gothic" w:hAnsi="Century Gothic"/>
          <w:color w:val="000000" w:themeColor="text1"/>
          <w:szCs w:val="24"/>
        </w:rPr>
        <w:t xml:space="preserve"> MMSCMD of </w:t>
      </w:r>
      <w:r w:rsidR="006C5175" w:rsidRPr="007D7CEF">
        <w:rPr>
          <w:rFonts w:ascii="Century Gothic" w:hAnsi="Century Gothic"/>
          <w:color w:val="000000" w:themeColor="text1"/>
          <w:szCs w:val="24"/>
        </w:rPr>
        <w:t xml:space="preserve">PMT </w:t>
      </w:r>
      <w:r w:rsidR="00040179" w:rsidRPr="007D7CEF">
        <w:rPr>
          <w:rFonts w:ascii="Century Gothic" w:hAnsi="Century Gothic"/>
          <w:color w:val="000000" w:themeColor="text1"/>
          <w:szCs w:val="24"/>
        </w:rPr>
        <w:t>gas</w:t>
      </w:r>
      <w:r w:rsidR="00D8318E" w:rsidRPr="007D7CEF">
        <w:rPr>
          <w:rFonts w:ascii="Century Gothic" w:hAnsi="Century Gothic"/>
          <w:color w:val="000000" w:themeColor="text1"/>
          <w:szCs w:val="24"/>
        </w:rPr>
        <w:t>.</w:t>
      </w:r>
      <w:r w:rsidR="005F2406" w:rsidRPr="007D7CEF">
        <w:rPr>
          <w:rFonts w:ascii="Century Gothic" w:hAnsi="Century Gothic"/>
          <w:color w:val="000000" w:themeColor="text1"/>
          <w:szCs w:val="24"/>
        </w:rPr>
        <w:t xml:space="preserve"> </w:t>
      </w:r>
      <w:r w:rsidR="00040179" w:rsidRPr="007D7CEF">
        <w:rPr>
          <w:rFonts w:ascii="Century Gothic" w:hAnsi="Century Gothic"/>
          <w:color w:val="000000" w:themeColor="text1"/>
          <w:szCs w:val="24"/>
        </w:rPr>
        <w:t>To m</w:t>
      </w:r>
      <w:r w:rsidR="00AE38B6" w:rsidRPr="007D7CEF">
        <w:rPr>
          <w:rFonts w:ascii="Century Gothic" w:hAnsi="Century Gothic"/>
          <w:color w:val="000000" w:themeColor="text1"/>
          <w:szCs w:val="24"/>
        </w:rPr>
        <w:t xml:space="preserve">eet the </w:t>
      </w:r>
      <w:r w:rsidR="00040179" w:rsidRPr="007D7CEF">
        <w:rPr>
          <w:rFonts w:ascii="Century Gothic" w:hAnsi="Century Gothic"/>
          <w:color w:val="000000" w:themeColor="text1"/>
          <w:szCs w:val="24"/>
        </w:rPr>
        <w:t xml:space="preserve">short fall in the gas </w:t>
      </w:r>
      <w:r w:rsidR="00227265" w:rsidRPr="007D7CEF">
        <w:rPr>
          <w:rFonts w:ascii="Century Gothic" w:hAnsi="Century Gothic"/>
          <w:color w:val="000000" w:themeColor="text1"/>
          <w:szCs w:val="24"/>
        </w:rPr>
        <w:t>supply</w:t>
      </w:r>
      <w:r w:rsidR="00040179" w:rsidRPr="007D7CEF">
        <w:rPr>
          <w:rFonts w:ascii="Century Gothic" w:hAnsi="Century Gothic"/>
          <w:color w:val="000000" w:themeColor="text1"/>
          <w:szCs w:val="24"/>
        </w:rPr>
        <w:t>, fall back agreement has been signed with GAIL for supply of</w:t>
      </w:r>
      <w:r w:rsidR="00BB117C" w:rsidRPr="007D7CEF">
        <w:rPr>
          <w:rFonts w:ascii="Century Gothic" w:hAnsi="Century Gothic"/>
          <w:color w:val="000000" w:themeColor="text1"/>
          <w:szCs w:val="24"/>
        </w:rPr>
        <w:t xml:space="preserve"> </w:t>
      </w:r>
      <w:r w:rsidR="003D75B1" w:rsidRPr="007D7CEF">
        <w:rPr>
          <w:rFonts w:ascii="Century Gothic" w:hAnsi="Century Gothic"/>
          <w:color w:val="000000" w:themeColor="text1"/>
          <w:szCs w:val="24"/>
        </w:rPr>
        <w:t>spot R</w:t>
      </w:r>
      <w:r w:rsidR="00040179" w:rsidRPr="007D7CEF">
        <w:rPr>
          <w:rFonts w:ascii="Century Gothic" w:hAnsi="Century Gothic"/>
          <w:color w:val="000000" w:themeColor="text1"/>
          <w:szCs w:val="24"/>
        </w:rPr>
        <w:t>-LNG gas</w:t>
      </w:r>
      <w:r w:rsidR="003C7962" w:rsidRPr="007D7CEF">
        <w:rPr>
          <w:rFonts w:ascii="Century Gothic" w:hAnsi="Century Gothic"/>
          <w:color w:val="000000" w:themeColor="text1"/>
          <w:szCs w:val="24"/>
        </w:rPr>
        <w:t xml:space="preserve"> on </w:t>
      </w:r>
      <w:r w:rsidR="009D698A" w:rsidRPr="007D7CEF">
        <w:rPr>
          <w:rFonts w:ascii="Century Gothic" w:hAnsi="Century Gothic"/>
          <w:color w:val="000000" w:themeColor="text1"/>
          <w:szCs w:val="24"/>
        </w:rPr>
        <w:t>take and pay basis.</w:t>
      </w:r>
      <w:r w:rsidR="003D75B1" w:rsidRPr="007D7CEF">
        <w:rPr>
          <w:rFonts w:ascii="Century Gothic" w:hAnsi="Century Gothic"/>
          <w:color w:val="000000" w:themeColor="text1"/>
          <w:szCs w:val="24"/>
        </w:rPr>
        <w:t xml:space="preserve"> Recently, MoP&amp;NG has allocated 0.</w:t>
      </w:r>
      <w:r w:rsidR="00054982" w:rsidRPr="007D7CEF">
        <w:rPr>
          <w:rFonts w:ascii="Century Gothic" w:hAnsi="Century Gothic"/>
          <w:color w:val="000000" w:themeColor="text1"/>
          <w:szCs w:val="24"/>
        </w:rPr>
        <w:t xml:space="preserve">02 </w:t>
      </w:r>
      <w:r w:rsidR="003D75B1" w:rsidRPr="007D7CEF">
        <w:rPr>
          <w:rFonts w:ascii="Century Gothic" w:hAnsi="Century Gothic"/>
          <w:color w:val="000000" w:themeColor="text1"/>
          <w:szCs w:val="24"/>
        </w:rPr>
        <w:t>MMSCMD non</w:t>
      </w:r>
      <w:r w:rsidR="00054982" w:rsidRPr="007D7CEF">
        <w:rPr>
          <w:rFonts w:ascii="Century Gothic" w:hAnsi="Century Gothic"/>
          <w:color w:val="000000" w:themeColor="text1"/>
          <w:szCs w:val="24"/>
        </w:rPr>
        <w:t>-</w:t>
      </w:r>
      <w:r w:rsidR="004648F2" w:rsidRPr="007D7CEF">
        <w:rPr>
          <w:rFonts w:ascii="Century Gothic" w:hAnsi="Century Gothic"/>
          <w:color w:val="000000" w:themeColor="text1"/>
          <w:szCs w:val="24"/>
        </w:rPr>
        <w:t xml:space="preserve">APM ONGC </w:t>
      </w:r>
      <w:r w:rsidR="003D75B1" w:rsidRPr="007D7CEF">
        <w:rPr>
          <w:rFonts w:ascii="Century Gothic" w:hAnsi="Century Gothic"/>
          <w:color w:val="000000" w:themeColor="text1"/>
          <w:szCs w:val="24"/>
        </w:rPr>
        <w:t xml:space="preserve">gas </w:t>
      </w:r>
      <w:r w:rsidR="008721B4" w:rsidRPr="007D7CEF">
        <w:rPr>
          <w:rFonts w:ascii="Century Gothic" w:hAnsi="Century Gothic"/>
          <w:color w:val="000000" w:themeColor="text1"/>
          <w:szCs w:val="24"/>
        </w:rPr>
        <w:t>whose supply has been commenced from mid October,</w:t>
      </w:r>
      <w:r w:rsidR="001900E5" w:rsidRPr="007D7CEF">
        <w:rPr>
          <w:rFonts w:ascii="Century Gothic" w:hAnsi="Century Gothic"/>
          <w:color w:val="000000" w:themeColor="text1"/>
          <w:szCs w:val="24"/>
        </w:rPr>
        <w:t xml:space="preserve"> </w:t>
      </w:r>
      <w:r w:rsidR="008721B4" w:rsidRPr="007D7CEF">
        <w:rPr>
          <w:rFonts w:ascii="Century Gothic" w:hAnsi="Century Gothic"/>
          <w:color w:val="000000" w:themeColor="text1"/>
          <w:szCs w:val="24"/>
        </w:rPr>
        <w:t>2011</w:t>
      </w:r>
      <w:r w:rsidR="008721B4">
        <w:rPr>
          <w:rFonts w:ascii="Century Gothic" w:hAnsi="Century Gothic"/>
          <w:szCs w:val="24"/>
        </w:rPr>
        <w:t>.</w:t>
      </w:r>
      <w:r w:rsidR="003D75B1">
        <w:rPr>
          <w:rFonts w:ascii="Century Gothic" w:hAnsi="Century Gothic"/>
          <w:szCs w:val="24"/>
        </w:rPr>
        <w:t xml:space="preserve"> </w:t>
      </w:r>
      <w:r w:rsidR="009D698A">
        <w:rPr>
          <w:rFonts w:ascii="Century Gothic" w:hAnsi="Century Gothic"/>
          <w:szCs w:val="24"/>
        </w:rPr>
        <w:t xml:space="preserve"> </w:t>
      </w:r>
    </w:p>
    <w:p w:rsidR="000F7069" w:rsidRDefault="000F7069">
      <w:pPr>
        <w:pStyle w:val="BodyText"/>
        <w:numPr>
          <w:ilvl w:val="0"/>
          <w:numId w:val="12"/>
        </w:numPr>
        <w:rPr>
          <w:rFonts w:ascii="Century Gothic" w:hAnsi="Century Gothic"/>
          <w:szCs w:val="24"/>
        </w:rPr>
      </w:pPr>
      <w:r>
        <w:rPr>
          <w:rFonts w:ascii="Century Gothic" w:hAnsi="Century Gothic"/>
          <w:szCs w:val="24"/>
        </w:rPr>
        <w:t>The Consumption of APM</w:t>
      </w:r>
      <w:r w:rsidR="004A62B9">
        <w:rPr>
          <w:rFonts w:ascii="Century Gothic" w:hAnsi="Century Gothic"/>
          <w:szCs w:val="24"/>
        </w:rPr>
        <w:t xml:space="preserve"> Gas, </w:t>
      </w:r>
      <w:r>
        <w:rPr>
          <w:rFonts w:ascii="Century Gothic" w:hAnsi="Century Gothic"/>
          <w:szCs w:val="24"/>
        </w:rPr>
        <w:t>PMT Gas</w:t>
      </w:r>
      <w:r w:rsidR="004A62B9">
        <w:rPr>
          <w:rFonts w:ascii="Century Gothic" w:hAnsi="Century Gothic"/>
          <w:szCs w:val="24"/>
        </w:rPr>
        <w:t xml:space="preserve">, R-LNG gas and Spot- Gas </w:t>
      </w:r>
      <w:r w:rsidR="003C7962">
        <w:rPr>
          <w:rFonts w:ascii="Century Gothic" w:hAnsi="Century Gothic"/>
          <w:szCs w:val="24"/>
        </w:rPr>
        <w:t>during the control period from</w:t>
      </w:r>
      <w:r w:rsidR="00DB0426">
        <w:rPr>
          <w:rFonts w:ascii="Century Gothic" w:hAnsi="Century Gothic"/>
          <w:szCs w:val="24"/>
        </w:rPr>
        <w:t xml:space="preserve"> </w:t>
      </w:r>
      <w:r w:rsidR="00D45420">
        <w:rPr>
          <w:rFonts w:ascii="Century Gothic" w:hAnsi="Century Gothic"/>
          <w:szCs w:val="24"/>
        </w:rPr>
        <w:t>FY 2012-13, 2013-14 and FY 2014-15 (Provisional)</w:t>
      </w:r>
      <w:r w:rsidR="004A62B9">
        <w:rPr>
          <w:rFonts w:ascii="Century Gothic" w:hAnsi="Century Gothic"/>
          <w:szCs w:val="24"/>
        </w:rPr>
        <w:t xml:space="preserve"> is </w:t>
      </w:r>
      <w:r w:rsidR="006935B4">
        <w:rPr>
          <w:rFonts w:ascii="Century Gothic" w:hAnsi="Century Gothic"/>
          <w:szCs w:val="24"/>
        </w:rPr>
        <w:t xml:space="preserve">depicted </w:t>
      </w:r>
      <w:r w:rsidR="004A62B9">
        <w:rPr>
          <w:rFonts w:ascii="Century Gothic" w:hAnsi="Century Gothic"/>
          <w:szCs w:val="24"/>
        </w:rPr>
        <w:t xml:space="preserve">in Table </w:t>
      </w:r>
      <w:r w:rsidR="00B54DAE">
        <w:rPr>
          <w:rFonts w:ascii="Century Gothic" w:hAnsi="Century Gothic"/>
          <w:szCs w:val="24"/>
        </w:rPr>
        <w:t>6</w:t>
      </w:r>
      <w:r>
        <w:rPr>
          <w:rFonts w:ascii="Century Gothic" w:hAnsi="Century Gothic"/>
          <w:szCs w:val="24"/>
        </w:rPr>
        <w:t>.</w:t>
      </w:r>
    </w:p>
    <w:p w:rsidR="00F61BA7" w:rsidRDefault="00F61BA7" w:rsidP="00F023D0">
      <w:pPr>
        <w:pStyle w:val="ListParagraph"/>
        <w:spacing w:line="240" w:lineRule="auto"/>
      </w:pPr>
    </w:p>
    <w:p w:rsidR="00F61BA7" w:rsidRDefault="00F61BA7">
      <w:pPr>
        <w:pStyle w:val="BodyText"/>
        <w:numPr>
          <w:ilvl w:val="0"/>
          <w:numId w:val="12"/>
        </w:numPr>
        <w:rPr>
          <w:rFonts w:ascii="Century Gothic" w:hAnsi="Century Gothic"/>
          <w:szCs w:val="24"/>
        </w:rPr>
      </w:pPr>
      <w:r>
        <w:rPr>
          <w:rFonts w:ascii="Century Gothic" w:hAnsi="Century Gothic"/>
          <w:szCs w:val="24"/>
        </w:rPr>
        <w:t xml:space="preserve">During the </w:t>
      </w:r>
      <w:r w:rsidR="003C7962">
        <w:rPr>
          <w:rFonts w:ascii="Century Gothic" w:hAnsi="Century Gothic"/>
          <w:szCs w:val="24"/>
        </w:rPr>
        <w:t xml:space="preserve">MYT Control period </w:t>
      </w:r>
      <w:r>
        <w:rPr>
          <w:rFonts w:ascii="Century Gothic" w:hAnsi="Century Gothic"/>
          <w:szCs w:val="24"/>
        </w:rPr>
        <w:t xml:space="preserve">FY </w:t>
      </w:r>
      <w:r w:rsidR="007E6F82">
        <w:rPr>
          <w:rFonts w:ascii="Century Gothic" w:hAnsi="Century Gothic"/>
          <w:szCs w:val="24"/>
        </w:rPr>
        <w:t>2012-13, 2013-14 and FY 2014-15 (Provisional)</w:t>
      </w:r>
      <w:r>
        <w:rPr>
          <w:rFonts w:ascii="Century Gothic" w:hAnsi="Century Gothic"/>
          <w:szCs w:val="24"/>
        </w:rPr>
        <w:t xml:space="preserve">, the station has also </w:t>
      </w:r>
      <w:r w:rsidR="006F6CB2">
        <w:rPr>
          <w:rFonts w:ascii="Century Gothic" w:hAnsi="Century Gothic"/>
          <w:szCs w:val="24"/>
        </w:rPr>
        <w:t xml:space="preserve">operated </w:t>
      </w:r>
      <w:r>
        <w:rPr>
          <w:rFonts w:ascii="Century Gothic" w:hAnsi="Century Gothic"/>
          <w:szCs w:val="24"/>
        </w:rPr>
        <w:t xml:space="preserve">in open cycle mode. The quantum of open cycle generation calculated in terms of percentage is around </w:t>
      </w:r>
      <w:r w:rsidR="003F5527" w:rsidRPr="003F5527">
        <w:rPr>
          <w:rFonts w:ascii="Century Gothic" w:hAnsi="Century Gothic"/>
          <w:color w:val="000000" w:themeColor="text1"/>
          <w:szCs w:val="24"/>
        </w:rPr>
        <w:t>5.25</w:t>
      </w:r>
      <w:r w:rsidRPr="003F5527">
        <w:rPr>
          <w:rFonts w:ascii="Century Gothic" w:hAnsi="Century Gothic"/>
          <w:color w:val="000000" w:themeColor="text1"/>
          <w:szCs w:val="24"/>
        </w:rPr>
        <w:t>%</w:t>
      </w:r>
      <w:r w:rsidR="003F5527" w:rsidRPr="003F5527">
        <w:rPr>
          <w:rFonts w:ascii="Century Gothic" w:hAnsi="Century Gothic"/>
          <w:color w:val="000000" w:themeColor="text1"/>
          <w:szCs w:val="24"/>
        </w:rPr>
        <w:t xml:space="preserve"> till Jan., 2015 for FY 2014-15</w:t>
      </w:r>
      <w:r w:rsidRPr="003F5527">
        <w:rPr>
          <w:rFonts w:ascii="Century Gothic" w:hAnsi="Century Gothic"/>
          <w:color w:val="000000" w:themeColor="text1"/>
          <w:szCs w:val="24"/>
        </w:rPr>
        <w:t xml:space="preserve"> of</w:t>
      </w:r>
      <w:r>
        <w:rPr>
          <w:rFonts w:ascii="Century Gothic" w:hAnsi="Century Gothic"/>
          <w:szCs w:val="24"/>
        </w:rPr>
        <w:t xml:space="preserve"> the total generation of the station. </w:t>
      </w:r>
      <w:r w:rsidR="00587AA9">
        <w:rPr>
          <w:rFonts w:ascii="Century Gothic" w:hAnsi="Century Gothic"/>
          <w:szCs w:val="24"/>
        </w:rPr>
        <w:t>However, t</w:t>
      </w:r>
      <w:r w:rsidR="00303176">
        <w:rPr>
          <w:rFonts w:ascii="Century Gothic" w:hAnsi="Century Gothic"/>
          <w:szCs w:val="24"/>
        </w:rPr>
        <w:t>he petitioner has</w:t>
      </w:r>
      <w:r w:rsidR="00587AA9">
        <w:rPr>
          <w:rFonts w:ascii="Century Gothic" w:hAnsi="Century Gothic"/>
          <w:szCs w:val="24"/>
        </w:rPr>
        <w:t xml:space="preserve"> not considered the</w:t>
      </w:r>
      <w:r w:rsidR="00303176">
        <w:rPr>
          <w:rFonts w:ascii="Century Gothic" w:hAnsi="Century Gothic"/>
          <w:szCs w:val="24"/>
        </w:rPr>
        <w:t xml:space="preserve"> open cycle generation for </w:t>
      </w:r>
      <w:r w:rsidR="00127E70">
        <w:rPr>
          <w:rFonts w:ascii="Century Gothic" w:hAnsi="Century Gothic"/>
          <w:szCs w:val="24"/>
        </w:rPr>
        <w:t>projection of</w:t>
      </w:r>
      <w:r>
        <w:rPr>
          <w:rFonts w:ascii="Century Gothic" w:hAnsi="Century Gothic"/>
          <w:szCs w:val="24"/>
        </w:rPr>
        <w:t xml:space="preserve"> fuel consumption</w:t>
      </w:r>
      <w:r w:rsidR="00D322EA">
        <w:rPr>
          <w:rFonts w:ascii="Century Gothic" w:hAnsi="Century Gothic"/>
          <w:szCs w:val="24"/>
        </w:rPr>
        <w:t xml:space="preserve"> </w:t>
      </w:r>
      <w:r w:rsidR="00E5738E">
        <w:rPr>
          <w:rFonts w:ascii="Century Gothic" w:hAnsi="Century Gothic"/>
          <w:szCs w:val="24"/>
        </w:rPr>
        <w:t>during FY</w:t>
      </w:r>
      <w:r w:rsidR="00D322EA">
        <w:rPr>
          <w:rFonts w:ascii="Century Gothic" w:hAnsi="Century Gothic"/>
          <w:szCs w:val="24"/>
        </w:rPr>
        <w:t xml:space="preserve"> </w:t>
      </w:r>
      <w:r w:rsidR="00905B55">
        <w:rPr>
          <w:rFonts w:ascii="Century Gothic" w:hAnsi="Century Gothic"/>
          <w:szCs w:val="24"/>
        </w:rPr>
        <w:t>2015-16</w:t>
      </w:r>
      <w:r>
        <w:rPr>
          <w:rFonts w:ascii="Century Gothic" w:hAnsi="Century Gothic"/>
          <w:szCs w:val="24"/>
        </w:rPr>
        <w:t>.</w:t>
      </w:r>
    </w:p>
    <w:p w:rsidR="00256522" w:rsidRDefault="00256522" w:rsidP="00256522">
      <w:pPr>
        <w:pStyle w:val="BodyText"/>
        <w:rPr>
          <w:rFonts w:ascii="Century Gothic" w:hAnsi="Century Gothic"/>
          <w:szCs w:val="24"/>
        </w:rPr>
      </w:pPr>
    </w:p>
    <w:p w:rsidR="00B05FEC" w:rsidRPr="003F5527" w:rsidRDefault="00D322EA" w:rsidP="00675826">
      <w:pPr>
        <w:pStyle w:val="BodyText"/>
        <w:numPr>
          <w:ilvl w:val="0"/>
          <w:numId w:val="12"/>
        </w:numPr>
        <w:rPr>
          <w:rFonts w:ascii="Century Gothic" w:hAnsi="Century Gothic"/>
          <w:color w:val="000000" w:themeColor="text1"/>
          <w:szCs w:val="24"/>
        </w:rPr>
      </w:pPr>
      <w:r w:rsidRPr="003F5527">
        <w:rPr>
          <w:rFonts w:ascii="Century Gothic" w:hAnsi="Century Gothic"/>
          <w:color w:val="000000" w:themeColor="text1"/>
          <w:szCs w:val="24"/>
        </w:rPr>
        <w:lastRenderedPageBreak/>
        <w:t>Considering the heat rate of 2036</w:t>
      </w:r>
      <w:r w:rsidR="00F52EF3" w:rsidRPr="003F5527">
        <w:rPr>
          <w:rFonts w:ascii="Century Gothic" w:hAnsi="Century Gothic"/>
          <w:color w:val="000000" w:themeColor="text1"/>
          <w:szCs w:val="24"/>
        </w:rPr>
        <w:t xml:space="preserve"> </w:t>
      </w:r>
      <w:r w:rsidRPr="003F5527">
        <w:rPr>
          <w:rFonts w:ascii="Century Gothic" w:hAnsi="Century Gothic"/>
          <w:color w:val="000000" w:themeColor="text1"/>
          <w:szCs w:val="24"/>
        </w:rPr>
        <w:t>kCal/kWh in combined cycle mode at the gross calorific value of 9</w:t>
      </w:r>
      <w:r w:rsidR="003F5527" w:rsidRPr="003F5527">
        <w:rPr>
          <w:rFonts w:ascii="Century Gothic" w:hAnsi="Century Gothic"/>
          <w:color w:val="000000" w:themeColor="text1"/>
          <w:szCs w:val="24"/>
        </w:rPr>
        <w:t>698</w:t>
      </w:r>
      <w:r w:rsidR="00F52EF3" w:rsidRPr="003F5527">
        <w:rPr>
          <w:rFonts w:ascii="Century Gothic" w:hAnsi="Century Gothic"/>
          <w:color w:val="000000" w:themeColor="text1"/>
          <w:szCs w:val="24"/>
        </w:rPr>
        <w:t xml:space="preserve"> </w:t>
      </w:r>
      <w:r w:rsidRPr="003F5527">
        <w:rPr>
          <w:rFonts w:ascii="Century Gothic" w:hAnsi="Century Gothic"/>
          <w:color w:val="000000" w:themeColor="text1"/>
          <w:szCs w:val="24"/>
        </w:rPr>
        <w:t xml:space="preserve">kCal/SCM, the gas consumption for FY </w:t>
      </w:r>
      <w:r w:rsidR="00BC52D7" w:rsidRPr="003F5527">
        <w:rPr>
          <w:rFonts w:ascii="Century Gothic" w:hAnsi="Century Gothic"/>
          <w:color w:val="000000" w:themeColor="text1"/>
          <w:szCs w:val="24"/>
        </w:rPr>
        <w:t>2015-16</w:t>
      </w:r>
      <w:r w:rsidRPr="003F5527">
        <w:rPr>
          <w:rFonts w:ascii="Century Gothic" w:hAnsi="Century Gothic"/>
          <w:color w:val="000000" w:themeColor="text1"/>
          <w:szCs w:val="24"/>
        </w:rPr>
        <w:t xml:space="preserve"> has been estimated </w:t>
      </w:r>
      <w:r w:rsidR="003F5527" w:rsidRPr="003F5527">
        <w:rPr>
          <w:rFonts w:ascii="Century Gothic" w:hAnsi="Century Gothic"/>
          <w:color w:val="000000" w:themeColor="text1"/>
          <w:szCs w:val="24"/>
        </w:rPr>
        <w:t>517.27</w:t>
      </w:r>
      <w:r w:rsidR="00860F33" w:rsidRPr="003F5527">
        <w:rPr>
          <w:rFonts w:ascii="Century Gothic" w:hAnsi="Century Gothic"/>
          <w:color w:val="000000" w:themeColor="text1"/>
          <w:szCs w:val="24"/>
        </w:rPr>
        <w:t xml:space="preserve"> </w:t>
      </w:r>
      <w:r w:rsidRPr="003F5527">
        <w:rPr>
          <w:rFonts w:ascii="Century Gothic" w:hAnsi="Century Gothic"/>
          <w:color w:val="000000" w:themeColor="text1"/>
          <w:szCs w:val="24"/>
        </w:rPr>
        <w:t xml:space="preserve">MMSCM. </w:t>
      </w:r>
    </w:p>
    <w:p w:rsidR="000F7069" w:rsidRPr="001C3E79" w:rsidRDefault="00A41717" w:rsidP="001C3E79">
      <w:pPr>
        <w:pStyle w:val="Caption"/>
        <w:jc w:val="center"/>
      </w:pPr>
      <w:bookmarkStart w:id="26" w:name="_Toc174196339"/>
      <w:bookmarkStart w:id="27" w:name="_Toc411525181"/>
      <w:r>
        <w:t xml:space="preserve">Table </w:t>
      </w:r>
      <w:fldSimple w:instr=" SEQ Table \* ARABIC ">
        <w:r w:rsidR="000F406F">
          <w:rPr>
            <w:noProof/>
          </w:rPr>
          <w:t>6</w:t>
        </w:r>
      </w:fldSimple>
      <w:r>
        <w:t xml:space="preserve"> :</w:t>
      </w:r>
      <w:r w:rsidR="000F7069">
        <w:rPr>
          <w:sz w:val="20"/>
        </w:rPr>
        <w:t xml:space="preserve"> </w:t>
      </w:r>
      <w:r w:rsidR="000F7069" w:rsidRPr="001C3E79">
        <w:t>Total Consumption of Gas</w:t>
      </w:r>
      <w:bookmarkEnd w:id="26"/>
      <w:bookmarkEnd w:id="27"/>
    </w:p>
    <w:tbl>
      <w:tblPr>
        <w:tblW w:w="8555" w:type="dxa"/>
        <w:tblInd w:w="642" w:type="dxa"/>
        <w:tblLayout w:type="fixed"/>
        <w:tblCellMar>
          <w:left w:w="0" w:type="dxa"/>
          <w:right w:w="0" w:type="dxa"/>
        </w:tblCellMar>
        <w:tblLook w:val="0000"/>
      </w:tblPr>
      <w:tblGrid>
        <w:gridCol w:w="2210"/>
        <w:gridCol w:w="1418"/>
        <w:gridCol w:w="1237"/>
        <w:gridCol w:w="1170"/>
        <w:gridCol w:w="1170"/>
        <w:gridCol w:w="1350"/>
      </w:tblGrid>
      <w:tr w:rsidR="00BC52D7" w:rsidRPr="0064724E" w:rsidTr="0064724E">
        <w:trPr>
          <w:trHeight w:val="371"/>
        </w:trPr>
        <w:tc>
          <w:tcPr>
            <w:tcW w:w="2210" w:type="dxa"/>
            <w:tcBorders>
              <w:top w:val="single" w:sz="4" w:space="0" w:color="auto"/>
              <w:left w:val="single" w:sz="4" w:space="0" w:color="auto"/>
              <w:bottom w:val="single" w:sz="4" w:space="0" w:color="auto"/>
              <w:right w:val="single" w:sz="4" w:space="0" w:color="auto"/>
            </w:tcBorders>
            <w:shd w:val="clear" w:color="auto" w:fill="000080"/>
            <w:noWrap/>
            <w:tcMar>
              <w:top w:w="17" w:type="dxa"/>
              <w:left w:w="17" w:type="dxa"/>
              <w:bottom w:w="0" w:type="dxa"/>
              <w:right w:w="17" w:type="dxa"/>
            </w:tcMar>
            <w:vAlign w:val="center"/>
          </w:tcPr>
          <w:p w:rsidR="00BC52D7" w:rsidRPr="00FB1BBF" w:rsidRDefault="00BC52D7">
            <w:pPr>
              <w:rPr>
                <w:rFonts w:cs="Arial"/>
                <w:b/>
                <w:bCs/>
                <w:color w:val="00B0F0"/>
                <w:sz w:val="22"/>
                <w:szCs w:val="22"/>
              </w:rPr>
            </w:pPr>
            <w:r w:rsidRPr="00FB1BBF">
              <w:rPr>
                <w:rFonts w:cs="Arial"/>
                <w:b/>
                <w:bCs/>
                <w:color w:val="00B0F0"/>
                <w:sz w:val="22"/>
                <w:szCs w:val="22"/>
              </w:rPr>
              <w:t>Particulars</w:t>
            </w:r>
          </w:p>
        </w:tc>
        <w:tc>
          <w:tcPr>
            <w:tcW w:w="1418" w:type="dxa"/>
            <w:tcBorders>
              <w:top w:val="single" w:sz="4" w:space="0" w:color="auto"/>
              <w:left w:val="nil"/>
              <w:bottom w:val="single" w:sz="4" w:space="0" w:color="auto"/>
              <w:right w:val="single" w:sz="4" w:space="0" w:color="auto"/>
            </w:tcBorders>
            <w:shd w:val="clear" w:color="auto" w:fill="000080"/>
            <w:noWrap/>
            <w:tcMar>
              <w:top w:w="17" w:type="dxa"/>
              <w:left w:w="17" w:type="dxa"/>
              <w:bottom w:w="0" w:type="dxa"/>
              <w:right w:w="17" w:type="dxa"/>
            </w:tcMar>
            <w:vAlign w:val="center"/>
          </w:tcPr>
          <w:p w:rsidR="00BC52D7" w:rsidRPr="00FB1BBF" w:rsidRDefault="00BC52D7">
            <w:pPr>
              <w:jc w:val="center"/>
              <w:rPr>
                <w:rFonts w:cs="Arial"/>
                <w:b/>
                <w:bCs/>
                <w:color w:val="00B0F0"/>
                <w:sz w:val="22"/>
                <w:szCs w:val="22"/>
              </w:rPr>
            </w:pPr>
            <w:r w:rsidRPr="00FB1BBF">
              <w:rPr>
                <w:rFonts w:cs="Arial"/>
                <w:b/>
                <w:bCs/>
                <w:color w:val="00B0F0"/>
                <w:sz w:val="22"/>
                <w:szCs w:val="22"/>
              </w:rPr>
              <w:t>Unit</w:t>
            </w:r>
          </w:p>
        </w:tc>
        <w:tc>
          <w:tcPr>
            <w:tcW w:w="1237" w:type="dxa"/>
            <w:tcBorders>
              <w:top w:val="single" w:sz="4" w:space="0" w:color="auto"/>
              <w:left w:val="nil"/>
              <w:bottom w:val="single" w:sz="4" w:space="0" w:color="auto"/>
              <w:right w:val="single" w:sz="4" w:space="0" w:color="auto"/>
            </w:tcBorders>
            <w:shd w:val="clear" w:color="auto" w:fill="000080"/>
            <w:tcMar>
              <w:top w:w="17" w:type="dxa"/>
              <w:left w:w="17" w:type="dxa"/>
              <w:bottom w:w="0" w:type="dxa"/>
              <w:right w:w="17" w:type="dxa"/>
            </w:tcMar>
          </w:tcPr>
          <w:p w:rsidR="00BC52D7" w:rsidRPr="00FB1BBF" w:rsidRDefault="00BC52D7" w:rsidP="00545FB4">
            <w:pPr>
              <w:jc w:val="center"/>
              <w:rPr>
                <w:rFonts w:cs="Arial"/>
                <w:b/>
                <w:bCs/>
                <w:color w:val="00B0F0"/>
                <w:sz w:val="22"/>
                <w:szCs w:val="22"/>
              </w:rPr>
            </w:pPr>
            <w:r w:rsidRPr="00FB1BBF">
              <w:rPr>
                <w:rFonts w:cs="Arial"/>
                <w:b/>
                <w:bCs/>
                <w:color w:val="00B0F0"/>
                <w:sz w:val="22"/>
                <w:szCs w:val="22"/>
              </w:rPr>
              <w:t>12-13</w:t>
            </w:r>
          </w:p>
        </w:tc>
        <w:tc>
          <w:tcPr>
            <w:tcW w:w="1170" w:type="dxa"/>
            <w:tcBorders>
              <w:top w:val="single" w:sz="4" w:space="0" w:color="auto"/>
              <w:left w:val="nil"/>
              <w:bottom w:val="single" w:sz="4" w:space="0" w:color="auto"/>
              <w:right w:val="single" w:sz="4" w:space="0" w:color="auto"/>
            </w:tcBorders>
            <w:shd w:val="clear" w:color="auto" w:fill="000080"/>
            <w:tcMar>
              <w:top w:w="17" w:type="dxa"/>
              <w:left w:w="17" w:type="dxa"/>
              <w:bottom w:w="0" w:type="dxa"/>
              <w:right w:w="17" w:type="dxa"/>
            </w:tcMar>
          </w:tcPr>
          <w:p w:rsidR="00BC52D7" w:rsidRPr="00FB1BBF" w:rsidRDefault="00BC52D7" w:rsidP="00545FB4">
            <w:pPr>
              <w:jc w:val="center"/>
              <w:rPr>
                <w:rFonts w:cs="Arial"/>
                <w:b/>
                <w:bCs/>
                <w:color w:val="00B0F0"/>
                <w:sz w:val="22"/>
                <w:szCs w:val="22"/>
              </w:rPr>
            </w:pPr>
            <w:r w:rsidRPr="00FB1BBF">
              <w:rPr>
                <w:rFonts w:cs="Arial"/>
                <w:b/>
                <w:bCs/>
                <w:color w:val="00B0F0"/>
                <w:sz w:val="22"/>
                <w:szCs w:val="22"/>
              </w:rPr>
              <w:t>13-14</w:t>
            </w:r>
          </w:p>
        </w:tc>
        <w:tc>
          <w:tcPr>
            <w:tcW w:w="1170" w:type="dxa"/>
            <w:tcBorders>
              <w:top w:val="single" w:sz="4" w:space="0" w:color="auto"/>
              <w:left w:val="nil"/>
              <w:bottom w:val="single" w:sz="4" w:space="0" w:color="auto"/>
              <w:right w:val="single" w:sz="4" w:space="0" w:color="auto"/>
            </w:tcBorders>
            <w:shd w:val="clear" w:color="auto" w:fill="000080"/>
            <w:tcMar>
              <w:top w:w="17" w:type="dxa"/>
              <w:left w:w="17" w:type="dxa"/>
              <w:bottom w:w="0" w:type="dxa"/>
              <w:right w:w="17" w:type="dxa"/>
            </w:tcMar>
          </w:tcPr>
          <w:p w:rsidR="00BC52D7" w:rsidRPr="00FB1BBF" w:rsidRDefault="00BC52D7" w:rsidP="00545FB4">
            <w:pPr>
              <w:jc w:val="center"/>
              <w:rPr>
                <w:rFonts w:cs="Arial"/>
                <w:b/>
                <w:bCs/>
                <w:color w:val="00B0F0"/>
                <w:sz w:val="22"/>
                <w:szCs w:val="22"/>
              </w:rPr>
            </w:pPr>
            <w:r w:rsidRPr="00FB1BBF">
              <w:rPr>
                <w:rFonts w:cs="Arial"/>
                <w:b/>
                <w:bCs/>
                <w:color w:val="00B0F0"/>
                <w:sz w:val="22"/>
                <w:szCs w:val="22"/>
              </w:rPr>
              <w:t>14-15</w:t>
            </w:r>
          </w:p>
        </w:tc>
        <w:tc>
          <w:tcPr>
            <w:tcW w:w="1350" w:type="dxa"/>
            <w:tcBorders>
              <w:top w:val="single" w:sz="4" w:space="0" w:color="auto"/>
              <w:left w:val="nil"/>
              <w:bottom w:val="single" w:sz="4" w:space="0" w:color="auto"/>
              <w:right w:val="single" w:sz="4" w:space="0" w:color="auto"/>
            </w:tcBorders>
            <w:shd w:val="clear" w:color="auto" w:fill="000080"/>
            <w:tcMar>
              <w:top w:w="17" w:type="dxa"/>
              <w:left w:w="17" w:type="dxa"/>
              <w:bottom w:w="0" w:type="dxa"/>
              <w:right w:w="17" w:type="dxa"/>
            </w:tcMar>
            <w:vAlign w:val="center"/>
          </w:tcPr>
          <w:p w:rsidR="00BC52D7" w:rsidRPr="00FB1BBF" w:rsidRDefault="0064724E" w:rsidP="00A41717">
            <w:pPr>
              <w:jc w:val="center"/>
              <w:rPr>
                <w:rFonts w:cs="Arial"/>
                <w:b/>
                <w:bCs/>
                <w:color w:val="00B0F0"/>
                <w:sz w:val="22"/>
                <w:szCs w:val="22"/>
              </w:rPr>
            </w:pPr>
            <w:r w:rsidRPr="0064724E">
              <w:rPr>
                <w:rFonts w:cs="Arial"/>
                <w:b/>
                <w:bCs/>
                <w:color w:val="00B0F0"/>
                <w:sz w:val="22"/>
                <w:szCs w:val="22"/>
              </w:rPr>
              <w:t>15-16 (Estimated)</w:t>
            </w:r>
          </w:p>
        </w:tc>
      </w:tr>
      <w:tr w:rsidR="00BC52D7" w:rsidRPr="000C50BE" w:rsidTr="0064724E">
        <w:trPr>
          <w:trHeight w:val="371"/>
        </w:trPr>
        <w:tc>
          <w:tcPr>
            <w:tcW w:w="221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rPr>
                <w:rFonts w:cs="Arial"/>
                <w:color w:val="000000" w:themeColor="text1"/>
                <w:sz w:val="22"/>
                <w:szCs w:val="22"/>
              </w:rPr>
            </w:pPr>
            <w:r w:rsidRPr="003248A2">
              <w:rPr>
                <w:rFonts w:cs="Arial"/>
                <w:color w:val="000000" w:themeColor="text1"/>
                <w:sz w:val="22"/>
                <w:szCs w:val="22"/>
              </w:rPr>
              <w:t>APM Gas</w:t>
            </w:r>
          </w:p>
        </w:tc>
        <w:tc>
          <w:tcPr>
            <w:tcW w:w="1418"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jc w:val="center"/>
              <w:rPr>
                <w:rFonts w:cs="Arial"/>
                <w:color w:val="000000" w:themeColor="text1"/>
                <w:sz w:val="22"/>
                <w:szCs w:val="22"/>
              </w:rPr>
            </w:pPr>
            <w:r w:rsidRPr="003248A2">
              <w:rPr>
                <w:rFonts w:cs="Arial"/>
                <w:color w:val="000000" w:themeColor="text1"/>
                <w:sz w:val="22"/>
                <w:szCs w:val="22"/>
              </w:rPr>
              <w:t>MMSCM</w:t>
            </w:r>
          </w:p>
        </w:tc>
        <w:tc>
          <w:tcPr>
            <w:tcW w:w="123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675206">
            <w:pPr>
              <w:jc w:val="center"/>
              <w:rPr>
                <w:rFonts w:cs="Arial"/>
                <w:color w:val="000000" w:themeColor="text1"/>
                <w:sz w:val="22"/>
                <w:szCs w:val="22"/>
              </w:rPr>
            </w:pPr>
            <w:r w:rsidRPr="003248A2">
              <w:rPr>
                <w:rFonts w:cs="Arial"/>
                <w:color w:val="000000" w:themeColor="text1"/>
                <w:sz w:val="22"/>
                <w:szCs w:val="22"/>
              </w:rPr>
              <w:t>377.321</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675206" w:rsidP="00A41717">
            <w:pPr>
              <w:jc w:val="center"/>
              <w:rPr>
                <w:rFonts w:cs="Arial"/>
                <w:color w:val="000000" w:themeColor="text1"/>
                <w:sz w:val="22"/>
                <w:szCs w:val="22"/>
              </w:rPr>
            </w:pPr>
            <w:r w:rsidRPr="003248A2">
              <w:rPr>
                <w:rFonts w:cs="Arial"/>
                <w:color w:val="000000" w:themeColor="text1"/>
                <w:sz w:val="22"/>
                <w:szCs w:val="22"/>
              </w:rPr>
              <w:t>358.200</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417918" w:rsidP="00A41717">
            <w:pPr>
              <w:jc w:val="center"/>
              <w:rPr>
                <w:rFonts w:cs="Arial"/>
                <w:color w:val="000000" w:themeColor="text1"/>
                <w:sz w:val="22"/>
                <w:szCs w:val="22"/>
              </w:rPr>
            </w:pPr>
            <w:r w:rsidRPr="003248A2">
              <w:rPr>
                <w:rFonts w:cs="Arial"/>
                <w:color w:val="000000" w:themeColor="text1"/>
                <w:sz w:val="22"/>
                <w:szCs w:val="22"/>
              </w:rPr>
              <w:t>198.475</w:t>
            </w:r>
          </w:p>
        </w:tc>
        <w:tc>
          <w:tcPr>
            <w:tcW w:w="135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rsidP="00A41717">
            <w:pPr>
              <w:jc w:val="center"/>
              <w:rPr>
                <w:rFonts w:cs="Arial"/>
                <w:color w:val="000000" w:themeColor="text1"/>
                <w:sz w:val="22"/>
                <w:szCs w:val="22"/>
              </w:rPr>
            </w:pPr>
          </w:p>
        </w:tc>
      </w:tr>
      <w:tr w:rsidR="00BC52D7" w:rsidRPr="000C50BE" w:rsidTr="0064724E">
        <w:trPr>
          <w:trHeight w:val="371"/>
        </w:trPr>
        <w:tc>
          <w:tcPr>
            <w:tcW w:w="221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rPr>
                <w:rFonts w:cs="Arial"/>
                <w:color w:val="000000" w:themeColor="text1"/>
                <w:sz w:val="22"/>
                <w:szCs w:val="22"/>
              </w:rPr>
            </w:pPr>
            <w:r w:rsidRPr="003248A2">
              <w:rPr>
                <w:rFonts w:cs="Arial"/>
                <w:color w:val="000000" w:themeColor="text1"/>
                <w:sz w:val="22"/>
                <w:szCs w:val="22"/>
              </w:rPr>
              <w:t>PMT Gas</w:t>
            </w:r>
          </w:p>
        </w:tc>
        <w:tc>
          <w:tcPr>
            <w:tcW w:w="1418"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jc w:val="center"/>
              <w:rPr>
                <w:rFonts w:cs="Arial"/>
                <w:color w:val="000000" w:themeColor="text1"/>
                <w:sz w:val="22"/>
                <w:szCs w:val="22"/>
              </w:rPr>
            </w:pPr>
            <w:r w:rsidRPr="003248A2">
              <w:rPr>
                <w:rFonts w:cs="Arial"/>
                <w:color w:val="000000" w:themeColor="text1"/>
                <w:sz w:val="22"/>
                <w:szCs w:val="22"/>
              </w:rPr>
              <w:t>MMSCM</w:t>
            </w:r>
          </w:p>
        </w:tc>
        <w:tc>
          <w:tcPr>
            <w:tcW w:w="123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675206">
            <w:pPr>
              <w:jc w:val="center"/>
              <w:rPr>
                <w:rFonts w:cs="Arial"/>
                <w:color w:val="000000" w:themeColor="text1"/>
                <w:sz w:val="22"/>
                <w:szCs w:val="22"/>
              </w:rPr>
            </w:pPr>
            <w:r w:rsidRPr="003248A2">
              <w:rPr>
                <w:rFonts w:cs="Arial"/>
                <w:color w:val="000000" w:themeColor="text1"/>
                <w:sz w:val="22"/>
                <w:szCs w:val="22"/>
              </w:rPr>
              <w:t>49.661</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675206" w:rsidP="00B70718">
            <w:pPr>
              <w:jc w:val="center"/>
              <w:rPr>
                <w:rFonts w:cs="Arial"/>
                <w:color w:val="000000" w:themeColor="text1"/>
                <w:sz w:val="22"/>
                <w:szCs w:val="22"/>
              </w:rPr>
            </w:pPr>
            <w:r w:rsidRPr="003248A2">
              <w:rPr>
                <w:rFonts w:cs="Arial"/>
                <w:color w:val="000000" w:themeColor="text1"/>
                <w:sz w:val="22"/>
                <w:szCs w:val="22"/>
              </w:rPr>
              <w:t>38.96</w:t>
            </w:r>
            <w:r w:rsidR="00B70718" w:rsidRPr="003248A2">
              <w:rPr>
                <w:rFonts w:cs="Arial"/>
                <w:color w:val="000000" w:themeColor="text1"/>
                <w:sz w:val="22"/>
                <w:szCs w:val="22"/>
              </w:rPr>
              <w:t>5</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962E2C" w:rsidP="00A41717">
            <w:pPr>
              <w:jc w:val="center"/>
              <w:rPr>
                <w:rFonts w:cs="Arial"/>
                <w:color w:val="000000" w:themeColor="text1"/>
                <w:sz w:val="22"/>
                <w:szCs w:val="22"/>
              </w:rPr>
            </w:pPr>
            <w:r w:rsidRPr="003248A2">
              <w:rPr>
                <w:rFonts w:cs="Arial"/>
                <w:color w:val="000000" w:themeColor="text1"/>
                <w:sz w:val="22"/>
                <w:szCs w:val="22"/>
              </w:rPr>
              <w:t>21.357</w:t>
            </w:r>
          </w:p>
        </w:tc>
        <w:tc>
          <w:tcPr>
            <w:tcW w:w="135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rsidP="00A41717">
            <w:pPr>
              <w:jc w:val="center"/>
              <w:rPr>
                <w:rFonts w:cs="Arial"/>
                <w:color w:val="000000" w:themeColor="text1"/>
                <w:sz w:val="22"/>
                <w:szCs w:val="22"/>
              </w:rPr>
            </w:pPr>
          </w:p>
        </w:tc>
      </w:tr>
      <w:tr w:rsidR="00BC52D7" w:rsidRPr="000C50BE" w:rsidTr="0064724E">
        <w:trPr>
          <w:trHeight w:val="371"/>
        </w:trPr>
        <w:tc>
          <w:tcPr>
            <w:tcW w:w="221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rPr>
                <w:rFonts w:cs="Arial"/>
                <w:color w:val="000000" w:themeColor="text1"/>
                <w:sz w:val="22"/>
                <w:szCs w:val="22"/>
              </w:rPr>
            </w:pPr>
            <w:r w:rsidRPr="003248A2">
              <w:rPr>
                <w:rFonts w:cs="Arial"/>
                <w:color w:val="000000" w:themeColor="text1"/>
                <w:sz w:val="22"/>
                <w:szCs w:val="22"/>
              </w:rPr>
              <w:t>R-LNG Gas</w:t>
            </w:r>
          </w:p>
        </w:tc>
        <w:tc>
          <w:tcPr>
            <w:tcW w:w="1418"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jc w:val="center"/>
              <w:rPr>
                <w:rFonts w:cs="Arial"/>
                <w:color w:val="000000" w:themeColor="text1"/>
                <w:sz w:val="22"/>
                <w:szCs w:val="22"/>
              </w:rPr>
            </w:pPr>
            <w:r w:rsidRPr="003248A2">
              <w:rPr>
                <w:rFonts w:cs="Arial"/>
                <w:color w:val="000000" w:themeColor="text1"/>
                <w:sz w:val="22"/>
                <w:szCs w:val="22"/>
              </w:rPr>
              <w:t>MMSCM</w:t>
            </w:r>
          </w:p>
        </w:tc>
        <w:tc>
          <w:tcPr>
            <w:tcW w:w="123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0C50BE" w:rsidP="00B70718">
            <w:pPr>
              <w:jc w:val="center"/>
              <w:rPr>
                <w:rFonts w:cs="Arial"/>
                <w:color w:val="000000" w:themeColor="text1"/>
                <w:sz w:val="22"/>
                <w:szCs w:val="22"/>
              </w:rPr>
            </w:pPr>
            <w:r w:rsidRPr="003248A2">
              <w:rPr>
                <w:rFonts w:cs="Arial"/>
                <w:color w:val="000000" w:themeColor="text1"/>
                <w:sz w:val="22"/>
                <w:szCs w:val="22"/>
              </w:rPr>
              <w:t>92.71</w:t>
            </w:r>
            <w:r w:rsidR="00B70718" w:rsidRPr="003248A2">
              <w:rPr>
                <w:rFonts w:cs="Arial"/>
                <w:color w:val="000000" w:themeColor="text1"/>
                <w:sz w:val="22"/>
                <w:szCs w:val="22"/>
              </w:rPr>
              <w:t>5</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0C50BE" w:rsidP="00A41717">
            <w:pPr>
              <w:jc w:val="center"/>
              <w:rPr>
                <w:rFonts w:cs="Arial"/>
                <w:color w:val="000000" w:themeColor="text1"/>
                <w:sz w:val="22"/>
                <w:szCs w:val="22"/>
              </w:rPr>
            </w:pPr>
            <w:r w:rsidRPr="003248A2">
              <w:rPr>
                <w:rFonts w:cs="Arial"/>
                <w:color w:val="000000" w:themeColor="text1"/>
                <w:sz w:val="22"/>
                <w:szCs w:val="22"/>
              </w:rPr>
              <w:t>101.424</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962E2C" w:rsidP="00A41717">
            <w:pPr>
              <w:jc w:val="center"/>
              <w:rPr>
                <w:rFonts w:cs="Arial"/>
                <w:color w:val="000000" w:themeColor="text1"/>
                <w:sz w:val="22"/>
                <w:szCs w:val="22"/>
              </w:rPr>
            </w:pPr>
            <w:r w:rsidRPr="003248A2">
              <w:rPr>
                <w:rFonts w:cs="Arial"/>
                <w:color w:val="000000" w:themeColor="text1"/>
                <w:sz w:val="22"/>
                <w:szCs w:val="22"/>
              </w:rPr>
              <w:t>90.405</w:t>
            </w:r>
          </w:p>
        </w:tc>
        <w:tc>
          <w:tcPr>
            <w:tcW w:w="135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rsidP="00A41717">
            <w:pPr>
              <w:jc w:val="center"/>
              <w:rPr>
                <w:rFonts w:cs="Arial"/>
                <w:color w:val="000000" w:themeColor="text1"/>
                <w:sz w:val="22"/>
                <w:szCs w:val="22"/>
              </w:rPr>
            </w:pPr>
          </w:p>
        </w:tc>
      </w:tr>
      <w:tr w:rsidR="00BC52D7" w:rsidRPr="000C50BE" w:rsidTr="0064724E">
        <w:trPr>
          <w:trHeight w:val="371"/>
        </w:trPr>
        <w:tc>
          <w:tcPr>
            <w:tcW w:w="221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BC52D7" w:rsidRPr="003248A2" w:rsidRDefault="00B70718">
            <w:pPr>
              <w:rPr>
                <w:rFonts w:cs="Arial"/>
                <w:color w:val="000000" w:themeColor="text1"/>
                <w:sz w:val="22"/>
                <w:szCs w:val="22"/>
              </w:rPr>
            </w:pPr>
            <w:r w:rsidRPr="003248A2">
              <w:rPr>
                <w:rFonts w:cs="Arial"/>
                <w:color w:val="000000" w:themeColor="text1"/>
                <w:sz w:val="22"/>
                <w:szCs w:val="22"/>
              </w:rPr>
              <w:t>NAPM Gas</w:t>
            </w:r>
          </w:p>
        </w:tc>
        <w:tc>
          <w:tcPr>
            <w:tcW w:w="1418"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jc w:val="center"/>
              <w:rPr>
                <w:rFonts w:cs="Arial"/>
                <w:color w:val="000000" w:themeColor="text1"/>
                <w:sz w:val="22"/>
                <w:szCs w:val="22"/>
              </w:rPr>
            </w:pPr>
            <w:r w:rsidRPr="003248A2">
              <w:rPr>
                <w:rFonts w:cs="Arial"/>
                <w:color w:val="000000" w:themeColor="text1"/>
                <w:sz w:val="22"/>
                <w:szCs w:val="22"/>
              </w:rPr>
              <w:t>MMSCM</w:t>
            </w:r>
          </w:p>
        </w:tc>
        <w:tc>
          <w:tcPr>
            <w:tcW w:w="123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70718">
            <w:pPr>
              <w:jc w:val="center"/>
              <w:rPr>
                <w:rFonts w:cs="Arial"/>
                <w:color w:val="000000" w:themeColor="text1"/>
                <w:sz w:val="22"/>
                <w:szCs w:val="22"/>
              </w:rPr>
            </w:pPr>
            <w:r w:rsidRPr="003248A2">
              <w:rPr>
                <w:rFonts w:cs="Arial"/>
                <w:color w:val="000000" w:themeColor="text1"/>
                <w:sz w:val="22"/>
                <w:szCs w:val="22"/>
              </w:rPr>
              <w:t>5.426</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70718" w:rsidP="00A41717">
            <w:pPr>
              <w:jc w:val="center"/>
              <w:rPr>
                <w:rFonts w:cs="Arial"/>
                <w:color w:val="000000" w:themeColor="text1"/>
                <w:sz w:val="22"/>
                <w:szCs w:val="22"/>
              </w:rPr>
            </w:pPr>
            <w:r w:rsidRPr="003248A2">
              <w:rPr>
                <w:rFonts w:cs="Arial"/>
                <w:color w:val="000000" w:themeColor="text1"/>
                <w:sz w:val="22"/>
                <w:szCs w:val="22"/>
              </w:rPr>
              <w:t>6.370</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962E2C" w:rsidP="00A41717">
            <w:pPr>
              <w:jc w:val="center"/>
              <w:rPr>
                <w:rFonts w:cs="Arial"/>
                <w:color w:val="000000" w:themeColor="text1"/>
                <w:sz w:val="22"/>
                <w:szCs w:val="22"/>
              </w:rPr>
            </w:pPr>
            <w:r w:rsidRPr="003248A2">
              <w:rPr>
                <w:rFonts w:cs="Arial"/>
                <w:color w:val="000000" w:themeColor="text1"/>
                <w:sz w:val="22"/>
                <w:szCs w:val="22"/>
              </w:rPr>
              <w:t>2.671</w:t>
            </w:r>
          </w:p>
        </w:tc>
        <w:tc>
          <w:tcPr>
            <w:tcW w:w="135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rsidP="00A41717">
            <w:pPr>
              <w:jc w:val="center"/>
              <w:rPr>
                <w:rFonts w:cs="Arial"/>
                <w:color w:val="000000" w:themeColor="text1"/>
                <w:sz w:val="22"/>
                <w:szCs w:val="22"/>
              </w:rPr>
            </w:pPr>
          </w:p>
        </w:tc>
      </w:tr>
      <w:tr w:rsidR="00BC52D7" w:rsidRPr="00A41717" w:rsidTr="0064724E">
        <w:trPr>
          <w:trHeight w:val="371"/>
        </w:trPr>
        <w:tc>
          <w:tcPr>
            <w:tcW w:w="2210"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rsidP="009D43B4">
            <w:pPr>
              <w:spacing w:line="240" w:lineRule="auto"/>
              <w:ind w:right="281"/>
              <w:rPr>
                <w:rFonts w:cs="Arial"/>
                <w:color w:val="000000" w:themeColor="text1"/>
                <w:sz w:val="22"/>
                <w:szCs w:val="22"/>
              </w:rPr>
            </w:pPr>
            <w:r w:rsidRPr="003248A2">
              <w:rPr>
                <w:rFonts w:cs="Arial"/>
                <w:color w:val="000000" w:themeColor="text1"/>
                <w:sz w:val="22"/>
                <w:szCs w:val="22"/>
              </w:rPr>
              <w:t xml:space="preserve">Total Gas </w:t>
            </w:r>
          </w:p>
          <w:p w:rsidR="00BC52D7" w:rsidRPr="003248A2" w:rsidRDefault="00BC52D7" w:rsidP="009D43B4">
            <w:pPr>
              <w:spacing w:line="240" w:lineRule="auto"/>
              <w:ind w:right="281"/>
              <w:rPr>
                <w:rFonts w:cs="Arial"/>
                <w:color w:val="000000" w:themeColor="text1"/>
                <w:sz w:val="22"/>
                <w:szCs w:val="22"/>
              </w:rPr>
            </w:pPr>
            <w:r w:rsidRPr="003248A2">
              <w:rPr>
                <w:rFonts w:cs="Arial"/>
                <w:color w:val="000000" w:themeColor="text1"/>
                <w:sz w:val="22"/>
                <w:szCs w:val="22"/>
              </w:rPr>
              <w:t>Consumption</w:t>
            </w:r>
          </w:p>
        </w:tc>
        <w:tc>
          <w:tcPr>
            <w:tcW w:w="1418"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C52D7">
            <w:pPr>
              <w:jc w:val="center"/>
              <w:rPr>
                <w:rFonts w:cs="Arial"/>
                <w:color w:val="000000" w:themeColor="text1"/>
                <w:sz w:val="22"/>
                <w:szCs w:val="22"/>
              </w:rPr>
            </w:pPr>
            <w:r w:rsidRPr="003248A2">
              <w:rPr>
                <w:rFonts w:cs="Arial"/>
                <w:color w:val="000000" w:themeColor="text1"/>
                <w:sz w:val="22"/>
                <w:szCs w:val="22"/>
              </w:rPr>
              <w:t>MMSCM</w:t>
            </w:r>
          </w:p>
        </w:tc>
        <w:tc>
          <w:tcPr>
            <w:tcW w:w="1237"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70718" w:rsidP="00906A5C">
            <w:pPr>
              <w:jc w:val="center"/>
              <w:rPr>
                <w:rFonts w:cs="Arial"/>
                <w:color w:val="000000" w:themeColor="text1"/>
                <w:sz w:val="22"/>
                <w:szCs w:val="22"/>
              </w:rPr>
            </w:pPr>
            <w:r w:rsidRPr="003248A2">
              <w:rPr>
                <w:rFonts w:cs="Arial"/>
                <w:color w:val="000000" w:themeColor="text1"/>
                <w:sz w:val="22"/>
                <w:szCs w:val="22"/>
              </w:rPr>
              <w:t>525.123</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B70718" w:rsidP="00A41717">
            <w:pPr>
              <w:jc w:val="center"/>
              <w:rPr>
                <w:rFonts w:cs="Arial"/>
                <w:color w:val="000000" w:themeColor="text1"/>
                <w:sz w:val="22"/>
                <w:szCs w:val="22"/>
              </w:rPr>
            </w:pPr>
            <w:r w:rsidRPr="003248A2">
              <w:rPr>
                <w:rFonts w:cs="Arial"/>
                <w:color w:val="000000" w:themeColor="text1"/>
                <w:sz w:val="22"/>
                <w:szCs w:val="22"/>
              </w:rPr>
              <w:t>504.959</w:t>
            </w:r>
          </w:p>
        </w:tc>
        <w:tc>
          <w:tcPr>
            <w:tcW w:w="117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962E2C" w:rsidP="00C31EAF">
            <w:pPr>
              <w:spacing w:line="240" w:lineRule="auto"/>
              <w:jc w:val="center"/>
              <w:rPr>
                <w:rFonts w:cs="Arial"/>
                <w:color w:val="000000" w:themeColor="text1"/>
                <w:sz w:val="22"/>
                <w:szCs w:val="22"/>
              </w:rPr>
            </w:pPr>
            <w:r w:rsidRPr="003248A2">
              <w:rPr>
                <w:rFonts w:cs="Arial"/>
                <w:color w:val="000000" w:themeColor="text1"/>
                <w:sz w:val="22"/>
                <w:szCs w:val="22"/>
              </w:rPr>
              <w:t>312.909</w:t>
            </w:r>
            <w:r w:rsidR="00C31EAF" w:rsidRPr="003248A2">
              <w:rPr>
                <w:rFonts w:cs="Arial"/>
                <w:color w:val="000000" w:themeColor="text1"/>
                <w:sz w:val="22"/>
                <w:szCs w:val="22"/>
              </w:rPr>
              <w:t xml:space="preserve"> (Upto Dec. 2014)</w:t>
            </w:r>
          </w:p>
        </w:tc>
        <w:tc>
          <w:tcPr>
            <w:tcW w:w="1350" w:type="dxa"/>
            <w:tcBorders>
              <w:top w:val="nil"/>
              <w:left w:val="nil"/>
              <w:bottom w:val="single" w:sz="4" w:space="0" w:color="auto"/>
              <w:right w:val="single" w:sz="4" w:space="0" w:color="auto"/>
            </w:tcBorders>
            <w:noWrap/>
            <w:tcMar>
              <w:top w:w="17" w:type="dxa"/>
              <w:left w:w="17" w:type="dxa"/>
              <w:bottom w:w="0" w:type="dxa"/>
              <w:right w:w="17" w:type="dxa"/>
            </w:tcMar>
            <w:vAlign w:val="center"/>
          </w:tcPr>
          <w:p w:rsidR="00BC52D7" w:rsidRPr="003248A2" w:rsidRDefault="007A3314" w:rsidP="00A41717">
            <w:pPr>
              <w:jc w:val="center"/>
              <w:rPr>
                <w:rFonts w:cs="Arial"/>
                <w:color w:val="000000" w:themeColor="text1"/>
                <w:sz w:val="22"/>
                <w:szCs w:val="22"/>
              </w:rPr>
            </w:pPr>
            <w:r w:rsidRPr="003248A2">
              <w:rPr>
                <w:rFonts w:cs="Arial"/>
                <w:color w:val="000000" w:themeColor="text1"/>
                <w:sz w:val="22"/>
                <w:szCs w:val="22"/>
              </w:rPr>
              <w:t>517.27</w:t>
            </w:r>
          </w:p>
        </w:tc>
      </w:tr>
    </w:tbl>
    <w:p w:rsidR="000F7069" w:rsidRDefault="000F7069">
      <w:pPr>
        <w:rPr>
          <w:sz w:val="22"/>
          <w:szCs w:val="22"/>
        </w:rPr>
      </w:pPr>
    </w:p>
    <w:p w:rsidR="00824E0A" w:rsidRPr="00E07C4E" w:rsidRDefault="000F7069" w:rsidP="0016551F">
      <w:pPr>
        <w:pStyle w:val="Heading6"/>
        <w:numPr>
          <w:ilvl w:val="0"/>
          <w:numId w:val="0"/>
        </w:numPr>
        <w:spacing w:before="0" w:after="0"/>
      </w:pPr>
      <w:r w:rsidRPr="00E07C4E">
        <w:t>Projected Fuel Cost</w:t>
      </w:r>
    </w:p>
    <w:p w:rsidR="000F7069" w:rsidRPr="003C6CD0" w:rsidRDefault="005161CD">
      <w:pPr>
        <w:pStyle w:val="BodyText"/>
        <w:numPr>
          <w:ilvl w:val="0"/>
          <w:numId w:val="17"/>
        </w:numPr>
        <w:rPr>
          <w:rFonts w:ascii="Century Gothic" w:hAnsi="Century Gothic"/>
          <w:szCs w:val="24"/>
        </w:rPr>
      </w:pPr>
      <w:r w:rsidRPr="003C6CD0">
        <w:rPr>
          <w:rFonts w:ascii="Century Gothic" w:hAnsi="Century Gothic"/>
          <w:szCs w:val="24"/>
        </w:rPr>
        <w:t xml:space="preserve">There has been an increasing trend in Gas prices. </w:t>
      </w:r>
      <w:r w:rsidR="00767EED" w:rsidRPr="003C6CD0">
        <w:rPr>
          <w:rFonts w:ascii="Century Gothic" w:hAnsi="Century Gothic"/>
          <w:szCs w:val="24"/>
        </w:rPr>
        <w:t>However, t</w:t>
      </w:r>
      <w:r w:rsidR="000F1EB4" w:rsidRPr="003C6CD0">
        <w:rPr>
          <w:rFonts w:ascii="Century Gothic" w:hAnsi="Century Gothic"/>
          <w:szCs w:val="24"/>
        </w:rPr>
        <w:t xml:space="preserve">he </w:t>
      </w:r>
      <w:r w:rsidR="00767EED" w:rsidRPr="003C6CD0">
        <w:rPr>
          <w:rFonts w:ascii="Century Gothic" w:hAnsi="Century Gothic"/>
          <w:szCs w:val="24"/>
        </w:rPr>
        <w:t xml:space="preserve">weighted average </w:t>
      </w:r>
      <w:r w:rsidR="000F1EB4" w:rsidRPr="003C6CD0">
        <w:rPr>
          <w:rFonts w:ascii="Century Gothic" w:hAnsi="Century Gothic"/>
          <w:szCs w:val="24"/>
        </w:rPr>
        <w:t xml:space="preserve">price of the Gas has </w:t>
      </w:r>
      <w:r w:rsidR="00767EED" w:rsidRPr="003C6CD0">
        <w:rPr>
          <w:rFonts w:ascii="Century Gothic" w:hAnsi="Century Gothic"/>
          <w:szCs w:val="24"/>
        </w:rPr>
        <w:t xml:space="preserve">been taken for preceding three months i.e. </w:t>
      </w:r>
      <w:r w:rsidR="00914A82" w:rsidRPr="003C6CD0">
        <w:rPr>
          <w:rFonts w:ascii="Century Gothic" w:hAnsi="Century Gothic"/>
          <w:szCs w:val="24"/>
        </w:rPr>
        <w:t>October to December, 2014</w:t>
      </w:r>
      <w:r w:rsidR="00767EED" w:rsidRPr="003C6CD0">
        <w:rPr>
          <w:rFonts w:ascii="Century Gothic" w:hAnsi="Century Gothic"/>
          <w:szCs w:val="24"/>
        </w:rPr>
        <w:t xml:space="preserve"> in line with the Regulations.</w:t>
      </w:r>
      <w:r w:rsidR="000F1EB4" w:rsidRPr="003C6CD0">
        <w:rPr>
          <w:rFonts w:ascii="Century Gothic" w:hAnsi="Century Gothic"/>
          <w:szCs w:val="24"/>
        </w:rPr>
        <w:t xml:space="preserve"> </w:t>
      </w:r>
      <w:r w:rsidR="00CA7848" w:rsidRPr="003C6CD0">
        <w:rPr>
          <w:rFonts w:ascii="Century Gothic" w:hAnsi="Century Gothic"/>
          <w:szCs w:val="24"/>
        </w:rPr>
        <w:t xml:space="preserve">The </w:t>
      </w:r>
      <w:r w:rsidR="00767EED" w:rsidRPr="003C6CD0">
        <w:rPr>
          <w:rFonts w:ascii="Century Gothic" w:hAnsi="Century Gothic"/>
          <w:szCs w:val="24"/>
        </w:rPr>
        <w:t xml:space="preserve">weighted average </w:t>
      </w:r>
      <w:r w:rsidR="00CA7848" w:rsidRPr="003C6CD0">
        <w:rPr>
          <w:rFonts w:ascii="Century Gothic" w:hAnsi="Century Gothic"/>
          <w:szCs w:val="24"/>
        </w:rPr>
        <w:t>price of gas fr</w:t>
      </w:r>
      <w:r w:rsidR="00767EED" w:rsidRPr="003C6CD0">
        <w:rPr>
          <w:rFonts w:ascii="Century Gothic" w:hAnsi="Century Gothic"/>
          <w:szCs w:val="24"/>
        </w:rPr>
        <w:t xml:space="preserve">om </w:t>
      </w:r>
      <w:r w:rsidR="00914A82" w:rsidRPr="003C6CD0">
        <w:rPr>
          <w:rFonts w:ascii="Century Gothic" w:hAnsi="Century Gothic"/>
          <w:szCs w:val="24"/>
        </w:rPr>
        <w:t xml:space="preserve">October to December, 2014 </w:t>
      </w:r>
      <w:r w:rsidR="00CA7848" w:rsidRPr="003C6CD0">
        <w:rPr>
          <w:rFonts w:ascii="Century Gothic" w:hAnsi="Century Gothic"/>
          <w:szCs w:val="24"/>
        </w:rPr>
        <w:t xml:space="preserve">for </w:t>
      </w:r>
      <w:r w:rsidR="0019456B" w:rsidRPr="003C6CD0">
        <w:rPr>
          <w:rFonts w:ascii="Century Gothic" w:hAnsi="Century Gothic"/>
          <w:szCs w:val="24"/>
        </w:rPr>
        <w:t>PPS-I</w:t>
      </w:r>
      <w:r w:rsidR="00CA7848" w:rsidRPr="003C6CD0">
        <w:rPr>
          <w:rFonts w:ascii="Century Gothic" w:hAnsi="Century Gothic"/>
          <w:szCs w:val="24"/>
        </w:rPr>
        <w:t xml:space="preserve"> is Rs. </w:t>
      </w:r>
      <w:r w:rsidR="00914A82" w:rsidRPr="003C6CD0">
        <w:rPr>
          <w:rFonts w:ascii="Century Gothic" w:hAnsi="Century Gothic"/>
          <w:szCs w:val="24"/>
        </w:rPr>
        <w:t xml:space="preserve"> </w:t>
      </w:r>
      <w:r w:rsidR="00C31EAF" w:rsidRPr="003C6CD0">
        <w:rPr>
          <w:rFonts w:ascii="Century Gothic" w:hAnsi="Century Gothic"/>
          <w:szCs w:val="24"/>
        </w:rPr>
        <w:t>20160</w:t>
      </w:r>
      <w:r w:rsidR="0016551F" w:rsidRPr="003C6CD0">
        <w:rPr>
          <w:rFonts w:ascii="Century Gothic" w:hAnsi="Century Gothic"/>
          <w:szCs w:val="24"/>
        </w:rPr>
        <w:t>.00</w:t>
      </w:r>
      <w:r w:rsidR="00767EED" w:rsidRPr="003C6CD0">
        <w:rPr>
          <w:rFonts w:ascii="Century Gothic" w:hAnsi="Century Gothic"/>
          <w:szCs w:val="24"/>
        </w:rPr>
        <w:t xml:space="preserve"> </w:t>
      </w:r>
      <w:r w:rsidR="00CA7848" w:rsidRPr="003C6CD0">
        <w:rPr>
          <w:rFonts w:ascii="Century Gothic" w:hAnsi="Century Gothic"/>
          <w:szCs w:val="24"/>
        </w:rPr>
        <w:t>/1000</w:t>
      </w:r>
      <w:r w:rsidR="0016551F" w:rsidRPr="003C6CD0">
        <w:rPr>
          <w:rFonts w:ascii="Century Gothic" w:hAnsi="Century Gothic"/>
          <w:szCs w:val="24"/>
        </w:rPr>
        <w:t xml:space="preserve"> </w:t>
      </w:r>
      <w:r w:rsidR="00CA7848" w:rsidRPr="003C6CD0">
        <w:rPr>
          <w:rFonts w:ascii="Century Gothic" w:hAnsi="Century Gothic"/>
          <w:szCs w:val="24"/>
        </w:rPr>
        <w:t xml:space="preserve">SCM. </w:t>
      </w:r>
    </w:p>
    <w:p w:rsidR="005161CD" w:rsidRDefault="005161CD" w:rsidP="005161CD">
      <w:pPr>
        <w:pStyle w:val="BodyText"/>
        <w:numPr>
          <w:ilvl w:val="0"/>
          <w:numId w:val="17"/>
        </w:numPr>
        <w:rPr>
          <w:rFonts w:ascii="Century Gothic" w:hAnsi="Century Gothic"/>
          <w:szCs w:val="24"/>
        </w:rPr>
      </w:pPr>
      <w:r>
        <w:rPr>
          <w:rFonts w:ascii="Century Gothic" w:hAnsi="Century Gothic"/>
          <w:szCs w:val="24"/>
        </w:rPr>
        <w:t xml:space="preserve">The prices of APM /PMT gas </w:t>
      </w:r>
      <w:r w:rsidR="00E810B7">
        <w:rPr>
          <w:rFonts w:ascii="Century Gothic" w:hAnsi="Century Gothic"/>
          <w:szCs w:val="24"/>
        </w:rPr>
        <w:t>are</w:t>
      </w:r>
      <w:r w:rsidR="00E07C4E">
        <w:rPr>
          <w:rFonts w:ascii="Century Gothic" w:hAnsi="Century Gothic"/>
          <w:szCs w:val="24"/>
        </w:rPr>
        <w:t xml:space="preserve"> determined by </w:t>
      </w:r>
      <w:r>
        <w:rPr>
          <w:rFonts w:ascii="Century Gothic" w:hAnsi="Century Gothic"/>
          <w:szCs w:val="24"/>
        </w:rPr>
        <w:t xml:space="preserve">Group of Ministers, GOI </w:t>
      </w:r>
      <w:r w:rsidR="0016551F">
        <w:rPr>
          <w:rFonts w:ascii="Century Gothic" w:hAnsi="Century Gothic"/>
          <w:szCs w:val="24"/>
        </w:rPr>
        <w:t>whereas Spot</w:t>
      </w:r>
      <w:r>
        <w:rPr>
          <w:rFonts w:ascii="Century Gothic" w:hAnsi="Century Gothic"/>
          <w:szCs w:val="24"/>
        </w:rPr>
        <w:t xml:space="preserve"> </w:t>
      </w:r>
      <w:r w:rsidR="0016551F">
        <w:rPr>
          <w:rFonts w:ascii="Century Gothic" w:hAnsi="Century Gothic"/>
          <w:szCs w:val="24"/>
        </w:rPr>
        <w:t>price of RLNG is</w:t>
      </w:r>
      <w:r>
        <w:rPr>
          <w:rFonts w:ascii="Century Gothic" w:hAnsi="Century Gothic"/>
          <w:szCs w:val="24"/>
        </w:rPr>
        <w:t xml:space="preserve"> driven by market fundamentals in the LNG market worldwide. The key pricing determinants will be the movement in Henry-Hub prices and crude oil prices. </w:t>
      </w:r>
    </w:p>
    <w:p w:rsidR="00746DEC" w:rsidRPr="00E55D3F" w:rsidRDefault="00746DEC" w:rsidP="005161CD">
      <w:pPr>
        <w:pStyle w:val="BodyText"/>
        <w:numPr>
          <w:ilvl w:val="0"/>
          <w:numId w:val="17"/>
        </w:numPr>
        <w:rPr>
          <w:rFonts w:ascii="Century Gothic" w:hAnsi="Century Gothic"/>
          <w:szCs w:val="24"/>
        </w:rPr>
      </w:pPr>
      <w:r w:rsidRPr="00E55D3F">
        <w:rPr>
          <w:rFonts w:ascii="Century Gothic" w:hAnsi="Century Gothic"/>
          <w:szCs w:val="24"/>
        </w:rPr>
        <w:t xml:space="preserve">Further, as per </w:t>
      </w:r>
      <w:r w:rsidR="002151D3" w:rsidRPr="00E55D3F">
        <w:rPr>
          <w:rFonts w:ascii="Century Gothic" w:hAnsi="Century Gothic"/>
          <w:szCs w:val="24"/>
        </w:rPr>
        <w:t>recent Govt. of India Order cost of APM, Non-APM and PMT gas has been revised w.e.f. 01.11.2014.</w:t>
      </w:r>
    </w:p>
    <w:p w:rsidR="000F7069" w:rsidRDefault="00A90214">
      <w:pPr>
        <w:pStyle w:val="BodyText"/>
        <w:numPr>
          <w:ilvl w:val="0"/>
          <w:numId w:val="17"/>
        </w:numPr>
        <w:rPr>
          <w:rFonts w:ascii="Century Gothic" w:hAnsi="Century Gothic"/>
          <w:szCs w:val="24"/>
        </w:rPr>
      </w:pPr>
      <w:r>
        <w:rPr>
          <w:rFonts w:ascii="Century Gothic" w:hAnsi="Century Gothic"/>
          <w:szCs w:val="24"/>
        </w:rPr>
        <w:t>It is further submitted that t</w:t>
      </w:r>
      <w:r w:rsidR="00864567">
        <w:rPr>
          <w:rFonts w:ascii="Century Gothic" w:hAnsi="Century Gothic"/>
          <w:szCs w:val="24"/>
        </w:rPr>
        <w:t xml:space="preserve">he </w:t>
      </w:r>
      <w:r>
        <w:rPr>
          <w:rFonts w:ascii="Century Gothic" w:hAnsi="Century Gothic"/>
          <w:szCs w:val="24"/>
        </w:rPr>
        <w:t>price of gas</w:t>
      </w:r>
      <w:r w:rsidR="00936BA3">
        <w:rPr>
          <w:rFonts w:ascii="Century Gothic" w:hAnsi="Century Gothic"/>
          <w:szCs w:val="24"/>
        </w:rPr>
        <w:t xml:space="preserve"> from all type of sources</w:t>
      </w:r>
      <w:r>
        <w:rPr>
          <w:rFonts w:ascii="Century Gothic" w:hAnsi="Century Gothic"/>
          <w:szCs w:val="24"/>
        </w:rPr>
        <w:t xml:space="preserve"> are increasing </w:t>
      </w:r>
      <w:r w:rsidR="00936BA3">
        <w:rPr>
          <w:rFonts w:ascii="Century Gothic" w:hAnsi="Century Gothic"/>
          <w:szCs w:val="24"/>
        </w:rPr>
        <w:t xml:space="preserve">every </w:t>
      </w:r>
      <w:r w:rsidR="00E05E13">
        <w:rPr>
          <w:rFonts w:ascii="Century Gothic" w:hAnsi="Century Gothic"/>
          <w:szCs w:val="24"/>
        </w:rPr>
        <w:t xml:space="preserve">year. </w:t>
      </w:r>
      <w:r w:rsidR="00936BA3">
        <w:rPr>
          <w:rFonts w:ascii="Century Gothic" w:hAnsi="Century Gothic"/>
          <w:szCs w:val="24"/>
        </w:rPr>
        <w:t>However, i</w:t>
      </w:r>
      <w:r w:rsidR="00E05E13">
        <w:rPr>
          <w:rFonts w:ascii="Century Gothic" w:hAnsi="Century Gothic"/>
          <w:szCs w:val="24"/>
        </w:rPr>
        <w:t xml:space="preserve">t </w:t>
      </w:r>
      <w:r w:rsidR="00936BA3">
        <w:rPr>
          <w:rFonts w:ascii="Century Gothic" w:hAnsi="Century Gothic"/>
          <w:szCs w:val="24"/>
        </w:rPr>
        <w:t xml:space="preserve">has been </w:t>
      </w:r>
      <w:r w:rsidR="00E05E13">
        <w:rPr>
          <w:rFonts w:ascii="Century Gothic" w:hAnsi="Century Gothic"/>
          <w:szCs w:val="24"/>
        </w:rPr>
        <w:t xml:space="preserve">kept constant </w:t>
      </w:r>
      <w:r w:rsidR="00D02A36">
        <w:rPr>
          <w:rFonts w:ascii="Century Gothic" w:hAnsi="Century Gothic"/>
          <w:szCs w:val="24"/>
        </w:rPr>
        <w:t xml:space="preserve">and </w:t>
      </w:r>
      <w:r w:rsidR="00E05E13">
        <w:rPr>
          <w:rFonts w:ascii="Century Gothic" w:hAnsi="Century Gothic"/>
          <w:szCs w:val="24"/>
        </w:rPr>
        <w:t xml:space="preserve">no escalation </w:t>
      </w:r>
      <w:r w:rsidR="00936BA3">
        <w:rPr>
          <w:rFonts w:ascii="Century Gothic" w:hAnsi="Century Gothic"/>
          <w:szCs w:val="24"/>
        </w:rPr>
        <w:t xml:space="preserve">has </w:t>
      </w:r>
      <w:r w:rsidR="00E07C4E">
        <w:rPr>
          <w:rFonts w:ascii="Century Gothic" w:hAnsi="Century Gothic"/>
          <w:szCs w:val="24"/>
        </w:rPr>
        <w:t>been provided</w:t>
      </w:r>
      <w:r w:rsidR="00FA16BC">
        <w:rPr>
          <w:rFonts w:ascii="Century Gothic" w:hAnsi="Century Gothic"/>
          <w:szCs w:val="24"/>
        </w:rPr>
        <w:t xml:space="preserve"> in FY 2015-16</w:t>
      </w:r>
      <w:r w:rsidR="00C31EAF">
        <w:rPr>
          <w:rFonts w:ascii="Century Gothic" w:hAnsi="Century Gothic"/>
          <w:szCs w:val="24"/>
        </w:rPr>
        <w:t>, in</w:t>
      </w:r>
      <w:r w:rsidR="00E05E13">
        <w:rPr>
          <w:rFonts w:ascii="Century Gothic" w:hAnsi="Century Gothic"/>
          <w:szCs w:val="24"/>
        </w:rPr>
        <w:t xml:space="preserve"> line with the Regulations.  </w:t>
      </w:r>
      <w:r w:rsidR="000F7069">
        <w:rPr>
          <w:rFonts w:ascii="Century Gothic" w:hAnsi="Century Gothic"/>
          <w:szCs w:val="24"/>
        </w:rPr>
        <w:t xml:space="preserve"> </w:t>
      </w:r>
    </w:p>
    <w:p w:rsidR="000F7069" w:rsidRDefault="000F7069">
      <w:pPr>
        <w:pStyle w:val="BodyText"/>
        <w:rPr>
          <w:rFonts w:ascii="Century Gothic" w:hAnsi="Century Gothic"/>
          <w:szCs w:val="24"/>
        </w:rPr>
      </w:pPr>
    </w:p>
    <w:p w:rsidR="00683F01" w:rsidRDefault="00683F01">
      <w:pPr>
        <w:pStyle w:val="BodyText"/>
        <w:rPr>
          <w:rFonts w:ascii="Century Gothic" w:hAnsi="Century Gothic"/>
          <w:szCs w:val="24"/>
        </w:rPr>
      </w:pPr>
    </w:p>
    <w:p w:rsidR="00683F01" w:rsidRDefault="00683F01">
      <w:pPr>
        <w:pStyle w:val="BodyText"/>
        <w:rPr>
          <w:rFonts w:ascii="Century Gothic" w:hAnsi="Century Gothic"/>
          <w:szCs w:val="24"/>
        </w:rPr>
      </w:pPr>
    </w:p>
    <w:p w:rsidR="00683F01" w:rsidRDefault="00683F01">
      <w:pPr>
        <w:pStyle w:val="BodyText"/>
        <w:rPr>
          <w:rFonts w:ascii="Century Gothic" w:hAnsi="Century Gothic"/>
          <w:szCs w:val="24"/>
        </w:rPr>
      </w:pPr>
    </w:p>
    <w:p w:rsidR="000F7069" w:rsidRDefault="000F7069">
      <w:pPr>
        <w:rPr>
          <w:b/>
          <w:bCs/>
          <w:sz w:val="22"/>
          <w:szCs w:val="22"/>
        </w:rPr>
      </w:pPr>
      <w:r>
        <w:rPr>
          <w:b/>
          <w:bCs/>
          <w:sz w:val="22"/>
          <w:szCs w:val="22"/>
        </w:rPr>
        <w:lastRenderedPageBreak/>
        <w:t xml:space="preserve">Variable Cost for </w:t>
      </w:r>
      <w:r w:rsidR="00BF0967">
        <w:rPr>
          <w:b/>
          <w:bCs/>
          <w:sz w:val="22"/>
          <w:szCs w:val="22"/>
        </w:rPr>
        <w:t xml:space="preserve">Pragati </w:t>
      </w:r>
      <w:r>
        <w:rPr>
          <w:b/>
          <w:bCs/>
          <w:sz w:val="22"/>
          <w:szCs w:val="22"/>
        </w:rPr>
        <w:t>Power Station</w:t>
      </w:r>
      <w:r w:rsidR="00BF0967">
        <w:rPr>
          <w:b/>
          <w:bCs/>
          <w:sz w:val="22"/>
          <w:szCs w:val="22"/>
        </w:rPr>
        <w:t>-I</w:t>
      </w:r>
    </w:p>
    <w:p w:rsidR="000F7069" w:rsidRDefault="000F7069">
      <w:pPr>
        <w:rPr>
          <w:b/>
          <w:bCs/>
          <w:sz w:val="22"/>
          <w:szCs w:val="22"/>
        </w:rPr>
      </w:pPr>
    </w:p>
    <w:p w:rsidR="000F7069" w:rsidRPr="00E55D3F" w:rsidRDefault="000F7069" w:rsidP="00071DC8">
      <w:pPr>
        <w:pStyle w:val="BodyText"/>
        <w:numPr>
          <w:ilvl w:val="0"/>
          <w:numId w:val="22"/>
        </w:numPr>
        <w:tabs>
          <w:tab w:val="left" w:pos="540"/>
        </w:tabs>
        <w:rPr>
          <w:rFonts w:ascii="Century Gothic" w:hAnsi="Century Gothic"/>
          <w:szCs w:val="24"/>
        </w:rPr>
      </w:pPr>
      <w:r w:rsidRPr="00E55D3F">
        <w:rPr>
          <w:rFonts w:ascii="Century Gothic" w:hAnsi="Century Gothic"/>
          <w:szCs w:val="24"/>
        </w:rPr>
        <w:t xml:space="preserve">Based on above, </w:t>
      </w:r>
      <w:r w:rsidR="00C47AE3" w:rsidRPr="00E55D3F">
        <w:rPr>
          <w:rFonts w:ascii="Century Gothic" w:hAnsi="Century Gothic"/>
          <w:szCs w:val="24"/>
        </w:rPr>
        <w:t xml:space="preserve">Petitioner </w:t>
      </w:r>
      <w:r w:rsidRPr="00E55D3F">
        <w:rPr>
          <w:rFonts w:ascii="Century Gothic" w:hAnsi="Century Gothic"/>
          <w:szCs w:val="24"/>
        </w:rPr>
        <w:t xml:space="preserve">has estimated the total Fuel cost </w:t>
      </w:r>
      <w:r w:rsidR="00A35A14" w:rsidRPr="00E55D3F">
        <w:rPr>
          <w:rFonts w:ascii="Century Gothic" w:hAnsi="Century Gothic"/>
          <w:szCs w:val="24"/>
        </w:rPr>
        <w:t xml:space="preserve">of Rs. </w:t>
      </w:r>
      <w:r w:rsidR="00962E2C" w:rsidRPr="00E55D3F">
        <w:rPr>
          <w:rFonts w:ascii="Century Gothic" w:hAnsi="Century Gothic"/>
          <w:szCs w:val="24"/>
        </w:rPr>
        <w:t>1042.82</w:t>
      </w:r>
      <w:r w:rsidR="00AB732C" w:rsidRPr="00E55D3F">
        <w:rPr>
          <w:rFonts w:ascii="Century Gothic" w:hAnsi="Century Gothic"/>
          <w:szCs w:val="24"/>
        </w:rPr>
        <w:t xml:space="preserve"> </w:t>
      </w:r>
      <w:r w:rsidR="004B3248" w:rsidRPr="00E55D3F">
        <w:rPr>
          <w:rFonts w:ascii="Century Gothic" w:hAnsi="Century Gothic"/>
          <w:szCs w:val="24"/>
        </w:rPr>
        <w:t>Crores</w:t>
      </w:r>
      <w:r w:rsidR="00BA5E35" w:rsidRPr="00E55D3F">
        <w:rPr>
          <w:rFonts w:ascii="Century Gothic" w:hAnsi="Century Gothic"/>
          <w:szCs w:val="24"/>
        </w:rPr>
        <w:t xml:space="preserve"> </w:t>
      </w:r>
      <w:r w:rsidR="00B23EB9" w:rsidRPr="00E55D3F">
        <w:rPr>
          <w:rFonts w:ascii="Century Gothic" w:hAnsi="Century Gothic"/>
          <w:szCs w:val="24"/>
        </w:rPr>
        <w:t xml:space="preserve">each </w:t>
      </w:r>
      <w:r w:rsidR="00BA5E35" w:rsidRPr="00E55D3F">
        <w:rPr>
          <w:rFonts w:ascii="Century Gothic" w:hAnsi="Century Gothic"/>
          <w:szCs w:val="24"/>
        </w:rPr>
        <w:t xml:space="preserve">for FY </w:t>
      </w:r>
      <w:r w:rsidR="001D6D87" w:rsidRPr="00E55D3F">
        <w:rPr>
          <w:rFonts w:ascii="Century Gothic" w:hAnsi="Century Gothic"/>
          <w:szCs w:val="24"/>
        </w:rPr>
        <w:t>2015-16</w:t>
      </w:r>
      <w:r w:rsidR="004B3248" w:rsidRPr="00E55D3F">
        <w:rPr>
          <w:rFonts w:ascii="Century Gothic" w:hAnsi="Century Gothic"/>
          <w:szCs w:val="24"/>
        </w:rPr>
        <w:t xml:space="preserve"> </w:t>
      </w:r>
      <w:r w:rsidR="005A2789" w:rsidRPr="00E55D3F">
        <w:rPr>
          <w:rFonts w:ascii="Century Gothic" w:hAnsi="Century Gothic"/>
          <w:szCs w:val="24"/>
        </w:rPr>
        <w:t>for generation on target availability</w:t>
      </w:r>
      <w:r w:rsidR="00D14DEA" w:rsidRPr="00E55D3F">
        <w:rPr>
          <w:rFonts w:ascii="Century Gothic" w:hAnsi="Century Gothic"/>
          <w:szCs w:val="24"/>
        </w:rPr>
        <w:t xml:space="preserve"> of 85% in combined cycle mode at the heat rate of 2036</w:t>
      </w:r>
      <w:r w:rsidR="0016551F" w:rsidRPr="00E55D3F">
        <w:rPr>
          <w:rFonts w:ascii="Century Gothic" w:hAnsi="Century Gothic"/>
          <w:szCs w:val="24"/>
        </w:rPr>
        <w:t xml:space="preserve"> </w:t>
      </w:r>
      <w:r w:rsidR="00D14DEA" w:rsidRPr="00E55D3F">
        <w:rPr>
          <w:rFonts w:ascii="Century Gothic" w:hAnsi="Century Gothic"/>
          <w:szCs w:val="24"/>
        </w:rPr>
        <w:t>kCal/kWh</w:t>
      </w:r>
      <w:r w:rsidR="005A2789" w:rsidRPr="00E55D3F">
        <w:rPr>
          <w:rFonts w:ascii="Century Gothic" w:hAnsi="Century Gothic"/>
          <w:szCs w:val="24"/>
        </w:rPr>
        <w:t>.</w:t>
      </w:r>
      <w:r w:rsidR="00DD3922" w:rsidRPr="00E55D3F">
        <w:rPr>
          <w:rFonts w:ascii="Century Gothic" w:hAnsi="Century Gothic"/>
          <w:szCs w:val="24"/>
        </w:rPr>
        <w:t xml:space="preserve"> </w:t>
      </w:r>
      <w:r w:rsidR="000C4A9D" w:rsidRPr="00E55D3F">
        <w:rPr>
          <w:rFonts w:ascii="Century Gothic" w:hAnsi="Century Gothic"/>
          <w:szCs w:val="24"/>
        </w:rPr>
        <w:t xml:space="preserve">The computation of variable cost is enclosed as </w:t>
      </w:r>
      <w:r w:rsidR="000C4A9D" w:rsidRPr="00E55D3F">
        <w:rPr>
          <w:rFonts w:ascii="Century Gothic" w:hAnsi="Century Gothic"/>
          <w:b/>
          <w:szCs w:val="24"/>
        </w:rPr>
        <w:t>Annexure-‘</w:t>
      </w:r>
      <w:r w:rsidR="001D6D87" w:rsidRPr="00E55D3F">
        <w:rPr>
          <w:rFonts w:ascii="Century Gothic" w:hAnsi="Century Gothic"/>
          <w:b/>
          <w:szCs w:val="24"/>
        </w:rPr>
        <w:t>A</w:t>
      </w:r>
      <w:r w:rsidR="000C4A9D" w:rsidRPr="00E55D3F">
        <w:rPr>
          <w:rFonts w:ascii="Century Gothic" w:hAnsi="Century Gothic"/>
          <w:b/>
          <w:szCs w:val="24"/>
        </w:rPr>
        <w:t>’</w:t>
      </w:r>
      <w:r w:rsidR="000C4A9D" w:rsidRPr="00E55D3F">
        <w:rPr>
          <w:rFonts w:ascii="Century Gothic" w:hAnsi="Century Gothic"/>
          <w:szCs w:val="24"/>
        </w:rPr>
        <w:t xml:space="preserve">. </w:t>
      </w:r>
      <w:r w:rsidR="005A2789" w:rsidRPr="00E55D3F">
        <w:rPr>
          <w:rFonts w:ascii="Century Gothic" w:hAnsi="Century Gothic"/>
          <w:szCs w:val="24"/>
        </w:rPr>
        <w:t>T</w:t>
      </w:r>
      <w:r w:rsidR="00D4150B" w:rsidRPr="00E55D3F">
        <w:rPr>
          <w:rFonts w:ascii="Century Gothic" w:hAnsi="Century Gothic"/>
          <w:szCs w:val="24"/>
        </w:rPr>
        <w:t xml:space="preserve">he </w:t>
      </w:r>
      <w:r w:rsidRPr="00E55D3F">
        <w:rPr>
          <w:rFonts w:ascii="Century Gothic" w:hAnsi="Century Gothic"/>
          <w:szCs w:val="24"/>
        </w:rPr>
        <w:t xml:space="preserve">Variable Cost </w:t>
      </w:r>
      <w:r w:rsidR="007B0CF1" w:rsidRPr="00E55D3F">
        <w:rPr>
          <w:rFonts w:ascii="Century Gothic" w:hAnsi="Century Gothic"/>
          <w:szCs w:val="24"/>
        </w:rPr>
        <w:t>i</w:t>
      </w:r>
      <w:r w:rsidRPr="00E55D3F">
        <w:rPr>
          <w:rFonts w:ascii="Century Gothic" w:hAnsi="Century Gothic"/>
          <w:szCs w:val="24"/>
        </w:rPr>
        <w:t xml:space="preserve">s </w:t>
      </w:r>
      <w:r w:rsidR="00D4150B" w:rsidRPr="00E55D3F">
        <w:rPr>
          <w:rFonts w:ascii="Century Gothic" w:hAnsi="Century Gothic"/>
          <w:szCs w:val="24"/>
        </w:rPr>
        <w:t>depicted</w:t>
      </w:r>
      <w:r w:rsidRPr="00E55D3F">
        <w:rPr>
          <w:rFonts w:ascii="Century Gothic" w:hAnsi="Century Gothic"/>
          <w:szCs w:val="24"/>
        </w:rPr>
        <w:t xml:space="preserve"> in the following Table.</w:t>
      </w:r>
    </w:p>
    <w:p w:rsidR="000F7069" w:rsidRPr="00B3224F" w:rsidRDefault="00B3224F" w:rsidP="00B3224F">
      <w:pPr>
        <w:pStyle w:val="Caption"/>
        <w:jc w:val="center"/>
      </w:pPr>
      <w:bookmarkStart w:id="28" w:name="_Toc174196340"/>
      <w:bookmarkStart w:id="29" w:name="_Toc411525182"/>
      <w:r>
        <w:t xml:space="preserve">Table </w:t>
      </w:r>
      <w:fldSimple w:instr=" SEQ Table \* ARABIC ">
        <w:r w:rsidR="000F406F">
          <w:rPr>
            <w:noProof/>
          </w:rPr>
          <w:t>7</w:t>
        </w:r>
      </w:fldSimple>
      <w:r>
        <w:t xml:space="preserve"> :</w:t>
      </w:r>
      <w:r w:rsidR="000F7069">
        <w:rPr>
          <w:sz w:val="20"/>
        </w:rPr>
        <w:t xml:space="preserve"> </w:t>
      </w:r>
      <w:r w:rsidR="000F7069" w:rsidRPr="00B3224F">
        <w:t>Total Variable Cost</w:t>
      </w:r>
      <w:bookmarkEnd w:id="28"/>
      <w:bookmarkEnd w:id="29"/>
    </w:p>
    <w:tbl>
      <w:tblPr>
        <w:tblW w:w="8427"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6"/>
        <w:gridCol w:w="2634"/>
        <w:gridCol w:w="2847"/>
      </w:tblGrid>
      <w:tr w:rsidR="002D169C" w:rsidRPr="00F144AF" w:rsidTr="00683F01">
        <w:trPr>
          <w:trHeight w:val="360"/>
        </w:trPr>
        <w:tc>
          <w:tcPr>
            <w:tcW w:w="2946" w:type="dxa"/>
            <w:shd w:val="clear" w:color="auto" w:fill="000080"/>
            <w:vAlign w:val="center"/>
          </w:tcPr>
          <w:p w:rsidR="002D169C" w:rsidRPr="00F144AF" w:rsidRDefault="002D169C" w:rsidP="00F144AF">
            <w:pPr>
              <w:spacing w:line="240" w:lineRule="auto"/>
              <w:rPr>
                <w:sz w:val="22"/>
                <w:szCs w:val="22"/>
              </w:rPr>
            </w:pPr>
            <w:r w:rsidRPr="00F144AF">
              <w:rPr>
                <w:rFonts w:cs="Arial"/>
                <w:b/>
                <w:bCs/>
                <w:sz w:val="22"/>
                <w:szCs w:val="22"/>
                <w:lang w:bidi="gu-IN"/>
              </w:rPr>
              <w:t>Particulars</w:t>
            </w:r>
          </w:p>
        </w:tc>
        <w:tc>
          <w:tcPr>
            <w:tcW w:w="2634" w:type="dxa"/>
            <w:shd w:val="clear" w:color="auto" w:fill="000080"/>
            <w:vAlign w:val="center"/>
          </w:tcPr>
          <w:p w:rsidR="002D169C" w:rsidRPr="00F144AF" w:rsidRDefault="002D169C" w:rsidP="00F144AF">
            <w:pPr>
              <w:spacing w:line="240" w:lineRule="auto"/>
              <w:ind w:left="-174"/>
              <w:jc w:val="center"/>
              <w:rPr>
                <w:sz w:val="22"/>
                <w:szCs w:val="22"/>
              </w:rPr>
            </w:pPr>
            <w:r w:rsidRPr="00F144AF">
              <w:rPr>
                <w:rFonts w:cs="Arial"/>
                <w:b/>
                <w:bCs/>
                <w:sz w:val="22"/>
                <w:szCs w:val="22"/>
                <w:lang w:bidi="gu-IN"/>
              </w:rPr>
              <w:t>Unit</w:t>
            </w:r>
          </w:p>
        </w:tc>
        <w:tc>
          <w:tcPr>
            <w:tcW w:w="2847" w:type="dxa"/>
            <w:shd w:val="clear" w:color="auto" w:fill="000080"/>
            <w:vAlign w:val="center"/>
          </w:tcPr>
          <w:p w:rsidR="002D169C" w:rsidRPr="00F144AF" w:rsidRDefault="00394135" w:rsidP="00F144AF">
            <w:pPr>
              <w:spacing w:line="240" w:lineRule="auto"/>
              <w:ind w:left="-174"/>
              <w:jc w:val="center"/>
              <w:rPr>
                <w:sz w:val="22"/>
                <w:szCs w:val="22"/>
              </w:rPr>
            </w:pPr>
            <w:r w:rsidRPr="00F144AF">
              <w:rPr>
                <w:rFonts w:cs="Arial"/>
                <w:b/>
                <w:bCs/>
                <w:sz w:val="22"/>
                <w:szCs w:val="22"/>
                <w:lang w:bidi="gu-IN"/>
              </w:rPr>
              <w:t>Variable Cost</w:t>
            </w:r>
          </w:p>
        </w:tc>
      </w:tr>
      <w:tr w:rsidR="002D169C" w:rsidRPr="00962E2C" w:rsidTr="00683F01">
        <w:trPr>
          <w:trHeight w:val="360"/>
        </w:trPr>
        <w:tc>
          <w:tcPr>
            <w:tcW w:w="2946" w:type="dxa"/>
            <w:vAlign w:val="center"/>
          </w:tcPr>
          <w:p w:rsidR="002D169C" w:rsidRPr="00E55D3F" w:rsidRDefault="002D169C" w:rsidP="00F144AF">
            <w:pPr>
              <w:spacing w:line="240" w:lineRule="auto"/>
              <w:rPr>
                <w:sz w:val="22"/>
                <w:szCs w:val="22"/>
              </w:rPr>
            </w:pPr>
            <w:r w:rsidRPr="00E55D3F">
              <w:rPr>
                <w:sz w:val="22"/>
                <w:szCs w:val="22"/>
              </w:rPr>
              <w:t>Total Gas</w:t>
            </w:r>
            <w:r w:rsidR="00F144AF" w:rsidRPr="00E55D3F">
              <w:rPr>
                <w:sz w:val="22"/>
                <w:szCs w:val="22"/>
              </w:rPr>
              <w:t xml:space="preserve"> </w:t>
            </w:r>
            <w:r w:rsidRPr="00E55D3F">
              <w:rPr>
                <w:sz w:val="22"/>
                <w:szCs w:val="22"/>
              </w:rPr>
              <w:t>Consumption</w:t>
            </w:r>
          </w:p>
        </w:tc>
        <w:tc>
          <w:tcPr>
            <w:tcW w:w="2634" w:type="dxa"/>
            <w:vAlign w:val="center"/>
          </w:tcPr>
          <w:p w:rsidR="002D169C" w:rsidRPr="00E55D3F" w:rsidRDefault="002D169C" w:rsidP="00F144AF">
            <w:pPr>
              <w:spacing w:line="240" w:lineRule="auto"/>
              <w:ind w:left="726"/>
              <w:rPr>
                <w:sz w:val="22"/>
                <w:szCs w:val="22"/>
              </w:rPr>
            </w:pPr>
            <w:r w:rsidRPr="00E55D3F">
              <w:rPr>
                <w:sz w:val="22"/>
                <w:szCs w:val="22"/>
              </w:rPr>
              <w:t>MMSCM</w:t>
            </w:r>
          </w:p>
        </w:tc>
        <w:tc>
          <w:tcPr>
            <w:tcW w:w="2847" w:type="dxa"/>
            <w:vAlign w:val="center"/>
          </w:tcPr>
          <w:p w:rsidR="002D169C" w:rsidRPr="00E55D3F" w:rsidRDefault="00962E2C" w:rsidP="00572AE0">
            <w:pPr>
              <w:spacing w:line="240" w:lineRule="auto"/>
              <w:ind w:left="726" w:right="990"/>
              <w:jc w:val="right"/>
              <w:rPr>
                <w:sz w:val="22"/>
                <w:szCs w:val="22"/>
              </w:rPr>
            </w:pPr>
            <w:r w:rsidRPr="00E55D3F">
              <w:rPr>
                <w:sz w:val="22"/>
                <w:szCs w:val="22"/>
              </w:rPr>
              <w:t>517.27</w:t>
            </w:r>
          </w:p>
        </w:tc>
      </w:tr>
      <w:tr w:rsidR="002D169C" w:rsidRPr="00962E2C" w:rsidTr="00683F01">
        <w:trPr>
          <w:trHeight w:val="360"/>
        </w:trPr>
        <w:tc>
          <w:tcPr>
            <w:tcW w:w="2946" w:type="dxa"/>
            <w:vAlign w:val="center"/>
          </w:tcPr>
          <w:p w:rsidR="002D169C" w:rsidRPr="00E55D3F" w:rsidRDefault="002D169C" w:rsidP="00F144AF">
            <w:pPr>
              <w:spacing w:line="240" w:lineRule="auto"/>
              <w:rPr>
                <w:sz w:val="22"/>
                <w:szCs w:val="22"/>
              </w:rPr>
            </w:pPr>
            <w:r w:rsidRPr="00E55D3F">
              <w:rPr>
                <w:sz w:val="22"/>
                <w:szCs w:val="22"/>
              </w:rPr>
              <w:t>Average Gas Price</w:t>
            </w:r>
          </w:p>
        </w:tc>
        <w:tc>
          <w:tcPr>
            <w:tcW w:w="2634" w:type="dxa"/>
            <w:vAlign w:val="center"/>
          </w:tcPr>
          <w:p w:rsidR="002D169C" w:rsidRPr="00E55D3F" w:rsidRDefault="002D169C" w:rsidP="00F144AF">
            <w:pPr>
              <w:spacing w:line="240" w:lineRule="auto"/>
              <w:ind w:left="726"/>
              <w:rPr>
                <w:sz w:val="22"/>
                <w:szCs w:val="22"/>
              </w:rPr>
            </w:pPr>
            <w:r w:rsidRPr="00E55D3F">
              <w:rPr>
                <w:sz w:val="22"/>
                <w:szCs w:val="22"/>
              </w:rPr>
              <w:t>Rs./1000SCM</w:t>
            </w:r>
          </w:p>
        </w:tc>
        <w:tc>
          <w:tcPr>
            <w:tcW w:w="2847" w:type="dxa"/>
            <w:vAlign w:val="center"/>
          </w:tcPr>
          <w:p w:rsidR="002D169C" w:rsidRPr="00E55D3F" w:rsidRDefault="00AB732C" w:rsidP="00AC53EB">
            <w:pPr>
              <w:spacing w:line="240" w:lineRule="auto"/>
              <w:ind w:left="726" w:right="990"/>
              <w:jc w:val="right"/>
              <w:rPr>
                <w:sz w:val="22"/>
                <w:szCs w:val="22"/>
              </w:rPr>
            </w:pPr>
            <w:r w:rsidRPr="00E55D3F">
              <w:rPr>
                <w:sz w:val="22"/>
                <w:szCs w:val="22"/>
              </w:rPr>
              <w:t>20160</w:t>
            </w:r>
            <w:r w:rsidR="0016551F" w:rsidRPr="00E55D3F">
              <w:rPr>
                <w:sz w:val="22"/>
                <w:szCs w:val="22"/>
              </w:rPr>
              <w:t>.00</w:t>
            </w:r>
          </w:p>
        </w:tc>
      </w:tr>
      <w:tr w:rsidR="002D169C" w:rsidRPr="00962E2C" w:rsidTr="00683F01">
        <w:trPr>
          <w:trHeight w:val="360"/>
        </w:trPr>
        <w:tc>
          <w:tcPr>
            <w:tcW w:w="2946" w:type="dxa"/>
            <w:vAlign w:val="center"/>
          </w:tcPr>
          <w:p w:rsidR="002D169C" w:rsidRPr="00E55D3F" w:rsidRDefault="002D169C" w:rsidP="00F144AF">
            <w:pPr>
              <w:spacing w:line="240" w:lineRule="auto"/>
              <w:rPr>
                <w:sz w:val="22"/>
                <w:szCs w:val="22"/>
              </w:rPr>
            </w:pPr>
            <w:r w:rsidRPr="00E55D3F">
              <w:rPr>
                <w:sz w:val="22"/>
                <w:szCs w:val="22"/>
              </w:rPr>
              <w:t>Total Gas Cost</w:t>
            </w:r>
          </w:p>
        </w:tc>
        <w:tc>
          <w:tcPr>
            <w:tcW w:w="2634" w:type="dxa"/>
            <w:vAlign w:val="center"/>
          </w:tcPr>
          <w:p w:rsidR="002D169C" w:rsidRPr="00E55D3F" w:rsidRDefault="002D169C" w:rsidP="00F144AF">
            <w:pPr>
              <w:spacing w:line="240" w:lineRule="auto"/>
              <w:ind w:left="726"/>
              <w:rPr>
                <w:sz w:val="22"/>
                <w:szCs w:val="22"/>
              </w:rPr>
            </w:pPr>
            <w:r w:rsidRPr="00E55D3F">
              <w:rPr>
                <w:sz w:val="22"/>
                <w:szCs w:val="22"/>
              </w:rPr>
              <w:t>Rs. Crores</w:t>
            </w:r>
          </w:p>
        </w:tc>
        <w:tc>
          <w:tcPr>
            <w:tcW w:w="2847" w:type="dxa"/>
            <w:vAlign w:val="center"/>
          </w:tcPr>
          <w:p w:rsidR="002D169C" w:rsidRPr="00E55D3F" w:rsidRDefault="00962E2C" w:rsidP="00572AE0">
            <w:pPr>
              <w:spacing w:line="240" w:lineRule="auto"/>
              <w:ind w:left="726" w:right="990"/>
              <w:jc w:val="right"/>
              <w:rPr>
                <w:sz w:val="22"/>
                <w:szCs w:val="22"/>
              </w:rPr>
            </w:pPr>
            <w:r w:rsidRPr="00E55D3F">
              <w:rPr>
                <w:sz w:val="22"/>
                <w:szCs w:val="22"/>
              </w:rPr>
              <w:t>1042.82</w:t>
            </w:r>
          </w:p>
        </w:tc>
      </w:tr>
      <w:tr w:rsidR="002D169C" w:rsidRPr="00962E2C" w:rsidTr="00683F01">
        <w:trPr>
          <w:trHeight w:val="360"/>
        </w:trPr>
        <w:tc>
          <w:tcPr>
            <w:tcW w:w="2946" w:type="dxa"/>
            <w:vAlign w:val="center"/>
          </w:tcPr>
          <w:p w:rsidR="002D169C" w:rsidRPr="00E55D3F" w:rsidRDefault="002D169C" w:rsidP="00F144AF">
            <w:pPr>
              <w:spacing w:line="240" w:lineRule="auto"/>
              <w:rPr>
                <w:sz w:val="22"/>
                <w:szCs w:val="22"/>
              </w:rPr>
            </w:pPr>
            <w:r w:rsidRPr="00E55D3F">
              <w:rPr>
                <w:sz w:val="22"/>
                <w:szCs w:val="22"/>
              </w:rPr>
              <w:t>Net Generation</w:t>
            </w:r>
          </w:p>
        </w:tc>
        <w:tc>
          <w:tcPr>
            <w:tcW w:w="2634" w:type="dxa"/>
            <w:vAlign w:val="center"/>
          </w:tcPr>
          <w:p w:rsidR="002D169C" w:rsidRPr="00E55D3F" w:rsidRDefault="002D169C" w:rsidP="00F144AF">
            <w:pPr>
              <w:spacing w:line="240" w:lineRule="auto"/>
              <w:ind w:left="726"/>
              <w:rPr>
                <w:sz w:val="22"/>
                <w:szCs w:val="22"/>
              </w:rPr>
            </w:pPr>
            <w:r w:rsidRPr="00E55D3F">
              <w:rPr>
                <w:sz w:val="22"/>
                <w:szCs w:val="22"/>
              </w:rPr>
              <w:t>MU</w:t>
            </w:r>
          </w:p>
        </w:tc>
        <w:tc>
          <w:tcPr>
            <w:tcW w:w="2847" w:type="dxa"/>
            <w:vAlign w:val="center"/>
          </w:tcPr>
          <w:p w:rsidR="002D169C" w:rsidRPr="00E55D3F" w:rsidRDefault="00962E2C" w:rsidP="00572AE0">
            <w:pPr>
              <w:spacing w:line="240" w:lineRule="auto"/>
              <w:ind w:left="726" w:right="990"/>
              <w:jc w:val="right"/>
              <w:rPr>
                <w:sz w:val="22"/>
                <w:szCs w:val="22"/>
              </w:rPr>
            </w:pPr>
            <w:r w:rsidRPr="00E55D3F">
              <w:rPr>
                <w:sz w:val="22"/>
                <w:szCs w:val="22"/>
              </w:rPr>
              <w:t>2389.99</w:t>
            </w:r>
          </w:p>
        </w:tc>
      </w:tr>
      <w:tr w:rsidR="002D169C" w:rsidRPr="00962E2C" w:rsidTr="00683F01">
        <w:trPr>
          <w:trHeight w:val="360"/>
        </w:trPr>
        <w:tc>
          <w:tcPr>
            <w:tcW w:w="2946" w:type="dxa"/>
            <w:vAlign w:val="center"/>
          </w:tcPr>
          <w:p w:rsidR="002D169C" w:rsidRPr="00E55D3F" w:rsidRDefault="002D169C" w:rsidP="00F144AF">
            <w:pPr>
              <w:spacing w:line="240" w:lineRule="auto"/>
              <w:rPr>
                <w:b/>
                <w:sz w:val="22"/>
                <w:szCs w:val="22"/>
              </w:rPr>
            </w:pPr>
            <w:r w:rsidRPr="00E55D3F">
              <w:rPr>
                <w:b/>
                <w:sz w:val="22"/>
                <w:szCs w:val="22"/>
              </w:rPr>
              <w:t>Variable Cost</w:t>
            </w:r>
            <w:r w:rsidR="002044DB" w:rsidRPr="00E55D3F">
              <w:rPr>
                <w:b/>
                <w:sz w:val="22"/>
                <w:szCs w:val="22"/>
              </w:rPr>
              <w:t xml:space="preserve"> - CC</w:t>
            </w:r>
          </w:p>
        </w:tc>
        <w:tc>
          <w:tcPr>
            <w:tcW w:w="2634" w:type="dxa"/>
            <w:vAlign w:val="center"/>
          </w:tcPr>
          <w:p w:rsidR="002D169C" w:rsidRPr="00E55D3F" w:rsidRDefault="002D169C" w:rsidP="00F144AF">
            <w:pPr>
              <w:spacing w:line="240" w:lineRule="auto"/>
              <w:ind w:left="726"/>
              <w:rPr>
                <w:b/>
                <w:sz w:val="22"/>
                <w:szCs w:val="22"/>
              </w:rPr>
            </w:pPr>
            <w:r w:rsidRPr="00E55D3F">
              <w:rPr>
                <w:b/>
                <w:sz w:val="22"/>
                <w:szCs w:val="22"/>
              </w:rPr>
              <w:t>Rs./kWh</w:t>
            </w:r>
          </w:p>
        </w:tc>
        <w:tc>
          <w:tcPr>
            <w:tcW w:w="2847" w:type="dxa"/>
            <w:vAlign w:val="center"/>
          </w:tcPr>
          <w:p w:rsidR="002D169C" w:rsidRPr="00E55D3F" w:rsidRDefault="00962E2C" w:rsidP="00572AE0">
            <w:pPr>
              <w:spacing w:line="240" w:lineRule="auto"/>
              <w:ind w:left="726" w:right="990"/>
              <w:jc w:val="right"/>
              <w:rPr>
                <w:b/>
                <w:sz w:val="22"/>
                <w:szCs w:val="22"/>
              </w:rPr>
            </w:pPr>
            <w:r w:rsidRPr="00E55D3F">
              <w:rPr>
                <w:b/>
                <w:sz w:val="22"/>
                <w:szCs w:val="22"/>
              </w:rPr>
              <w:t>4.36</w:t>
            </w:r>
          </w:p>
        </w:tc>
      </w:tr>
    </w:tbl>
    <w:p w:rsidR="000B7353" w:rsidRPr="00962E2C" w:rsidRDefault="000B7353" w:rsidP="002D169C">
      <w:pPr>
        <w:rPr>
          <w:color w:val="00B0F0"/>
        </w:rPr>
      </w:pPr>
    </w:p>
    <w:p w:rsidR="00DD3922" w:rsidRDefault="00DD3922" w:rsidP="00DD3922">
      <w:pPr>
        <w:numPr>
          <w:ilvl w:val="0"/>
          <w:numId w:val="22"/>
        </w:numPr>
        <w:rPr>
          <w:sz w:val="22"/>
          <w:szCs w:val="22"/>
        </w:rPr>
      </w:pPr>
      <w:r>
        <w:rPr>
          <w:sz w:val="22"/>
          <w:szCs w:val="22"/>
        </w:rPr>
        <w:t xml:space="preserve">The recovery of energy charges shall be in accordance with the formula specified in Generation Tariff Regulations, 2011 which is reproduced as </w:t>
      </w:r>
      <w:r w:rsidRPr="004C315F">
        <w:rPr>
          <w:sz w:val="22"/>
          <w:szCs w:val="22"/>
        </w:rPr>
        <w:t>under:</w:t>
      </w:r>
    </w:p>
    <w:p w:rsidR="00683F01" w:rsidRPr="004C315F" w:rsidRDefault="00683F01" w:rsidP="00683F01">
      <w:pPr>
        <w:ind w:left="900"/>
        <w:rPr>
          <w:sz w:val="22"/>
          <w:szCs w:val="22"/>
        </w:rPr>
      </w:pPr>
    </w:p>
    <w:p w:rsidR="00DD3922" w:rsidRDefault="00DD3922" w:rsidP="00DD3922">
      <w:pPr>
        <w:autoSpaceDE w:val="0"/>
        <w:autoSpaceDN w:val="0"/>
        <w:adjustRightInd w:val="0"/>
        <w:spacing w:line="240" w:lineRule="auto"/>
        <w:ind w:left="900"/>
        <w:rPr>
          <w:rFonts w:ascii="Trebuchet MS" w:hAnsi="Trebuchet MS"/>
          <w:b/>
          <w:i/>
          <w:sz w:val="22"/>
          <w:szCs w:val="22"/>
        </w:rPr>
      </w:pPr>
      <w:r w:rsidRPr="004C315F">
        <w:rPr>
          <w:rFonts w:ascii="Trebuchet MS" w:hAnsi="Trebuchet MS"/>
          <w:b/>
          <w:i/>
          <w:sz w:val="22"/>
          <w:szCs w:val="22"/>
        </w:rPr>
        <w:t>“7.18 Energy charge rate (ECR) in Rupees per kWh on ex-power plant basis shall be determined to three decimal places in accordance with the following formulae :</w:t>
      </w:r>
    </w:p>
    <w:p w:rsidR="00683F01" w:rsidRPr="004C315F" w:rsidRDefault="00683F01" w:rsidP="00DD3922">
      <w:pPr>
        <w:autoSpaceDE w:val="0"/>
        <w:autoSpaceDN w:val="0"/>
        <w:adjustRightInd w:val="0"/>
        <w:spacing w:line="240" w:lineRule="auto"/>
        <w:ind w:left="900"/>
        <w:rPr>
          <w:rFonts w:ascii="Trebuchet MS" w:hAnsi="Trebuchet MS"/>
          <w:b/>
          <w:i/>
          <w:sz w:val="22"/>
          <w:szCs w:val="22"/>
        </w:rPr>
      </w:pPr>
    </w:p>
    <w:p w:rsidR="00DD3922" w:rsidRPr="004C315F" w:rsidRDefault="008B195F" w:rsidP="008B195F">
      <w:pPr>
        <w:tabs>
          <w:tab w:val="left" w:pos="900"/>
        </w:tabs>
        <w:autoSpaceDE w:val="0"/>
        <w:autoSpaceDN w:val="0"/>
        <w:adjustRightInd w:val="0"/>
        <w:spacing w:line="240" w:lineRule="auto"/>
        <w:ind w:firstLine="720"/>
        <w:jc w:val="left"/>
        <w:rPr>
          <w:rFonts w:ascii="Trebuchet MS" w:hAnsi="Trebuchet MS"/>
          <w:b/>
          <w:i/>
          <w:sz w:val="22"/>
          <w:szCs w:val="22"/>
        </w:rPr>
      </w:pPr>
      <w:r w:rsidRPr="004C315F">
        <w:rPr>
          <w:rFonts w:ascii="Trebuchet MS" w:hAnsi="Trebuchet MS"/>
          <w:b/>
          <w:i/>
          <w:sz w:val="22"/>
          <w:szCs w:val="22"/>
        </w:rPr>
        <w:t xml:space="preserve">  </w:t>
      </w:r>
      <w:r w:rsidR="00DD3922" w:rsidRPr="004C315F">
        <w:rPr>
          <w:rFonts w:ascii="Trebuchet MS" w:hAnsi="Trebuchet MS"/>
          <w:b/>
          <w:i/>
          <w:sz w:val="22"/>
          <w:szCs w:val="22"/>
        </w:rPr>
        <w:t xml:space="preserve"> (b) For gas and liquid fuel based stations</w:t>
      </w:r>
    </w:p>
    <w:p w:rsidR="00DD3922" w:rsidRPr="004C315F" w:rsidRDefault="00DD3922" w:rsidP="00DD3922">
      <w:pPr>
        <w:autoSpaceDE w:val="0"/>
        <w:autoSpaceDN w:val="0"/>
        <w:adjustRightInd w:val="0"/>
        <w:spacing w:line="240" w:lineRule="auto"/>
        <w:ind w:left="720" w:firstLine="720"/>
        <w:jc w:val="left"/>
        <w:rPr>
          <w:rFonts w:ascii="Trebuchet MS" w:hAnsi="Trebuchet MS"/>
          <w:b/>
          <w:i/>
          <w:sz w:val="22"/>
          <w:szCs w:val="22"/>
        </w:rPr>
      </w:pPr>
      <w:r w:rsidRPr="004C315F">
        <w:rPr>
          <w:rFonts w:ascii="Trebuchet MS" w:hAnsi="Trebuchet MS"/>
          <w:b/>
          <w:i/>
          <w:sz w:val="22"/>
          <w:szCs w:val="22"/>
        </w:rPr>
        <w:t>ECR = GHR x LPPF x 100 / {CVPF x (100 – AUX)}</w:t>
      </w:r>
    </w:p>
    <w:p w:rsidR="00DD3922" w:rsidRDefault="00DD3922" w:rsidP="00DD3922">
      <w:pPr>
        <w:autoSpaceDE w:val="0"/>
        <w:autoSpaceDN w:val="0"/>
        <w:adjustRightInd w:val="0"/>
        <w:spacing w:line="240" w:lineRule="auto"/>
        <w:ind w:left="720" w:firstLine="720"/>
        <w:jc w:val="left"/>
        <w:rPr>
          <w:rFonts w:ascii="Trebuchet MS" w:hAnsi="Trebuchet MS"/>
          <w:b/>
          <w:i/>
          <w:sz w:val="22"/>
          <w:szCs w:val="22"/>
        </w:rPr>
      </w:pPr>
      <w:r w:rsidRPr="004C315F">
        <w:rPr>
          <w:rFonts w:ascii="Trebuchet MS" w:hAnsi="Trebuchet MS"/>
          <w:b/>
          <w:i/>
          <w:sz w:val="22"/>
          <w:szCs w:val="22"/>
        </w:rPr>
        <w:t>Where,</w:t>
      </w:r>
    </w:p>
    <w:p w:rsidR="00683F01" w:rsidRPr="004C315F" w:rsidRDefault="00683F01" w:rsidP="00DD3922">
      <w:pPr>
        <w:autoSpaceDE w:val="0"/>
        <w:autoSpaceDN w:val="0"/>
        <w:adjustRightInd w:val="0"/>
        <w:spacing w:line="240" w:lineRule="auto"/>
        <w:ind w:left="720" w:firstLine="720"/>
        <w:jc w:val="left"/>
        <w:rPr>
          <w:rFonts w:ascii="Trebuchet MS" w:hAnsi="Trebuchet MS"/>
          <w:b/>
          <w:i/>
          <w:sz w:val="22"/>
          <w:szCs w:val="22"/>
        </w:rPr>
      </w:pPr>
    </w:p>
    <w:p w:rsidR="00DD3922" w:rsidRPr="004C315F" w:rsidRDefault="00DD3922" w:rsidP="00DD3922">
      <w:pPr>
        <w:autoSpaceDE w:val="0"/>
        <w:autoSpaceDN w:val="0"/>
        <w:adjustRightInd w:val="0"/>
        <w:spacing w:line="240" w:lineRule="auto"/>
        <w:ind w:left="720" w:firstLine="720"/>
        <w:jc w:val="left"/>
        <w:rPr>
          <w:rFonts w:ascii="Trebuchet MS" w:hAnsi="Trebuchet MS"/>
          <w:b/>
          <w:i/>
          <w:sz w:val="22"/>
          <w:szCs w:val="22"/>
        </w:rPr>
      </w:pPr>
      <w:r w:rsidRPr="004C315F">
        <w:rPr>
          <w:rFonts w:ascii="Trebuchet MS" w:hAnsi="Trebuchet MS"/>
          <w:b/>
          <w:i/>
          <w:sz w:val="22"/>
          <w:szCs w:val="22"/>
        </w:rPr>
        <w:t>AUX = Normative auxiliary energy consumption in percentage.</w:t>
      </w:r>
    </w:p>
    <w:p w:rsidR="00DD3922" w:rsidRPr="004C315F" w:rsidRDefault="00DD3922" w:rsidP="00DD3922">
      <w:pPr>
        <w:autoSpaceDE w:val="0"/>
        <w:autoSpaceDN w:val="0"/>
        <w:adjustRightInd w:val="0"/>
        <w:spacing w:line="240" w:lineRule="auto"/>
        <w:ind w:left="1440"/>
        <w:rPr>
          <w:rFonts w:ascii="Trebuchet MS" w:hAnsi="Trebuchet MS"/>
          <w:b/>
          <w:i/>
          <w:sz w:val="22"/>
          <w:szCs w:val="22"/>
        </w:rPr>
      </w:pPr>
      <w:r w:rsidRPr="004C315F">
        <w:rPr>
          <w:rFonts w:ascii="Trebuchet MS" w:hAnsi="Trebuchet MS"/>
          <w:b/>
          <w:i/>
          <w:sz w:val="22"/>
          <w:szCs w:val="22"/>
        </w:rPr>
        <w:t>CVPF = Gross calorific value of primary fuel as fired, in kCal per kg, per litre or per standard cubic metre, as applicable.</w:t>
      </w:r>
    </w:p>
    <w:p w:rsidR="00DD3922" w:rsidRPr="004C315F" w:rsidRDefault="00DD3922" w:rsidP="00DD3922">
      <w:pPr>
        <w:autoSpaceDE w:val="0"/>
        <w:autoSpaceDN w:val="0"/>
        <w:adjustRightInd w:val="0"/>
        <w:spacing w:line="240" w:lineRule="auto"/>
        <w:ind w:left="720" w:firstLine="720"/>
        <w:jc w:val="left"/>
        <w:rPr>
          <w:rFonts w:ascii="Trebuchet MS" w:hAnsi="Trebuchet MS"/>
          <w:b/>
          <w:i/>
          <w:sz w:val="22"/>
          <w:szCs w:val="22"/>
        </w:rPr>
      </w:pPr>
      <w:r w:rsidRPr="004C315F">
        <w:rPr>
          <w:rFonts w:ascii="Trebuchet MS" w:hAnsi="Trebuchet MS"/>
          <w:b/>
          <w:i/>
          <w:sz w:val="22"/>
          <w:szCs w:val="22"/>
        </w:rPr>
        <w:t>ECR = Energy charge rate, in Rupees per kWh sent out.</w:t>
      </w:r>
    </w:p>
    <w:p w:rsidR="00DD3922" w:rsidRPr="004C315F" w:rsidRDefault="00DD3922" w:rsidP="00DD3922">
      <w:pPr>
        <w:autoSpaceDE w:val="0"/>
        <w:autoSpaceDN w:val="0"/>
        <w:adjustRightInd w:val="0"/>
        <w:spacing w:line="240" w:lineRule="auto"/>
        <w:ind w:left="720" w:firstLine="720"/>
        <w:jc w:val="left"/>
        <w:rPr>
          <w:rFonts w:ascii="Trebuchet MS" w:hAnsi="Trebuchet MS"/>
          <w:b/>
          <w:i/>
          <w:sz w:val="22"/>
          <w:szCs w:val="22"/>
        </w:rPr>
      </w:pPr>
      <w:r w:rsidRPr="004C315F">
        <w:rPr>
          <w:rFonts w:ascii="Trebuchet MS" w:hAnsi="Trebuchet MS"/>
          <w:b/>
          <w:i/>
          <w:sz w:val="22"/>
          <w:szCs w:val="22"/>
        </w:rPr>
        <w:t>GHR = Gross station heat rate, in kCal per kWh.</w:t>
      </w:r>
    </w:p>
    <w:p w:rsidR="00DD3922" w:rsidRDefault="00DD3922" w:rsidP="00DD3922">
      <w:pPr>
        <w:autoSpaceDE w:val="0"/>
        <w:autoSpaceDN w:val="0"/>
        <w:adjustRightInd w:val="0"/>
        <w:spacing w:line="240" w:lineRule="auto"/>
        <w:ind w:left="1440"/>
        <w:rPr>
          <w:rFonts w:ascii="Trebuchet MS" w:hAnsi="Trebuchet MS"/>
          <w:b/>
          <w:i/>
          <w:sz w:val="22"/>
          <w:szCs w:val="22"/>
        </w:rPr>
      </w:pPr>
      <w:r w:rsidRPr="004C315F">
        <w:rPr>
          <w:rFonts w:ascii="Trebuchet MS" w:hAnsi="Trebuchet MS"/>
          <w:b/>
          <w:i/>
          <w:sz w:val="22"/>
          <w:szCs w:val="22"/>
        </w:rPr>
        <w:t>LPPF = Weighted average landed price of primary fuel, in Rupees per kg, per litre or per standard cubic metre, as applicable, during the month.</w:t>
      </w: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1E6118" w:rsidRDefault="001E6118" w:rsidP="00DD3922">
      <w:pPr>
        <w:autoSpaceDE w:val="0"/>
        <w:autoSpaceDN w:val="0"/>
        <w:adjustRightInd w:val="0"/>
        <w:spacing w:line="240" w:lineRule="auto"/>
        <w:ind w:left="1440"/>
        <w:rPr>
          <w:rFonts w:ascii="Trebuchet MS" w:hAnsi="Trebuchet MS"/>
          <w:b/>
          <w:i/>
          <w:sz w:val="22"/>
          <w:szCs w:val="22"/>
        </w:rPr>
      </w:pPr>
    </w:p>
    <w:p w:rsidR="000F7069" w:rsidRDefault="000F7069">
      <w:pPr>
        <w:pStyle w:val="Heading1"/>
        <w:jc w:val="center"/>
      </w:pPr>
      <w:bookmarkStart w:id="30" w:name="_Toc411603920"/>
      <w:r>
        <w:lastRenderedPageBreak/>
        <w:t>: Estimation of Fixed Cost</w:t>
      </w:r>
      <w:bookmarkEnd w:id="30"/>
    </w:p>
    <w:p w:rsidR="000F7069" w:rsidRPr="00170F38" w:rsidRDefault="000F7069">
      <w:pPr>
        <w:pStyle w:val="StyleHeading216ptJustifiedLinespacing15lines"/>
        <w:numPr>
          <w:ilvl w:val="0"/>
          <w:numId w:val="0"/>
        </w:numPr>
        <w:rPr>
          <w:color w:val="000080"/>
          <w:sz w:val="14"/>
        </w:rPr>
      </w:pPr>
    </w:p>
    <w:p w:rsidR="000F7069" w:rsidRDefault="000F7069">
      <w:pPr>
        <w:pStyle w:val="StyleHeading216ptJustifiedLinespacing15lines"/>
        <w:numPr>
          <w:ilvl w:val="0"/>
          <w:numId w:val="0"/>
        </w:numPr>
        <w:rPr>
          <w:color w:val="000080"/>
        </w:rPr>
      </w:pPr>
      <w:bookmarkStart w:id="31" w:name="_Toc411603921"/>
      <w:r>
        <w:rPr>
          <w:color w:val="000080"/>
        </w:rPr>
        <w:t>4.1      Parameters for Fixed Cost</w:t>
      </w:r>
      <w:bookmarkEnd w:id="31"/>
    </w:p>
    <w:p w:rsidR="000F7069" w:rsidRDefault="000F7069">
      <w:pPr>
        <w:numPr>
          <w:ilvl w:val="0"/>
          <w:numId w:val="13"/>
        </w:numPr>
        <w:tabs>
          <w:tab w:val="left" w:pos="1080"/>
        </w:tabs>
        <w:rPr>
          <w:sz w:val="22"/>
          <w:szCs w:val="22"/>
        </w:rPr>
      </w:pPr>
      <w:r>
        <w:rPr>
          <w:sz w:val="22"/>
          <w:szCs w:val="22"/>
        </w:rPr>
        <w:t xml:space="preserve">Total fixed cost </w:t>
      </w:r>
      <w:r w:rsidR="00E07C4E">
        <w:rPr>
          <w:sz w:val="22"/>
          <w:szCs w:val="22"/>
        </w:rPr>
        <w:t>of</w:t>
      </w:r>
      <w:r>
        <w:rPr>
          <w:sz w:val="22"/>
          <w:szCs w:val="22"/>
        </w:rPr>
        <w:t xml:space="preserve"> PP</w:t>
      </w:r>
      <w:r w:rsidR="007B0CF1">
        <w:rPr>
          <w:sz w:val="22"/>
          <w:szCs w:val="22"/>
        </w:rPr>
        <w:t>S-I</w:t>
      </w:r>
      <w:r>
        <w:rPr>
          <w:sz w:val="22"/>
          <w:szCs w:val="22"/>
        </w:rPr>
        <w:t xml:space="preserve"> </w:t>
      </w:r>
      <w:r w:rsidR="001A0192">
        <w:rPr>
          <w:sz w:val="22"/>
          <w:szCs w:val="22"/>
        </w:rPr>
        <w:t>for</w:t>
      </w:r>
      <w:r w:rsidR="007B0CF1">
        <w:rPr>
          <w:sz w:val="22"/>
          <w:szCs w:val="22"/>
        </w:rPr>
        <w:t xml:space="preserve"> the period </w:t>
      </w:r>
      <w:r>
        <w:rPr>
          <w:sz w:val="22"/>
          <w:szCs w:val="22"/>
        </w:rPr>
        <w:t xml:space="preserve">FY </w:t>
      </w:r>
      <w:r w:rsidR="005140F8">
        <w:rPr>
          <w:sz w:val="22"/>
          <w:szCs w:val="22"/>
        </w:rPr>
        <w:t>2012-13, 2013-14</w:t>
      </w:r>
      <w:r w:rsidR="004F455A">
        <w:rPr>
          <w:sz w:val="22"/>
          <w:szCs w:val="22"/>
        </w:rPr>
        <w:t xml:space="preserve"> &amp; FY 201</w:t>
      </w:r>
      <w:r w:rsidR="005140F8">
        <w:rPr>
          <w:sz w:val="22"/>
          <w:szCs w:val="22"/>
        </w:rPr>
        <w:t>4-15 (Provisional)</w:t>
      </w:r>
      <w:r w:rsidR="00536269">
        <w:rPr>
          <w:sz w:val="22"/>
          <w:szCs w:val="22"/>
        </w:rPr>
        <w:t xml:space="preserve"> is</w:t>
      </w:r>
      <w:r w:rsidR="007B0CF1">
        <w:rPr>
          <w:sz w:val="22"/>
          <w:szCs w:val="22"/>
        </w:rPr>
        <w:t xml:space="preserve"> based on actual audited accounts</w:t>
      </w:r>
      <w:r w:rsidR="00536269">
        <w:rPr>
          <w:sz w:val="22"/>
          <w:szCs w:val="22"/>
        </w:rPr>
        <w:t>, FY</w:t>
      </w:r>
      <w:r w:rsidR="00BD5C4D">
        <w:rPr>
          <w:sz w:val="22"/>
          <w:szCs w:val="22"/>
        </w:rPr>
        <w:t xml:space="preserve"> </w:t>
      </w:r>
      <w:r w:rsidR="00DE02E9">
        <w:rPr>
          <w:sz w:val="22"/>
          <w:szCs w:val="22"/>
        </w:rPr>
        <w:t>2014-15</w:t>
      </w:r>
      <w:r w:rsidR="00E72187">
        <w:rPr>
          <w:sz w:val="22"/>
          <w:szCs w:val="22"/>
        </w:rPr>
        <w:t xml:space="preserve"> </w:t>
      </w:r>
      <w:r w:rsidR="00506B56">
        <w:rPr>
          <w:sz w:val="22"/>
          <w:szCs w:val="22"/>
        </w:rPr>
        <w:t>is</w:t>
      </w:r>
      <w:r w:rsidR="007B0CF1">
        <w:rPr>
          <w:sz w:val="22"/>
          <w:szCs w:val="22"/>
        </w:rPr>
        <w:t xml:space="preserve"> based on provisional </w:t>
      </w:r>
      <w:r w:rsidR="007B0CF1" w:rsidRPr="00CB1A8C">
        <w:rPr>
          <w:sz w:val="22"/>
          <w:szCs w:val="22"/>
        </w:rPr>
        <w:t>accounts</w:t>
      </w:r>
      <w:r w:rsidR="00DE02E9" w:rsidRPr="00CB1A8C">
        <w:rPr>
          <w:sz w:val="22"/>
          <w:szCs w:val="22"/>
        </w:rPr>
        <w:t xml:space="preserve"> up to December, 2014</w:t>
      </w:r>
      <w:r w:rsidR="00CB1A8C" w:rsidRPr="00CB1A8C">
        <w:rPr>
          <w:sz w:val="22"/>
          <w:szCs w:val="22"/>
        </w:rPr>
        <w:t xml:space="preserve"> and pro rata projections thereof</w:t>
      </w:r>
      <w:r w:rsidR="007B0CF1">
        <w:rPr>
          <w:sz w:val="22"/>
          <w:szCs w:val="22"/>
        </w:rPr>
        <w:t xml:space="preserve"> </w:t>
      </w:r>
      <w:r>
        <w:rPr>
          <w:sz w:val="22"/>
          <w:szCs w:val="22"/>
        </w:rPr>
        <w:t xml:space="preserve">and </w:t>
      </w:r>
      <w:r w:rsidR="007B0CF1">
        <w:rPr>
          <w:sz w:val="22"/>
          <w:szCs w:val="22"/>
        </w:rPr>
        <w:t xml:space="preserve">FY </w:t>
      </w:r>
      <w:r w:rsidR="00DE02E9">
        <w:rPr>
          <w:sz w:val="22"/>
          <w:szCs w:val="22"/>
        </w:rPr>
        <w:t>2015-16</w:t>
      </w:r>
      <w:r w:rsidR="007B0CF1">
        <w:rPr>
          <w:sz w:val="22"/>
          <w:szCs w:val="22"/>
        </w:rPr>
        <w:t xml:space="preserve"> </w:t>
      </w:r>
      <w:r w:rsidR="00506B56">
        <w:rPr>
          <w:sz w:val="22"/>
          <w:szCs w:val="22"/>
        </w:rPr>
        <w:t>is based on estimation</w:t>
      </w:r>
      <w:r>
        <w:rPr>
          <w:sz w:val="22"/>
          <w:szCs w:val="22"/>
        </w:rPr>
        <w:t>.</w:t>
      </w:r>
    </w:p>
    <w:p w:rsidR="000F7069" w:rsidRPr="00170F38" w:rsidRDefault="000F7069">
      <w:pPr>
        <w:tabs>
          <w:tab w:val="left" w:pos="900"/>
          <w:tab w:val="left" w:pos="1080"/>
        </w:tabs>
        <w:ind w:left="540"/>
        <w:rPr>
          <w:sz w:val="14"/>
          <w:szCs w:val="22"/>
        </w:rPr>
      </w:pPr>
    </w:p>
    <w:p w:rsidR="000F7069" w:rsidRDefault="000F7069" w:rsidP="004F455A">
      <w:pPr>
        <w:numPr>
          <w:ilvl w:val="0"/>
          <w:numId w:val="13"/>
        </w:numPr>
        <w:tabs>
          <w:tab w:val="left" w:pos="900"/>
          <w:tab w:val="left" w:pos="1080"/>
        </w:tabs>
        <w:rPr>
          <w:sz w:val="22"/>
          <w:szCs w:val="22"/>
        </w:rPr>
      </w:pPr>
      <w:r>
        <w:rPr>
          <w:sz w:val="22"/>
          <w:szCs w:val="22"/>
        </w:rPr>
        <w:t xml:space="preserve">Fixed cost calculations </w:t>
      </w:r>
      <w:r w:rsidR="00CE5A56">
        <w:rPr>
          <w:sz w:val="22"/>
          <w:szCs w:val="22"/>
        </w:rPr>
        <w:t xml:space="preserve">include the </w:t>
      </w:r>
      <w:r>
        <w:rPr>
          <w:sz w:val="22"/>
          <w:szCs w:val="22"/>
        </w:rPr>
        <w:t xml:space="preserve"> following </w:t>
      </w:r>
      <w:r w:rsidR="006965A2">
        <w:rPr>
          <w:sz w:val="22"/>
          <w:szCs w:val="22"/>
        </w:rPr>
        <w:t>components</w:t>
      </w:r>
      <w:r>
        <w:rPr>
          <w:sz w:val="22"/>
          <w:szCs w:val="22"/>
        </w:rPr>
        <w:t>:</w:t>
      </w:r>
    </w:p>
    <w:p w:rsidR="000F7069" w:rsidRDefault="000F7069" w:rsidP="004267DD">
      <w:pPr>
        <w:numPr>
          <w:ilvl w:val="0"/>
          <w:numId w:val="6"/>
        </w:numPr>
        <w:tabs>
          <w:tab w:val="clear" w:pos="360"/>
        </w:tabs>
        <w:ind w:left="900" w:firstLine="0"/>
        <w:rPr>
          <w:sz w:val="22"/>
          <w:szCs w:val="22"/>
        </w:rPr>
      </w:pPr>
      <w:r>
        <w:rPr>
          <w:sz w:val="22"/>
          <w:szCs w:val="22"/>
        </w:rPr>
        <w:t>Operation &amp; Maintenance Expenses</w:t>
      </w:r>
    </w:p>
    <w:p w:rsidR="000F7069" w:rsidRDefault="000F7069" w:rsidP="004267DD">
      <w:pPr>
        <w:numPr>
          <w:ilvl w:val="0"/>
          <w:numId w:val="6"/>
        </w:numPr>
        <w:tabs>
          <w:tab w:val="clear" w:pos="360"/>
        </w:tabs>
        <w:ind w:left="900" w:firstLine="0"/>
        <w:rPr>
          <w:sz w:val="22"/>
          <w:szCs w:val="22"/>
        </w:rPr>
      </w:pPr>
      <w:r>
        <w:rPr>
          <w:sz w:val="22"/>
          <w:szCs w:val="22"/>
        </w:rPr>
        <w:t xml:space="preserve">Interest on loan </w:t>
      </w:r>
    </w:p>
    <w:p w:rsidR="000F7069" w:rsidRDefault="000F7069" w:rsidP="004267DD">
      <w:pPr>
        <w:numPr>
          <w:ilvl w:val="0"/>
          <w:numId w:val="6"/>
        </w:numPr>
        <w:tabs>
          <w:tab w:val="clear" w:pos="360"/>
        </w:tabs>
        <w:ind w:left="900" w:firstLine="0"/>
        <w:rPr>
          <w:sz w:val="22"/>
          <w:szCs w:val="22"/>
        </w:rPr>
      </w:pPr>
      <w:r>
        <w:rPr>
          <w:sz w:val="22"/>
          <w:szCs w:val="22"/>
        </w:rPr>
        <w:t>Depreciation</w:t>
      </w:r>
    </w:p>
    <w:p w:rsidR="00E72187" w:rsidRDefault="00E72187" w:rsidP="004267DD">
      <w:pPr>
        <w:numPr>
          <w:ilvl w:val="0"/>
          <w:numId w:val="6"/>
        </w:numPr>
        <w:tabs>
          <w:tab w:val="clear" w:pos="360"/>
        </w:tabs>
        <w:ind w:left="900" w:firstLine="0"/>
        <w:rPr>
          <w:sz w:val="22"/>
          <w:szCs w:val="22"/>
        </w:rPr>
      </w:pPr>
      <w:r>
        <w:rPr>
          <w:sz w:val="22"/>
          <w:szCs w:val="22"/>
        </w:rPr>
        <w:t>Advance against Depreciation</w:t>
      </w:r>
    </w:p>
    <w:p w:rsidR="000F7069" w:rsidRDefault="000F7069" w:rsidP="004267DD">
      <w:pPr>
        <w:numPr>
          <w:ilvl w:val="0"/>
          <w:numId w:val="6"/>
        </w:numPr>
        <w:tabs>
          <w:tab w:val="clear" w:pos="360"/>
        </w:tabs>
        <w:ind w:left="900" w:firstLine="0"/>
        <w:rPr>
          <w:sz w:val="22"/>
          <w:szCs w:val="22"/>
        </w:rPr>
      </w:pPr>
      <w:r>
        <w:rPr>
          <w:sz w:val="22"/>
          <w:szCs w:val="22"/>
        </w:rPr>
        <w:t>Return on Equity</w:t>
      </w:r>
    </w:p>
    <w:p w:rsidR="000F7069" w:rsidRDefault="000F7069" w:rsidP="004267DD">
      <w:pPr>
        <w:numPr>
          <w:ilvl w:val="0"/>
          <w:numId w:val="6"/>
        </w:numPr>
        <w:tabs>
          <w:tab w:val="clear" w:pos="360"/>
        </w:tabs>
        <w:ind w:left="900" w:firstLine="0"/>
        <w:rPr>
          <w:sz w:val="22"/>
          <w:szCs w:val="22"/>
        </w:rPr>
      </w:pPr>
      <w:r>
        <w:rPr>
          <w:sz w:val="22"/>
          <w:szCs w:val="22"/>
        </w:rPr>
        <w:t>Interest on Working Capital</w:t>
      </w:r>
    </w:p>
    <w:p w:rsidR="000F7069" w:rsidRPr="00170F38" w:rsidRDefault="000F7069">
      <w:pPr>
        <w:rPr>
          <w:sz w:val="14"/>
          <w:szCs w:val="22"/>
        </w:rPr>
      </w:pPr>
    </w:p>
    <w:p w:rsidR="000F7069" w:rsidRDefault="000F7069">
      <w:pPr>
        <w:pStyle w:val="StyleHeading216ptJustifiedLinespacing15lines"/>
        <w:numPr>
          <w:ilvl w:val="0"/>
          <w:numId w:val="0"/>
        </w:numPr>
        <w:rPr>
          <w:color w:val="000080"/>
        </w:rPr>
      </w:pPr>
      <w:bookmarkStart w:id="32" w:name="_Toc411603922"/>
      <w:r>
        <w:rPr>
          <w:color w:val="000080"/>
        </w:rPr>
        <w:t>4.2</w:t>
      </w:r>
      <w:r>
        <w:rPr>
          <w:color w:val="000080"/>
        </w:rPr>
        <w:tab/>
        <w:t>Operation and Maintenance Expenses</w:t>
      </w:r>
      <w:bookmarkEnd w:id="32"/>
    </w:p>
    <w:p w:rsidR="009579D5" w:rsidRDefault="004B1456" w:rsidP="004E63FB">
      <w:pPr>
        <w:ind w:left="720"/>
        <w:rPr>
          <w:sz w:val="22"/>
          <w:szCs w:val="22"/>
        </w:rPr>
      </w:pPr>
      <w:r>
        <w:rPr>
          <w:sz w:val="22"/>
          <w:szCs w:val="22"/>
        </w:rPr>
        <w:t xml:space="preserve">The Hon’ble Commission </w:t>
      </w:r>
      <w:r w:rsidR="00E431B8">
        <w:rPr>
          <w:sz w:val="22"/>
          <w:szCs w:val="22"/>
        </w:rPr>
        <w:t>in its Generation Tariff Regulations</w:t>
      </w:r>
      <w:r w:rsidR="007D2C34">
        <w:rPr>
          <w:sz w:val="22"/>
          <w:szCs w:val="22"/>
        </w:rPr>
        <w:t>, 2011</w:t>
      </w:r>
      <w:r w:rsidR="00E431B8">
        <w:rPr>
          <w:sz w:val="22"/>
          <w:szCs w:val="22"/>
        </w:rPr>
        <w:t xml:space="preserve"> </w:t>
      </w:r>
      <w:r>
        <w:rPr>
          <w:sz w:val="22"/>
          <w:szCs w:val="22"/>
        </w:rPr>
        <w:t>has</w:t>
      </w:r>
      <w:r w:rsidR="007D2C34">
        <w:rPr>
          <w:sz w:val="22"/>
          <w:szCs w:val="22"/>
        </w:rPr>
        <w:t xml:space="preserve"> </w:t>
      </w:r>
      <w:r w:rsidR="00E431B8">
        <w:rPr>
          <w:sz w:val="22"/>
          <w:szCs w:val="22"/>
        </w:rPr>
        <w:t xml:space="preserve">considered the Operation and Maintenance expenses as under: </w:t>
      </w:r>
      <w:r>
        <w:rPr>
          <w:sz w:val="22"/>
          <w:szCs w:val="22"/>
        </w:rPr>
        <w:t xml:space="preserve"> </w:t>
      </w:r>
    </w:p>
    <w:p w:rsidR="00A55067" w:rsidRPr="004E63FB" w:rsidRDefault="00E431B8"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w:t>
      </w:r>
      <w:r w:rsidR="00A55067" w:rsidRPr="004E63FB">
        <w:rPr>
          <w:rFonts w:ascii="Trebuchet MS" w:hAnsi="Trebuchet MS"/>
          <w:b/>
          <w:i/>
          <w:sz w:val="22"/>
          <w:szCs w:val="22"/>
        </w:rPr>
        <w:t>Operation and Maintenance Expenses</w:t>
      </w:r>
    </w:p>
    <w:p w:rsidR="00A55067" w:rsidRPr="004E63FB" w:rsidRDefault="00A55067" w:rsidP="00480AF2">
      <w:pPr>
        <w:autoSpaceDE w:val="0"/>
        <w:autoSpaceDN w:val="0"/>
        <w:adjustRightInd w:val="0"/>
        <w:ind w:left="720"/>
        <w:rPr>
          <w:rFonts w:ascii="Trebuchet MS" w:hAnsi="Trebuchet MS"/>
          <w:b/>
          <w:i/>
          <w:sz w:val="22"/>
          <w:szCs w:val="22"/>
        </w:rPr>
      </w:pPr>
      <w:r w:rsidRPr="004E63FB">
        <w:rPr>
          <w:rFonts w:ascii="Trebuchet MS" w:hAnsi="Trebuchet MS"/>
          <w:b/>
          <w:i/>
          <w:sz w:val="22"/>
          <w:szCs w:val="22"/>
        </w:rPr>
        <w:t>6.39 Normative Operation and Maintenance (O&amp;M) expenses shall comprise the following:</w:t>
      </w:r>
    </w:p>
    <w:p w:rsidR="00A55067" w:rsidRPr="004E63FB" w:rsidRDefault="00A55067" w:rsidP="00480AF2">
      <w:pPr>
        <w:autoSpaceDE w:val="0"/>
        <w:autoSpaceDN w:val="0"/>
        <w:adjustRightInd w:val="0"/>
        <w:ind w:firstLine="720"/>
        <w:rPr>
          <w:rFonts w:ascii="Trebuchet MS" w:hAnsi="Trebuchet MS"/>
          <w:b/>
          <w:i/>
          <w:sz w:val="22"/>
          <w:szCs w:val="22"/>
        </w:rPr>
      </w:pPr>
      <w:r w:rsidRPr="004E63FB">
        <w:rPr>
          <w:rFonts w:ascii="Trebuchet MS" w:hAnsi="Trebuchet MS"/>
          <w:b/>
          <w:i/>
          <w:sz w:val="22"/>
          <w:szCs w:val="22"/>
        </w:rPr>
        <w:t>(a)</w:t>
      </w:r>
      <w:r w:rsidR="008B195F" w:rsidRPr="004E63FB">
        <w:rPr>
          <w:rFonts w:ascii="Trebuchet MS" w:hAnsi="Trebuchet MS"/>
          <w:b/>
          <w:i/>
          <w:sz w:val="22"/>
          <w:szCs w:val="22"/>
        </w:rPr>
        <w:t xml:space="preserve"> </w:t>
      </w:r>
      <w:r w:rsidRPr="004E63FB">
        <w:rPr>
          <w:rFonts w:ascii="Trebuchet MS" w:hAnsi="Trebuchet MS"/>
          <w:b/>
          <w:i/>
          <w:sz w:val="22"/>
          <w:szCs w:val="22"/>
        </w:rPr>
        <w:t xml:space="preserve"> Salaries, wages, pension contribution and other employee costs;</w:t>
      </w:r>
    </w:p>
    <w:p w:rsidR="00A55067" w:rsidRPr="004E63FB" w:rsidRDefault="00A55067" w:rsidP="00480AF2">
      <w:pPr>
        <w:autoSpaceDE w:val="0"/>
        <w:autoSpaceDN w:val="0"/>
        <w:adjustRightInd w:val="0"/>
        <w:ind w:firstLine="720"/>
        <w:rPr>
          <w:rFonts w:ascii="Trebuchet MS" w:hAnsi="Trebuchet MS"/>
          <w:b/>
          <w:i/>
          <w:sz w:val="22"/>
          <w:szCs w:val="22"/>
        </w:rPr>
      </w:pPr>
      <w:r w:rsidRPr="004E63FB">
        <w:rPr>
          <w:rFonts w:ascii="Trebuchet MS" w:hAnsi="Trebuchet MS"/>
          <w:b/>
          <w:i/>
          <w:sz w:val="22"/>
          <w:szCs w:val="22"/>
        </w:rPr>
        <w:t>(b)</w:t>
      </w:r>
      <w:r w:rsidR="008B195F" w:rsidRPr="004E63FB">
        <w:rPr>
          <w:rFonts w:ascii="Trebuchet MS" w:hAnsi="Trebuchet MS"/>
          <w:b/>
          <w:i/>
          <w:sz w:val="22"/>
          <w:szCs w:val="22"/>
        </w:rPr>
        <w:t xml:space="preserve"> </w:t>
      </w:r>
      <w:r w:rsidRPr="004E63FB">
        <w:rPr>
          <w:rFonts w:ascii="Trebuchet MS" w:hAnsi="Trebuchet MS"/>
          <w:b/>
          <w:i/>
          <w:sz w:val="22"/>
          <w:szCs w:val="22"/>
        </w:rPr>
        <w:t xml:space="preserve"> Administrative and General costs;</w:t>
      </w:r>
    </w:p>
    <w:p w:rsidR="00A55067" w:rsidRPr="004E63FB" w:rsidRDefault="00A55067" w:rsidP="00480AF2">
      <w:pPr>
        <w:autoSpaceDE w:val="0"/>
        <w:autoSpaceDN w:val="0"/>
        <w:adjustRightInd w:val="0"/>
        <w:ind w:firstLine="720"/>
        <w:rPr>
          <w:rFonts w:ascii="Trebuchet MS" w:hAnsi="Trebuchet MS"/>
          <w:b/>
          <w:i/>
          <w:sz w:val="22"/>
          <w:szCs w:val="22"/>
        </w:rPr>
      </w:pPr>
      <w:r w:rsidRPr="004E63FB">
        <w:rPr>
          <w:rFonts w:ascii="Trebuchet MS" w:hAnsi="Trebuchet MS"/>
          <w:b/>
          <w:i/>
          <w:sz w:val="22"/>
          <w:szCs w:val="22"/>
        </w:rPr>
        <w:t xml:space="preserve">(c) </w:t>
      </w:r>
      <w:r w:rsidR="008B195F" w:rsidRPr="004E63FB">
        <w:rPr>
          <w:rFonts w:ascii="Trebuchet MS" w:hAnsi="Trebuchet MS"/>
          <w:b/>
          <w:i/>
          <w:sz w:val="22"/>
          <w:szCs w:val="22"/>
        </w:rPr>
        <w:t xml:space="preserve"> </w:t>
      </w:r>
      <w:r w:rsidRPr="004E63FB">
        <w:rPr>
          <w:rFonts w:ascii="Trebuchet MS" w:hAnsi="Trebuchet MS"/>
          <w:b/>
          <w:i/>
          <w:sz w:val="22"/>
          <w:szCs w:val="22"/>
        </w:rPr>
        <w:t>Repairs and maintenance; and</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(d)</w:t>
      </w:r>
      <w:r w:rsidR="008B195F" w:rsidRPr="004E63FB">
        <w:rPr>
          <w:rFonts w:ascii="Trebuchet MS" w:hAnsi="Trebuchet MS"/>
          <w:b/>
          <w:i/>
          <w:sz w:val="22"/>
          <w:szCs w:val="22"/>
        </w:rPr>
        <w:t xml:space="preserve"> </w:t>
      </w:r>
      <w:r w:rsidRPr="004E63FB">
        <w:rPr>
          <w:rFonts w:ascii="Trebuchet MS" w:hAnsi="Trebuchet MS"/>
          <w:b/>
          <w:i/>
          <w:sz w:val="22"/>
          <w:szCs w:val="22"/>
        </w:rPr>
        <w:t xml:space="preserve"> Other miscellaneous expenses.</w:t>
      </w:r>
    </w:p>
    <w:p w:rsidR="00A55067" w:rsidRPr="004E63FB" w:rsidRDefault="00A55067" w:rsidP="00480AF2">
      <w:pPr>
        <w:autoSpaceDE w:val="0"/>
        <w:autoSpaceDN w:val="0"/>
        <w:adjustRightInd w:val="0"/>
        <w:ind w:left="720"/>
        <w:rPr>
          <w:rFonts w:ascii="Trebuchet MS" w:hAnsi="Trebuchet MS"/>
          <w:b/>
          <w:i/>
          <w:sz w:val="22"/>
          <w:szCs w:val="22"/>
        </w:rPr>
      </w:pPr>
      <w:r w:rsidRPr="004E63FB">
        <w:rPr>
          <w:rFonts w:ascii="Trebuchet MS" w:hAnsi="Trebuchet MS"/>
          <w:b/>
          <w:i/>
          <w:sz w:val="22"/>
          <w:szCs w:val="22"/>
        </w:rPr>
        <w:t xml:space="preserve">6.40 </w:t>
      </w:r>
      <w:r w:rsidR="008B195F" w:rsidRPr="004E63FB">
        <w:rPr>
          <w:rFonts w:ascii="Trebuchet MS" w:hAnsi="Trebuchet MS"/>
          <w:b/>
          <w:i/>
          <w:sz w:val="22"/>
          <w:szCs w:val="22"/>
        </w:rPr>
        <w:t xml:space="preserve"> </w:t>
      </w:r>
      <w:r w:rsidRPr="004E63FB">
        <w:rPr>
          <w:rFonts w:ascii="Trebuchet MS" w:hAnsi="Trebuchet MS"/>
          <w:b/>
          <w:i/>
          <w:sz w:val="22"/>
          <w:szCs w:val="22"/>
        </w:rPr>
        <w:t>Existing Generating Stations: O&amp;M expenses permissible towards ARR for each year of the Control Period shall be determined using the formula detailed below:</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O&amp;Mn = (R&amp;Mn + EMPn + A&amp;Gn) * (1 – Xn)</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Where,</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R&amp;Mn = K * GFAn-1;</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EMPn + A&amp;Gn = (EMPn-1 + A&amp;Gn-1) * (INDX); and</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INDX = 0.55 * CPI + 0.45 * WPI</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EMPn – Employee Costs of the Licensee for the nth year;</w:t>
      </w:r>
    </w:p>
    <w:p w:rsidR="00A55067" w:rsidRPr="004E63FB" w:rsidRDefault="00A55067" w:rsidP="004B1456">
      <w:pPr>
        <w:autoSpaceDE w:val="0"/>
        <w:autoSpaceDN w:val="0"/>
        <w:adjustRightInd w:val="0"/>
        <w:ind w:left="720"/>
        <w:jc w:val="left"/>
        <w:rPr>
          <w:rFonts w:ascii="Trebuchet MS" w:hAnsi="Trebuchet MS"/>
          <w:b/>
          <w:i/>
          <w:sz w:val="22"/>
          <w:szCs w:val="22"/>
        </w:rPr>
      </w:pPr>
      <w:r w:rsidRPr="004E63FB">
        <w:rPr>
          <w:rFonts w:ascii="Trebuchet MS" w:hAnsi="Trebuchet MS"/>
          <w:b/>
          <w:i/>
          <w:sz w:val="22"/>
          <w:szCs w:val="22"/>
        </w:rPr>
        <w:lastRenderedPageBreak/>
        <w:t>A&amp;Gn – Administrative and General Costs of the Licensee for the nth</w:t>
      </w:r>
      <w:r w:rsidR="004B1456" w:rsidRPr="004E63FB">
        <w:rPr>
          <w:rFonts w:ascii="Trebuchet MS" w:hAnsi="Trebuchet MS"/>
          <w:b/>
          <w:i/>
          <w:sz w:val="22"/>
          <w:szCs w:val="22"/>
        </w:rPr>
        <w:t xml:space="preserve"> </w:t>
      </w:r>
      <w:r w:rsidRPr="004E63FB">
        <w:rPr>
          <w:rFonts w:ascii="Trebuchet MS" w:hAnsi="Trebuchet MS"/>
          <w:b/>
          <w:i/>
          <w:sz w:val="22"/>
          <w:szCs w:val="22"/>
        </w:rPr>
        <w:t>year;</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R&amp;Mn – Repair and Maintenance Costs of the Licensee for the nth year;</w:t>
      </w:r>
    </w:p>
    <w:p w:rsidR="004B1456" w:rsidRPr="004E63FB" w:rsidRDefault="004B1456" w:rsidP="00480AF2">
      <w:pPr>
        <w:autoSpaceDE w:val="0"/>
        <w:autoSpaceDN w:val="0"/>
        <w:adjustRightInd w:val="0"/>
        <w:ind w:firstLine="720"/>
        <w:jc w:val="left"/>
        <w:rPr>
          <w:rFonts w:ascii="Trebuchet MS" w:hAnsi="Trebuchet MS"/>
          <w:b/>
          <w:i/>
          <w:sz w:val="22"/>
          <w:szCs w:val="22"/>
        </w:rPr>
      </w:pPr>
    </w:p>
    <w:p w:rsidR="00A55067" w:rsidRPr="004E63FB" w:rsidRDefault="00A55067" w:rsidP="00480AF2">
      <w:pPr>
        <w:autoSpaceDE w:val="0"/>
        <w:autoSpaceDN w:val="0"/>
        <w:adjustRightInd w:val="0"/>
        <w:ind w:left="720"/>
        <w:rPr>
          <w:rFonts w:ascii="Trebuchet MS" w:hAnsi="Trebuchet MS"/>
          <w:b/>
          <w:i/>
          <w:sz w:val="22"/>
          <w:szCs w:val="22"/>
        </w:rPr>
      </w:pPr>
      <w:r w:rsidRPr="004E63FB">
        <w:rPr>
          <w:rFonts w:ascii="Trebuchet MS" w:hAnsi="Trebuchet MS"/>
          <w:b/>
          <w:i/>
          <w:sz w:val="22"/>
          <w:szCs w:val="22"/>
        </w:rPr>
        <w:t>Xn is an efficiency factor for nth year. Value of Xn shall be determined by the Commission in the MYT Tariff order based on Applicant</w:t>
      </w:r>
      <w:r w:rsidR="004B1456" w:rsidRPr="004E63FB">
        <w:rPr>
          <w:rFonts w:ascii="Trebuchet MS" w:hAnsi="Trebuchet MS"/>
          <w:b/>
          <w:i/>
          <w:sz w:val="22"/>
          <w:szCs w:val="22"/>
        </w:rPr>
        <w:t>’</w:t>
      </w:r>
      <w:r w:rsidRPr="004E63FB">
        <w:rPr>
          <w:rFonts w:ascii="Trebuchet MS" w:hAnsi="Trebuchet MS"/>
          <w:b/>
          <w:i/>
          <w:sz w:val="22"/>
          <w:szCs w:val="22"/>
        </w:rPr>
        <w:t xml:space="preserve">s </w:t>
      </w:r>
      <w:r w:rsidR="004B1456" w:rsidRPr="004E63FB">
        <w:rPr>
          <w:rFonts w:ascii="Trebuchet MS" w:hAnsi="Trebuchet MS"/>
          <w:b/>
          <w:i/>
          <w:sz w:val="22"/>
          <w:szCs w:val="22"/>
        </w:rPr>
        <w:t>filing,</w:t>
      </w:r>
      <w:r w:rsidRPr="004E63FB">
        <w:rPr>
          <w:rFonts w:ascii="Trebuchet MS" w:hAnsi="Trebuchet MS"/>
          <w:b/>
          <w:i/>
          <w:sz w:val="22"/>
          <w:szCs w:val="22"/>
        </w:rPr>
        <w:t xml:space="preserve"> benchmarking, approved cost by the Commission in past and any other factor the Commission feels appropriate.</w:t>
      </w:r>
    </w:p>
    <w:p w:rsidR="00A55067" w:rsidRPr="004E63FB" w:rsidRDefault="00A55067" w:rsidP="00480AF2">
      <w:pPr>
        <w:autoSpaceDE w:val="0"/>
        <w:autoSpaceDN w:val="0"/>
        <w:adjustRightInd w:val="0"/>
        <w:ind w:firstLine="720"/>
        <w:jc w:val="left"/>
        <w:rPr>
          <w:rFonts w:ascii="Trebuchet MS" w:hAnsi="Trebuchet MS"/>
          <w:b/>
          <w:i/>
          <w:sz w:val="22"/>
          <w:szCs w:val="22"/>
        </w:rPr>
      </w:pPr>
      <w:r w:rsidRPr="004E63FB">
        <w:rPr>
          <w:rFonts w:ascii="Trebuchet MS" w:hAnsi="Trebuchet MS"/>
          <w:b/>
          <w:i/>
          <w:sz w:val="22"/>
          <w:szCs w:val="22"/>
        </w:rPr>
        <w:t>Where,</w:t>
      </w:r>
    </w:p>
    <w:p w:rsidR="00A55067" w:rsidRPr="004E63FB" w:rsidRDefault="00A55067" w:rsidP="00480AF2">
      <w:pPr>
        <w:autoSpaceDE w:val="0"/>
        <w:autoSpaceDN w:val="0"/>
        <w:adjustRightInd w:val="0"/>
        <w:ind w:left="720"/>
        <w:rPr>
          <w:rFonts w:ascii="Trebuchet MS" w:hAnsi="Trebuchet MS"/>
          <w:b/>
          <w:i/>
          <w:sz w:val="22"/>
          <w:szCs w:val="22"/>
        </w:rPr>
      </w:pPr>
      <w:r w:rsidRPr="004E63FB">
        <w:rPr>
          <w:rFonts w:ascii="Trebuchet MS" w:hAnsi="Trebuchet MS"/>
          <w:b/>
          <w:i/>
          <w:sz w:val="22"/>
          <w:szCs w:val="22"/>
        </w:rPr>
        <w:t>„K is a constant (could be expressed in %). Value of K for each year of the Control Period shall be determined by the Commission in the MYT Tariff order based on Applicant’s filing, benchmarking, approved cost by the Commission in past and any other factor considered appropriate by the Commission;</w:t>
      </w:r>
    </w:p>
    <w:p w:rsidR="00A55067" w:rsidRPr="004E63FB" w:rsidRDefault="00A55067" w:rsidP="00480AF2">
      <w:pPr>
        <w:autoSpaceDE w:val="0"/>
        <w:autoSpaceDN w:val="0"/>
        <w:adjustRightInd w:val="0"/>
        <w:ind w:left="720"/>
        <w:rPr>
          <w:rFonts w:ascii="Trebuchet MS" w:hAnsi="Trebuchet MS"/>
          <w:b/>
          <w:i/>
          <w:sz w:val="22"/>
          <w:szCs w:val="22"/>
        </w:rPr>
      </w:pPr>
      <w:r w:rsidRPr="004E63FB">
        <w:rPr>
          <w:rFonts w:ascii="Trebuchet MS" w:hAnsi="Trebuchet MS"/>
          <w:b/>
          <w:i/>
          <w:sz w:val="22"/>
          <w:szCs w:val="22"/>
        </w:rPr>
        <w:t>INDX - Inflation Factor to be used for indexing. Value of INDX shall be a combination of the Consumer Price Index (CPI) and the Wholesale Price Index (WPI) for immediately preceding five years before the base year;</w:t>
      </w:r>
      <w:r w:rsidR="00E431B8" w:rsidRPr="004E63FB">
        <w:rPr>
          <w:rFonts w:ascii="Trebuchet MS" w:hAnsi="Trebuchet MS"/>
          <w:b/>
          <w:i/>
          <w:sz w:val="22"/>
          <w:szCs w:val="22"/>
        </w:rPr>
        <w:t>”</w:t>
      </w:r>
    </w:p>
    <w:p w:rsidR="007736D7" w:rsidRPr="00170F38" w:rsidRDefault="007736D7" w:rsidP="00480AF2">
      <w:pPr>
        <w:autoSpaceDE w:val="0"/>
        <w:autoSpaceDN w:val="0"/>
        <w:adjustRightInd w:val="0"/>
        <w:ind w:left="720"/>
        <w:rPr>
          <w:sz w:val="14"/>
          <w:szCs w:val="22"/>
        </w:rPr>
      </w:pPr>
    </w:p>
    <w:p w:rsidR="006B4A61" w:rsidRDefault="007736D7" w:rsidP="00480AF2">
      <w:pPr>
        <w:autoSpaceDE w:val="0"/>
        <w:autoSpaceDN w:val="0"/>
        <w:adjustRightInd w:val="0"/>
        <w:ind w:left="720"/>
        <w:rPr>
          <w:sz w:val="22"/>
          <w:szCs w:val="22"/>
        </w:rPr>
      </w:pPr>
      <w:r>
        <w:rPr>
          <w:sz w:val="22"/>
          <w:szCs w:val="22"/>
        </w:rPr>
        <w:t xml:space="preserve">As per the above definition, the base Year </w:t>
      </w:r>
      <w:r w:rsidR="00CD0E47">
        <w:rPr>
          <w:sz w:val="22"/>
          <w:szCs w:val="22"/>
        </w:rPr>
        <w:t xml:space="preserve">for MYT period FY 2012-13 to 2014-15 was taken </w:t>
      </w:r>
      <w:r w:rsidR="003B068F">
        <w:rPr>
          <w:sz w:val="22"/>
          <w:szCs w:val="22"/>
        </w:rPr>
        <w:t>as FY</w:t>
      </w:r>
      <w:r>
        <w:rPr>
          <w:sz w:val="22"/>
          <w:szCs w:val="22"/>
        </w:rPr>
        <w:t xml:space="preserve"> 2011-12 and the INDEX in the preceding five year</w:t>
      </w:r>
      <w:r w:rsidR="002320C2">
        <w:rPr>
          <w:sz w:val="22"/>
          <w:szCs w:val="22"/>
        </w:rPr>
        <w:t>s</w:t>
      </w:r>
      <w:r>
        <w:rPr>
          <w:sz w:val="22"/>
          <w:szCs w:val="22"/>
        </w:rPr>
        <w:t xml:space="preserve"> </w:t>
      </w:r>
      <w:r w:rsidR="00CD0E47">
        <w:rPr>
          <w:sz w:val="22"/>
          <w:szCs w:val="22"/>
        </w:rPr>
        <w:t>was</w:t>
      </w:r>
      <w:r>
        <w:rPr>
          <w:sz w:val="22"/>
          <w:szCs w:val="22"/>
        </w:rPr>
        <w:t xml:space="preserve"> computed as </w:t>
      </w:r>
      <w:r w:rsidR="005303E7">
        <w:rPr>
          <w:sz w:val="22"/>
          <w:szCs w:val="22"/>
        </w:rPr>
        <w:t>7.91</w:t>
      </w:r>
      <w:r>
        <w:rPr>
          <w:sz w:val="22"/>
          <w:szCs w:val="22"/>
        </w:rPr>
        <w:t xml:space="preserve">%. </w:t>
      </w:r>
      <w:r w:rsidR="00810AA4">
        <w:rPr>
          <w:sz w:val="22"/>
          <w:szCs w:val="22"/>
        </w:rPr>
        <w:t xml:space="preserve"> Accordingly, base year for tariff petition for FY 2015-16 </w:t>
      </w:r>
      <w:r w:rsidR="00FE0D6E">
        <w:rPr>
          <w:sz w:val="22"/>
          <w:szCs w:val="22"/>
        </w:rPr>
        <w:t>and t</w:t>
      </w:r>
      <w:r>
        <w:rPr>
          <w:sz w:val="22"/>
          <w:szCs w:val="22"/>
        </w:rPr>
        <w:t xml:space="preserve">he computation of the Index is </w:t>
      </w:r>
      <w:r w:rsidR="002320C2">
        <w:rPr>
          <w:sz w:val="22"/>
          <w:szCs w:val="22"/>
        </w:rPr>
        <w:t>as under</w:t>
      </w:r>
      <w:r w:rsidR="00472920">
        <w:rPr>
          <w:sz w:val="22"/>
          <w:szCs w:val="22"/>
        </w:rPr>
        <w:t>:-</w:t>
      </w:r>
      <w:r>
        <w:rPr>
          <w:sz w:val="22"/>
          <w:szCs w:val="22"/>
        </w:rPr>
        <w:t xml:space="preserve">  </w:t>
      </w:r>
    </w:p>
    <w:p w:rsidR="00293EE2" w:rsidRPr="00170F38" w:rsidRDefault="00C87BE8" w:rsidP="00170F38">
      <w:pPr>
        <w:pStyle w:val="Caption"/>
        <w:jc w:val="center"/>
      </w:pPr>
      <w:bookmarkStart w:id="33" w:name="_Toc411525183"/>
      <w:r>
        <w:t xml:space="preserve">Table </w:t>
      </w:r>
      <w:fldSimple w:instr=" SEQ Table \* ARABIC ">
        <w:r w:rsidR="000F406F">
          <w:rPr>
            <w:noProof/>
          </w:rPr>
          <w:t>8</w:t>
        </w:r>
      </w:fldSimple>
      <w:r>
        <w:t xml:space="preserve"> :</w:t>
      </w:r>
      <w:r w:rsidR="00293EE2" w:rsidRPr="00293EE2">
        <w:rPr>
          <w:sz w:val="20"/>
        </w:rPr>
        <w:t xml:space="preserve"> </w:t>
      </w:r>
      <w:r w:rsidR="00293EE2" w:rsidRPr="00170F38">
        <w:t>Computation of INDEX</w:t>
      </w:r>
      <w:bookmarkEnd w:id="3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320"/>
        <w:gridCol w:w="1626"/>
        <w:gridCol w:w="1634"/>
        <w:gridCol w:w="1622"/>
        <w:gridCol w:w="1628"/>
      </w:tblGrid>
      <w:tr w:rsidR="006B4A61" w:rsidRPr="00575F51" w:rsidTr="00575F51">
        <w:trPr>
          <w:trHeight w:val="517"/>
        </w:trPr>
        <w:tc>
          <w:tcPr>
            <w:tcW w:w="2320" w:type="dxa"/>
            <w:vMerge w:val="restart"/>
            <w:shd w:val="clear" w:color="auto" w:fill="000080"/>
            <w:vAlign w:val="center"/>
          </w:tcPr>
          <w:p w:rsidR="006B4A61" w:rsidRPr="00575F51" w:rsidRDefault="006B4A61" w:rsidP="00575F51">
            <w:pPr>
              <w:autoSpaceDE w:val="0"/>
              <w:autoSpaceDN w:val="0"/>
              <w:adjustRightInd w:val="0"/>
              <w:rPr>
                <w:b/>
                <w:bCs/>
                <w:sz w:val="22"/>
                <w:szCs w:val="22"/>
              </w:rPr>
            </w:pPr>
            <w:r w:rsidRPr="00575F51">
              <w:rPr>
                <w:b/>
                <w:bCs/>
                <w:sz w:val="22"/>
                <w:szCs w:val="22"/>
              </w:rPr>
              <w:t>Financial Year</w:t>
            </w:r>
          </w:p>
        </w:tc>
        <w:tc>
          <w:tcPr>
            <w:tcW w:w="3260" w:type="dxa"/>
            <w:gridSpan w:val="2"/>
            <w:shd w:val="clear" w:color="auto" w:fill="000080"/>
            <w:vAlign w:val="center"/>
          </w:tcPr>
          <w:p w:rsidR="006B4A61" w:rsidRPr="00575F51" w:rsidRDefault="006B4A61" w:rsidP="00575F51">
            <w:pPr>
              <w:autoSpaceDE w:val="0"/>
              <w:autoSpaceDN w:val="0"/>
              <w:adjustRightInd w:val="0"/>
              <w:jc w:val="center"/>
              <w:rPr>
                <w:b/>
                <w:bCs/>
                <w:sz w:val="22"/>
                <w:szCs w:val="22"/>
              </w:rPr>
            </w:pPr>
            <w:r w:rsidRPr="00575F51">
              <w:rPr>
                <w:b/>
                <w:bCs/>
                <w:sz w:val="22"/>
                <w:szCs w:val="22"/>
              </w:rPr>
              <w:t>Wholesale Price Index</w:t>
            </w:r>
          </w:p>
        </w:tc>
        <w:tc>
          <w:tcPr>
            <w:tcW w:w="3250" w:type="dxa"/>
            <w:gridSpan w:val="2"/>
            <w:shd w:val="clear" w:color="auto" w:fill="000080"/>
            <w:vAlign w:val="center"/>
          </w:tcPr>
          <w:p w:rsidR="006B4A61" w:rsidRPr="00575F51" w:rsidRDefault="006B4A61" w:rsidP="00575F51">
            <w:pPr>
              <w:autoSpaceDE w:val="0"/>
              <w:autoSpaceDN w:val="0"/>
              <w:adjustRightInd w:val="0"/>
              <w:jc w:val="center"/>
              <w:rPr>
                <w:b/>
                <w:bCs/>
                <w:sz w:val="22"/>
                <w:szCs w:val="22"/>
              </w:rPr>
            </w:pPr>
            <w:r w:rsidRPr="00575F51">
              <w:rPr>
                <w:b/>
                <w:bCs/>
                <w:sz w:val="22"/>
                <w:szCs w:val="22"/>
              </w:rPr>
              <w:t>Consumer Price Index</w:t>
            </w:r>
          </w:p>
        </w:tc>
      </w:tr>
      <w:tr w:rsidR="006B4A61" w:rsidRPr="00575F51" w:rsidTr="00575F51">
        <w:trPr>
          <w:trHeight w:val="533"/>
        </w:trPr>
        <w:tc>
          <w:tcPr>
            <w:tcW w:w="2320" w:type="dxa"/>
            <w:vMerge/>
            <w:shd w:val="clear" w:color="auto" w:fill="000080"/>
            <w:vAlign w:val="center"/>
          </w:tcPr>
          <w:p w:rsidR="006B4A61" w:rsidRPr="00575F51" w:rsidRDefault="006B4A61" w:rsidP="00575F51">
            <w:pPr>
              <w:autoSpaceDE w:val="0"/>
              <w:autoSpaceDN w:val="0"/>
              <w:adjustRightInd w:val="0"/>
              <w:rPr>
                <w:sz w:val="22"/>
                <w:szCs w:val="22"/>
              </w:rPr>
            </w:pPr>
          </w:p>
        </w:tc>
        <w:tc>
          <w:tcPr>
            <w:tcW w:w="1626" w:type="dxa"/>
            <w:shd w:val="clear" w:color="auto" w:fill="000080"/>
            <w:vAlign w:val="center"/>
          </w:tcPr>
          <w:p w:rsidR="006B4A61" w:rsidRPr="00575F51" w:rsidRDefault="006B4A61" w:rsidP="00575F51">
            <w:pPr>
              <w:autoSpaceDE w:val="0"/>
              <w:autoSpaceDN w:val="0"/>
              <w:adjustRightInd w:val="0"/>
              <w:jc w:val="center"/>
              <w:rPr>
                <w:sz w:val="22"/>
                <w:szCs w:val="22"/>
              </w:rPr>
            </w:pPr>
            <w:r w:rsidRPr="00575F51">
              <w:rPr>
                <w:sz w:val="22"/>
                <w:szCs w:val="22"/>
              </w:rPr>
              <w:t>Value</w:t>
            </w:r>
          </w:p>
        </w:tc>
        <w:tc>
          <w:tcPr>
            <w:tcW w:w="1634" w:type="dxa"/>
            <w:shd w:val="clear" w:color="auto" w:fill="000080"/>
            <w:vAlign w:val="center"/>
          </w:tcPr>
          <w:p w:rsidR="006B4A61" w:rsidRPr="00575F51" w:rsidRDefault="006B4A61" w:rsidP="00575F51">
            <w:pPr>
              <w:autoSpaceDE w:val="0"/>
              <w:autoSpaceDN w:val="0"/>
              <w:adjustRightInd w:val="0"/>
              <w:jc w:val="center"/>
              <w:rPr>
                <w:sz w:val="22"/>
                <w:szCs w:val="22"/>
              </w:rPr>
            </w:pPr>
            <w:r w:rsidRPr="00575F51">
              <w:rPr>
                <w:sz w:val="22"/>
                <w:szCs w:val="22"/>
              </w:rPr>
              <w:t>% Change</w:t>
            </w:r>
          </w:p>
        </w:tc>
        <w:tc>
          <w:tcPr>
            <w:tcW w:w="1622" w:type="dxa"/>
            <w:shd w:val="clear" w:color="auto" w:fill="000080"/>
            <w:vAlign w:val="center"/>
          </w:tcPr>
          <w:p w:rsidR="006B4A61" w:rsidRPr="00575F51" w:rsidRDefault="006B4A61" w:rsidP="00575F51">
            <w:pPr>
              <w:autoSpaceDE w:val="0"/>
              <w:autoSpaceDN w:val="0"/>
              <w:adjustRightInd w:val="0"/>
              <w:jc w:val="center"/>
              <w:rPr>
                <w:sz w:val="22"/>
                <w:szCs w:val="22"/>
              </w:rPr>
            </w:pPr>
            <w:r w:rsidRPr="00575F51">
              <w:rPr>
                <w:sz w:val="22"/>
                <w:szCs w:val="22"/>
              </w:rPr>
              <w:t>Value</w:t>
            </w:r>
          </w:p>
        </w:tc>
        <w:tc>
          <w:tcPr>
            <w:tcW w:w="1628" w:type="dxa"/>
            <w:shd w:val="clear" w:color="auto" w:fill="000080"/>
            <w:vAlign w:val="center"/>
          </w:tcPr>
          <w:p w:rsidR="006B4A61" w:rsidRPr="00575F51" w:rsidRDefault="006B4A61" w:rsidP="00575F51">
            <w:pPr>
              <w:autoSpaceDE w:val="0"/>
              <w:autoSpaceDN w:val="0"/>
              <w:adjustRightInd w:val="0"/>
              <w:jc w:val="center"/>
              <w:rPr>
                <w:sz w:val="22"/>
                <w:szCs w:val="22"/>
              </w:rPr>
            </w:pPr>
            <w:r w:rsidRPr="00575F51">
              <w:rPr>
                <w:sz w:val="22"/>
                <w:szCs w:val="22"/>
              </w:rPr>
              <w:t>% Change</w:t>
            </w:r>
          </w:p>
        </w:tc>
      </w:tr>
      <w:tr w:rsidR="00260EFB" w:rsidRPr="00A964E3" w:rsidTr="00575F51">
        <w:trPr>
          <w:trHeight w:val="339"/>
        </w:trPr>
        <w:tc>
          <w:tcPr>
            <w:tcW w:w="2320" w:type="dxa"/>
            <w:vAlign w:val="center"/>
          </w:tcPr>
          <w:p w:rsidR="00260EFB" w:rsidRPr="00A964E3" w:rsidRDefault="00260EFB" w:rsidP="00575F51">
            <w:pPr>
              <w:spacing w:line="240" w:lineRule="auto"/>
              <w:rPr>
                <w:sz w:val="22"/>
                <w:szCs w:val="22"/>
              </w:rPr>
            </w:pPr>
            <w:r w:rsidRPr="00A964E3">
              <w:rPr>
                <w:sz w:val="22"/>
                <w:szCs w:val="22"/>
              </w:rPr>
              <w:t>FY 2008-09</w:t>
            </w:r>
          </w:p>
        </w:tc>
        <w:tc>
          <w:tcPr>
            <w:tcW w:w="1626" w:type="dxa"/>
            <w:vAlign w:val="center"/>
          </w:tcPr>
          <w:p w:rsidR="00260EFB" w:rsidRPr="00A964E3" w:rsidRDefault="00260EFB" w:rsidP="00575F51">
            <w:pPr>
              <w:spacing w:line="240" w:lineRule="auto"/>
              <w:jc w:val="center"/>
              <w:rPr>
                <w:sz w:val="22"/>
                <w:szCs w:val="22"/>
              </w:rPr>
            </w:pPr>
            <w:r w:rsidRPr="00A964E3">
              <w:rPr>
                <w:sz w:val="22"/>
                <w:szCs w:val="22"/>
              </w:rPr>
              <w:t>126</w:t>
            </w:r>
            <w:r w:rsidR="003B0572" w:rsidRPr="00A964E3">
              <w:rPr>
                <w:sz w:val="22"/>
                <w:szCs w:val="22"/>
              </w:rPr>
              <w:t>.02</w:t>
            </w:r>
          </w:p>
        </w:tc>
        <w:tc>
          <w:tcPr>
            <w:tcW w:w="1634" w:type="dxa"/>
            <w:vAlign w:val="center"/>
          </w:tcPr>
          <w:p w:rsidR="00260EFB" w:rsidRPr="00A964E3" w:rsidRDefault="00260EFB" w:rsidP="00575F51">
            <w:pPr>
              <w:spacing w:line="240" w:lineRule="auto"/>
              <w:jc w:val="center"/>
              <w:rPr>
                <w:sz w:val="22"/>
                <w:szCs w:val="22"/>
              </w:rPr>
            </w:pPr>
          </w:p>
        </w:tc>
        <w:tc>
          <w:tcPr>
            <w:tcW w:w="1622" w:type="dxa"/>
            <w:vAlign w:val="center"/>
          </w:tcPr>
          <w:p w:rsidR="00260EFB" w:rsidRPr="00A964E3" w:rsidRDefault="003B0572" w:rsidP="00575F51">
            <w:pPr>
              <w:spacing w:line="240" w:lineRule="auto"/>
              <w:jc w:val="center"/>
              <w:rPr>
                <w:sz w:val="22"/>
                <w:szCs w:val="22"/>
              </w:rPr>
            </w:pPr>
            <w:r w:rsidRPr="00A964E3">
              <w:rPr>
                <w:sz w:val="22"/>
                <w:szCs w:val="22"/>
              </w:rPr>
              <w:t>144.83</w:t>
            </w:r>
          </w:p>
        </w:tc>
        <w:tc>
          <w:tcPr>
            <w:tcW w:w="1628" w:type="dxa"/>
            <w:vAlign w:val="center"/>
          </w:tcPr>
          <w:p w:rsidR="00260EFB" w:rsidRPr="00A964E3" w:rsidRDefault="00260EFB" w:rsidP="00575F51">
            <w:pPr>
              <w:spacing w:line="240" w:lineRule="auto"/>
              <w:jc w:val="center"/>
              <w:rPr>
                <w:sz w:val="22"/>
                <w:szCs w:val="22"/>
              </w:rPr>
            </w:pPr>
          </w:p>
        </w:tc>
      </w:tr>
      <w:tr w:rsidR="00260EFB" w:rsidRPr="00A964E3" w:rsidTr="00575F51">
        <w:trPr>
          <w:trHeight w:val="355"/>
        </w:trPr>
        <w:tc>
          <w:tcPr>
            <w:tcW w:w="2320" w:type="dxa"/>
            <w:vAlign w:val="center"/>
          </w:tcPr>
          <w:p w:rsidR="00260EFB" w:rsidRPr="00A964E3" w:rsidRDefault="00260EFB" w:rsidP="00575F51">
            <w:pPr>
              <w:spacing w:line="240" w:lineRule="auto"/>
              <w:rPr>
                <w:sz w:val="22"/>
                <w:szCs w:val="22"/>
              </w:rPr>
            </w:pPr>
            <w:r w:rsidRPr="00A964E3">
              <w:rPr>
                <w:sz w:val="22"/>
                <w:szCs w:val="22"/>
              </w:rPr>
              <w:t>FY 2009-10</w:t>
            </w:r>
          </w:p>
        </w:tc>
        <w:tc>
          <w:tcPr>
            <w:tcW w:w="1626" w:type="dxa"/>
            <w:vAlign w:val="center"/>
          </w:tcPr>
          <w:p w:rsidR="00260EFB" w:rsidRPr="00A964E3" w:rsidRDefault="00260EFB" w:rsidP="00575F51">
            <w:pPr>
              <w:spacing w:line="240" w:lineRule="auto"/>
              <w:jc w:val="center"/>
              <w:rPr>
                <w:sz w:val="22"/>
                <w:szCs w:val="22"/>
              </w:rPr>
            </w:pPr>
            <w:r w:rsidRPr="00A964E3">
              <w:rPr>
                <w:sz w:val="22"/>
                <w:szCs w:val="22"/>
              </w:rPr>
              <w:t>130.8</w:t>
            </w:r>
            <w:r w:rsidR="003B0572" w:rsidRPr="00A964E3">
              <w:rPr>
                <w:sz w:val="22"/>
                <w:szCs w:val="22"/>
              </w:rPr>
              <w:t>1</w:t>
            </w:r>
          </w:p>
        </w:tc>
        <w:tc>
          <w:tcPr>
            <w:tcW w:w="1634" w:type="dxa"/>
            <w:vAlign w:val="center"/>
          </w:tcPr>
          <w:p w:rsidR="00260EFB" w:rsidRPr="00A964E3" w:rsidRDefault="00260EFB" w:rsidP="00575F51">
            <w:pPr>
              <w:spacing w:line="240" w:lineRule="auto"/>
              <w:jc w:val="center"/>
              <w:rPr>
                <w:sz w:val="22"/>
                <w:szCs w:val="22"/>
              </w:rPr>
            </w:pPr>
            <w:r w:rsidRPr="00A964E3">
              <w:rPr>
                <w:sz w:val="22"/>
                <w:szCs w:val="22"/>
              </w:rPr>
              <w:t>3.81%</w:t>
            </w:r>
          </w:p>
        </w:tc>
        <w:tc>
          <w:tcPr>
            <w:tcW w:w="1622" w:type="dxa"/>
            <w:vAlign w:val="center"/>
          </w:tcPr>
          <w:p w:rsidR="00260EFB" w:rsidRPr="00A964E3" w:rsidRDefault="003B0572" w:rsidP="00575F51">
            <w:pPr>
              <w:spacing w:line="240" w:lineRule="auto"/>
              <w:jc w:val="center"/>
              <w:rPr>
                <w:sz w:val="22"/>
                <w:szCs w:val="22"/>
              </w:rPr>
            </w:pPr>
            <w:r w:rsidRPr="00A964E3">
              <w:rPr>
                <w:sz w:val="22"/>
                <w:szCs w:val="22"/>
              </w:rPr>
              <w:t>162.75</w:t>
            </w:r>
          </w:p>
        </w:tc>
        <w:tc>
          <w:tcPr>
            <w:tcW w:w="1628" w:type="dxa"/>
            <w:vAlign w:val="center"/>
          </w:tcPr>
          <w:p w:rsidR="00260EFB" w:rsidRPr="00A964E3" w:rsidRDefault="00260EFB" w:rsidP="00575F51">
            <w:pPr>
              <w:spacing w:line="240" w:lineRule="auto"/>
              <w:jc w:val="center"/>
              <w:rPr>
                <w:sz w:val="22"/>
                <w:szCs w:val="22"/>
              </w:rPr>
            </w:pPr>
            <w:r w:rsidRPr="00A964E3">
              <w:rPr>
                <w:sz w:val="22"/>
                <w:szCs w:val="22"/>
              </w:rPr>
              <w:t>12.41%</w:t>
            </w:r>
          </w:p>
        </w:tc>
      </w:tr>
      <w:tr w:rsidR="00260EFB" w:rsidRPr="00A964E3" w:rsidTr="00575F51">
        <w:trPr>
          <w:trHeight w:val="339"/>
        </w:trPr>
        <w:tc>
          <w:tcPr>
            <w:tcW w:w="2320" w:type="dxa"/>
            <w:vAlign w:val="center"/>
          </w:tcPr>
          <w:p w:rsidR="00260EFB" w:rsidRPr="00A964E3" w:rsidRDefault="00260EFB" w:rsidP="00575F51">
            <w:pPr>
              <w:spacing w:line="240" w:lineRule="auto"/>
              <w:rPr>
                <w:sz w:val="22"/>
                <w:szCs w:val="22"/>
              </w:rPr>
            </w:pPr>
            <w:r w:rsidRPr="00A964E3">
              <w:rPr>
                <w:sz w:val="22"/>
                <w:szCs w:val="22"/>
              </w:rPr>
              <w:t>FY 2010-11</w:t>
            </w:r>
          </w:p>
        </w:tc>
        <w:tc>
          <w:tcPr>
            <w:tcW w:w="1626" w:type="dxa"/>
            <w:vAlign w:val="center"/>
          </w:tcPr>
          <w:p w:rsidR="00260EFB" w:rsidRPr="00A964E3" w:rsidRDefault="00260EFB" w:rsidP="00575F51">
            <w:pPr>
              <w:spacing w:line="240" w:lineRule="auto"/>
              <w:jc w:val="center"/>
              <w:rPr>
                <w:sz w:val="22"/>
                <w:szCs w:val="22"/>
              </w:rPr>
            </w:pPr>
            <w:r w:rsidRPr="00A964E3">
              <w:rPr>
                <w:sz w:val="22"/>
                <w:szCs w:val="22"/>
              </w:rPr>
              <w:t>143.3</w:t>
            </w:r>
            <w:r w:rsidR="003B0572" w:rsidRPr="00A964E3">
              <w:rPr>
                <w:sz w:val="22"/>
                <w:szCs w:val="22"/>
              </w:rPr>
              <w:t>2</w:t>
            </w:r>
          </w:p>
        </w:tc>
        <w:tc>
          <w:tcPr>
            <w:tcW w:w="1634" w:type="dxa"/>
            <w:vAlign w:val="center"/>
          </w:tcPr>
          <w:p w:rsidR="00260EFB" w:rsidRPr="00A964E3" w:rsidRDefault="00260EFB" w:rsidP="00575F51">
            <w:pPr>
              <w:spacing w:line="240" w:lineRule="auto"/>
              <w:jc w:val="center"/>
              <w:rPr>
                <w:sz w:val="22"/>
                <w:szCs w:val="22"/>
              </w:rPr>
            </w:pPr>
            <w:r w:rsidRPr="00A964E3">
              <w:rPr>
                <w:sz w:val="22"/>
                <w:szCs w:val="22"/>
              </w:rPr>
              <w:t>9.56%</w:t>
            </w:r>
          </w:p>
        </w:tc>
        <w:tc>
          <w:tcPr>
            <w:tcW w:w="1622" w:type="dxa"/>
            <w:vAlign w:val="center"/>
          </w:tcPr>
          <w:p w:rsidR="00260EFB" w:rsidRPr="00A964E3" w:rsidRDefault="003B0572" w:rsidP="00575F51">
            <w:pPr>
              <w:spacing w:line="240" w:lineRule="auto"/>
              <w:jc w:val="center"/>
              <w:rPr>
                <w:sz w:val="22"/>
                <w:szCs w:val="22"/>
              </w:rPr>
            </w:pPr>
            <w:r w:rsidRPr="00A964E3">
              <w:rPr>
                <w:sz w:val="22"/>
                <w:szCs w:val="22"/>
              </w:rPr>
              <w:t>179.75</w:t>
            </w:r>
          </w:p>
        </w:tc>
        <w:tc>
          <w:tcPr>
            <w:tcW w:w="1628" w:type="dxa"/>
            <w:vAlign w:val="center"/>
          </w:tcPr>
          <w:p w:rsidR="00260EFB" w:rsidRPr="00A964E3" w:rsidRDefault="003B0572" w:rsidP="00575F51">
            <w:pPr>
              <w:spacing w:line="240" w:lineRule="auto"/>
              <w:jc w:val="center"/>
              <w:rPr>
                <w:sz w:val="22"/>
                <w:szCs w:val="22"/>
              </w:rPr>
            </w:pPr>
            <w:r w:rsidRPr="00A964E3">
              <w:rPr>
                <w:sz w:val="22"/>
                <w:szCs w:val="22"/>
              </w:rPr>
              <w:t>10.45</w:t>
            </w:r>
            <w:r w:rsidR="00260EFB" w:rsidRPr="00A964E3">
              <w:rPr>
                <w:sz w:val="22"/>
                <w:szCs w:val="22"/>
              </w:rPr>
              <w:t>%</w:t>
            </w:r>
          </w:p>
        </w:tc>
      </w:tr>
      <w:tr w:rsidR="003B0572" w:rsidRPr="00A964E3" w:rsidTr="00575F51">
        <w:trPr>
          <w:trHeight w:val="339"/>
        </w:trPr>
        <w:tc>
          <w:tcPr>
            <w:tcW w:w="2320" w:type="dxa"/>
            <w:vAlign w:val="center"/>
          </w:tcPr>
          <w:p w:rsidR="003B0572" w:rsidRPr="00A964E3" w:rsidRDefault="003B0572" w:rsidP="003B0572">
            <w:pPr>
              <w:spacing w:line="240" w:lineRule="auto"/>
              <w:rPr>
                <w:sz w:val="22"/>
                <w:szCs w:val="22"/>
              </w:rPr>
            </w:pPr>
            <w:r w:rsidRPr="00A964E3">
              <w:rPr>
                <w:sz w:val="22"/>
                <w:szCs w:val="22"/>
              </w:rPr>
              <w:t>FY 2011-12</w:t>
            </w:r>
          </w:p>
        </w:tc>
        <w:tc>
          <w:tcPr>
            <w:tcW w:w="1626" w:type="dxa"/>
            <w:vAlign w:val="center"/>
          </w:tcPr>
          <w:p w:rsidR="003B0572" w:rsidRPr="00A964E3" w:rsidRDefault="003B0572" w:rsidP="00575F51">
            <w:pPr>
              <w:spacing w:line="240" w:lineRule="auto"/>
              <w:jc w:val="center"/>
              <w:rPr>
                <w:sz w:val="22"/>
                <w:szCs w:val="22"/>
              </w:rPr>
            </w:pPr>
            <w:r w:rsidRPr="00A964E3">
              <w:rPr>
                <w:sz w:val="22"/>
                <w:szCs w:val="22"/>
              </w:rPr>
              <w:t>156.13</w:t>
            </w:r>
          </w:p>
        </w:tc>
        <w:tc>
          <w:tcPr>
            <w:tcW w:w="1634" w:type="dxa"/>
            <w:vAlign w:val="center"/>
          </w:tcPr>
          <w:p w:rsidR="003B0572" w:rsidRPr="00A964E3" w:rsidRDefault="003B0572" w:rsidP="00575F51">
            <w:pPr>
              <w:spacing w:line="240" w:lineRule="auto"/>
              <w:jc w:val="center"/>
              <w:rPr>
                <w:sz w:val="22"/>
                <w:szCs w:val="22"/>
              </w:rPr>
            </w:pPr>
            <w:r w:rsidRPr="00A964E3">
              <w:rPr>
                <w:sz w:val="22"/>
                <w:szCs w:val="22"/>
              </w:rPr>
              <w:t>8.94%</w:t>
            </w:r>
          </w:p>
        </w:tc>
        <w:tc>
          <w:tcPr>
            <w:tcW w:w="1622" w:type="dxa"/>
            <w:vAlign w:val="center"/>
          </w:tcPr>
          <w:p w:rsidR="003B0572" w:rsidRPr="00A964E3" w:rsidRDefault="003B0572" w:rsidP="00575F51">
            <w:pPr>
              <w:spacing w:line="240" w:lineRule="auto"/>
              <w:jc w:val="center"/>
              <w:rPr>
                <w:sz w:val="22"/>
                <w:szCs w:val="22"/>
              </w:rPr>
            </w:pPr>
            <w:r w:rsidRPr="00A964E3">
              <w:rPr>
                <w:sz w:val="22"/>
                <w:szCs w:val="22"/>
              </w:rPr>
              <w:t>194.83</w:t>
            </w:r>
          </w:p>
        </w:tc>
        <w:tc>
          <w:tcPr>
            <w:tcW w:w="1628" w:type="dxa"/>
            <w:vAlign w:val="center"/>
          </w:tcPr>
          <w:p w:rsidR="003B0572" w:rsidRPr="00A964E3" w:rsidRDefault="003B0572" w:rsidP="00575F51">
            <w:pPr>
              <w:spacing w:line="240" w:lineRule="auto"/>
              <w:jc w:val="center"/>
              <w:rPr>
                <w:sz w:val="22"/>
                <w:szCs w:val="22"/>
              </w:rPr>
            </w:pPr>
            <w:r w:rsidRPr="00A964E3">
              <w:rPr>
                <w:sz w:val="22"/>
                <w:szCs w:val="22"/>
              </w:rPr>
              <w:t>8.38%</w:t>
            </w:r>
          </w:p>
        </w:tc>
      </w:tr>
      <w:tr w:rsidR="003B0572" w:rsidRPr="00A964E3" w:rsidTr="00575F51">
        <w:trPr>
          <w:trHeight w:val="339"/>
        </w:trPr>
        <w:tc>
          <w:tcPr>
            <w:tcW w:w="2320" w:type="dxa"/>
            <w:vAlign w:val="center"/>
          </w:tcPr>
          <w:p w:rsidR="003B0572" w:rsidRPr="00A964E3" w:rsidRDefault="003B0572" w:rsidP="003B0572">
            <w:pPr>
              <w:spacing w:line="240" w:lineRule="auto"/>
              <w:rPr>
                <w:sz w:val="22"/>
                <w:szCs w:val="22"/>
              </w:rPr>
            </w:pPr>
            <w:r w:rsidRPr="00A964E3">
              <w:rPr>
                <w:sz w:val="22"/>
                <w:szCs w:val="22"/>
              </w:rPr>
              <w:t>FY 2012-13</w:t>
            </w:r>
          </w:p>
        </w:tc>
        <w:tc>
          <w:tcPr>
            <w:tcW w:w="1626" w:type="dxa"/>
            <w:vAlign w:val="center"/>
          </w:tcPr>
          <w:p w:rsidR="003B0572" w:rsidRPr="00A964E3" w:rsidRDefault="003B0572" w:rsidP="00575F51">
            <w:pPr>
              <w:spacing w:line="240" w:lineRule="auto"/>
              <w:jc w:val="center"/>
              <w:rPr>
                <w:sz w:val="22"/>
                <w:szCs w:val="22"/>
              </w:rPr>
            </w:pPr>
            <w:r w:rsidRPr="00A964E3">
              <w:rPr>
                <w:sz w:val="22"/>
                <w:szCs w:val="22"/>
              </w:rPr>
              <w:t>167.62</w:t>
            </w:r>
          </w:p>
        </w:tc>
        <w:tc>
          <w:tcPr>
            <w:tcW w:w="1634" w:type="dxa"/>
            <w:vAlign w:val="center"/>
          </w:tcPr>
          <w:p w:rsidR="003B0572" w:rsidRPr="00A964E3" w:rsidRDefault="003B0572" w:rsidP="00575F51">
            <w:pPr>
              <w:spacing w:line="240" w:lineRule="auto"/>
              <w:jc w:val="center"/>
              <w:rPr>
                <w:sz w:val="22"/>
                <w:szCs w:val="22"/>
              </w:rPr>
            </w:pPr>
            <w:r w:rsidRPr="00A964E3">
              <w:rPr>
                <w:sz w:val="22"/>
                <w:szCs w:val="22"/>
              </w:rPr>
              <w:t>7.35%</w:t>
            </w:r>
          </w:p>
        </w:tc>
        <w:tc>
          <w:tcPr>
            <w:tcW w:w="1622" w:type="dxa"/>
            <w:vAlign w:val="center"/>
          </w:tcPr>
          <w:p w:rsidR="003B0572" w:rsidRPr="00A964E3" w:rsidRDefault="003B0572" w:rsidP="00575F51">
            <w:pPr>
              <w:spacing w:line="240" w:lineRule="auto"/>
              <w:jc w:val="center"/>
              <w:rPr>
                <w:sz w:val="22"/>
                <w:szCs w:val="22"/>
              </w:rPr>
            </w:pPr>
            <w:r w:rsidRPr="00A964E3">
              <w:rPr>
                <w:sz w:val="22"/>
                <w:szCs w:val="22"/>
              </w:rPr>
              <w:t>215.16</w:t>
            </w:r>
          </w:p>
        </w:tc>
        <w:tc>
          <w:tcPr>
            <w:tcW w:w="1628" w:type="dxa"/>
            <w:vAlign w:val="center"/>
          </w:tcPr>
          <w:p w:rsidR="003B0572" w:rsidRPr="00A964E3" w:rsidRDefault="003B0572" w:rsidP="00575F51">
            <w:pPr>
              <w:spacing w:line="240" w:lineRule="auto"/>
              <w:jc w:val="center"/>
              <w:rPr>
                <w:sz w:val="22"/>
                <w:szCs w:val="22"/>
              </w:rPr>
            </w:pPr>
            <w:r w:rsidRPr="00A964E3">
              <w:rPr>
                <w:sz w:val="22"/>
                <w:szCs w:val="22"/>
              </w:rPr>
              <w:t>10.43%</w:t>
            </w:r>
          </w:p>
        </w:tc>
      </w:tr>
      <w:tr w:rsidR="003B0572" w:rsidRPr="00A964E3" w:rsidTr="00575F51">
        <w:trPr>
          <w:trHeight w:val="339"/>
        </w:trPr>
        <w:tc>
          <w:tcPr>
            <w:tcW w:w="2320" w:type="dxa"/>
            <w:vAlign w:val="center"/>
          </w:tcPr>
          <w:p w:rsidR="003B0572" w:rsidRPr="00A964E3" w:rsidRDefault="003B0572" w:rsidP="003B0572">
            <w:pPr>
              <w:spacing w:line="240" w:lineRule="auto"/>
              <w:rPr>
                <w:sz w:val="22"/>
                <w:szCs w:val="22"/>
              </w:rPr>
            </w:pPr>
            <w:r w:rsidRPr="00A964E3">
              <w:rPr>
                <w:sz w:val="22"/>
                <w:szCs w:val="22"/>
              </w:rPr>
              <w:t>FY 2013-14</w:t>
            </w:r>
          </w:p>
        </w:tc>
        <w:tc>
          <w:tcPr>
            <w:tcW w:w="1626" w:type="dxa"/>
            <w:vAlign w:val="center"/>
          </w:tcPr>
          <w:p w:rsidR="003B0572" w:rsidRPr="00A964E3" w:rsidRDefault="003B0572" w:rsidP="00575F51">
            <w:pPr>
              <w:spacing w:line="240" w:lineRule="auto"/>
              <w:jc w:val="center"/>
              <w:rPr>
                <w:sz w:val="22"/>
                <w:szCs w:val="22"/>
              </w:rPr>
            </w:pPr>
            <w:r w:rsidRPr="00A964E3">
              <w:rPr>
                <w:sz w:val="22"/>
                <w:szCs w:val="22"/>
              </w:rPr>
              <w:t>177.64</w:t>
            </w:r>
          </w:p>
        </w:tc>
        <w:tc>
          <w:tcPr>
            <w:tcW w:w="1634" w:type="dxa"/>
            <w:vAlign w:val="center"/>
          </w:tcPr>
          <w:p w:rsidR="003B0572" w:rsidRPr="00A964E3" w:rsidRDefault="003B0572" w:rsidP="00575F51">
            <w:pPr>
              <w:spacing w:line="240" w:lineRule="auto"/>
              <w:jc w:val="center"/>
              <w:rPr>
                <w:sz w:val="22"/>
                <w:szCs w:val="22"/>
              </w:rPr>
            </w:pPr>
            <w:r w:rsidRPr="00A964E3">
              <w:rPr>
                <w:sz w:val="22"/>
                <w:szCs w:val="22"/>
              </w:rPr>
              <w:t>5.98%</w:t>
            </w:r>
          </w:p>
        </w:tc>
        <w:tc>
          <w:tcPr>
            <w:tcW w:w="1622" w:type="dxa"/>
            <w:vAlign w:val="center"/>
          </w:tcPr>
          <w:p w:rsidR="003B0572" w:rsidRPr="00A964E3" w:rsidRDefault="003B0572" w:rsidP="00575F51">
            <w:pPr>
              <w:spacing w:line="240" w:lineRule="auto"/>
              <w:jc w:val="center"/>
              <w:rPr>
                <w:sz w:val="22"/>
                <w:szCs w:val="22"/>
              </w:rPr>
            </w:pPr>
            <w:r w:rsidRPr="00A964E3">
              <w:rPr>
                <w:sz w:val="22"/>
                <w:szCs w:val="22"/>
              </w:rPr>
              <w:t>236</w:t>
            </w:r>
          </w:p>
        </w:tc>
        <w:tc>
          <w:tcPr>
            <w:tcW w:w="1628" w:type="dxa"/>
            <w:vAlign w:val="center"/>
          </w:tcPr>
          <w:p w:rsidR="003B0572" w:rsidRPr="00A964E3" w:rsidRDefault="003B0572" w:rsidP="00575F51">
            <w:pPr>
              <w:spacing w:line="240" w:lineRule="auto"/>
              <w:jc w:val="center"/>
              <w:rPr>
                <w:sz w:val="22"/>
                <w:szCs w:val="22"/>
              </w:rPr>
            </w:pPr>
            <w:r w:rsidRPr="00A964E3">
              <w:rPr>
                <w:sz w:val="22"/>
                <w:szCs w:val="22"/>
              </w:rPr>
              <w:t>9.68%</w:t>
            </w:r>
          </w:p>
        </w:tc>
      </w:tr>
      <w:tr w:rsidR="00260EFB" w:rsidRPr="00A964E3" w:rsidTr="00575F51">
        <w:trPr>
          <w:trHeight w:val="339"/>
        </w:trPr>
        <w:tc>
          <w:tcPr>
            <w:tcW w:w="2320" w:type="dxa"/>
            <w:vAlign w:val="center"/>
          </w:tcPr>
          <w:p w:rsidR="00260EFB" w:rsidRPr="00A964E3" w:rsidRDefault="00260EFB" w:rsidP="00575F51">
            <w:pPr>
              <w:spacing w:line="240" w:lineRule="auto"/>
              <w:rPr>
                <w:sz w:val="22"/>
                <w:szCs w:val="22"/>
              </w:rPr>
            </w:pPr>
            <w:r w:rsidRPr="00A964E3">
              <w:rPr>
                <w:sz w:val="22"/>
                <w:szCs w:val="22"/>
              </w:rPr>
              <w:t>Average</w:t>
            </w:r>
          </w:p>
        </w:tc>
        <w:tc>
          <w:tcPr>
            <w:tcW w:w="1626" w:type="dxa"/>
            <w:vAlign w:val="center"/>
          </w:tcPr>
          <w:p w:rsidR="00260EFB" w:rsidRPr="00A964E3" w:rsidRDefault="00260EFB" w:rsidP="00575F51">
            <w:pPr>
              <w:spacing w:line="240" w:lineRule="auto"/>
              <w:jc w:val="center"/>
              <w:rPr>
                <w:sz w:val="22"/>
                <w:szCs w:val="22"/>
              </w:rPr>
            </w:pPr>
          </w:p>
        </w:tc>
        <w:tc>
          <w:tcPr>
            <w:tcW w:w="1634" w:type="dxa"/>
            <w:vAlign w:val="center"/>
          </w:tcPr>
          <w:p w:rsidR="00260EFB" w:rsidRPr="00A964E3" w:rsidRDefault="003B0572" w:rsidP="00575F51">
            <w:pPr>
              <w:spacing w:line="240" w:lineRule="auto"/>
              <w:jc w:val="center"/>
              <w:rPr>
                <w:sz w:val="22"/>
                <w:szCs w:val="22"/>
              </w:rPr>
            </w:pPr>
            <w:r w:rsidRPr="00A964E3">
              <w:rPr>
                <w:sz w:val="22"/>
                <w:szCs w:val="22"/>
              </w:rPr>
              <w:t>7.13</w:t>
            </w:r>
          </w:p>
        </w:tc>
        <w:tc>
          <w:tcPr>
            <w:tcW w:w="1622" w:type="dxa"/>
            <w:vAlign w:val="center"/>
          </w:tcPr>
          <w:p w:rsidR="00260EFB" w:rsidRPr="00A964E3" w:rsidRDefault="00260EFB" w:rsidP="00575F51">
            <w:pPr>
              <w:spacing w:line="240" w:lineRule="auto"/>
              <w:jc w:val="center"/>
              <w:rPr>
                <w:sz w:val="22"/>
                <w:szCs w:val="22"/>
              </w:rPr>
            </w:pPr>
          </w:p>
        </w:tc>
        <w:tc>
          <w:tcPr>
            <w:tcW w:w="1628" w:type="dxa"/>
            <w:vAlign w:val="center"/>
          </w:tcPr>
          <w:p w:rsidR="00260EFB" w:rsidRPr="00A964E3" w:rsidRDefault="003B0572" w:rsidP="00575F51">
            <w:pPr>
              <w:spacing w:line="240" w:lineRule="auto"/>
              <w:jc w:val="center"/>
              <w:rPr>
                <w:sz w:val="22"/>
                <w:szCs w:val="22"/>
              </w:rPr>
            </w:pPr>
            <w:r w:rsidRPr="00A964E3">
              <w:rPr>
                <w:sz w:val="22"/>
                <w:szCs w:val="22"/>
              </w:rPr>
              <w:t>10.26</w:t>
            </w:r>
            <w:r w:rsidR="00260EFB" w:rsidRPr="00A964E3">
              <w:rPr>
                <w:sz w:val="22"/>
                <w:szCs w:val="22"/>
              </w:rPr>
              <w:t>%</w:t>
            </w:r>
          </w:p>
        </w:tc>
      </w:tr>
      <w:tr w:rsidR="00260EFB" w:rsidRPr="00A964E3" w:rsidTr="00575F51">
        <w:trPr>
          <w:trHeight w:val="355"/>
        </w:trPr>
        <w:tc>
          <w:tcPr>
            <w:tcW w:w="2320" w:type="dxa"/>
            <w:vAlign w:val="center"/>
          </w:tcPr>
          <w:p w:rsidR="00260EFB" w:rsidRPr="00A964E3" w:rsidRDefault="00260EFB" w:rsidP="00575F51">
            <w:pPr>
              <w:spacing w:line="240" w:lineRule="auto"/>
              <w:rPr>
                <w:sz w:val="22"/>
                <w:szCs w:val="22"/>
              </w:rPr>
            </w:pPr>
            <w:r w:rsidRPr="00A964E3">
              <w:rPr>
                <w:sz w:val="22"/>
                <w:szCs w:val="22"/>
              </w:rPr>
              <w:t>Weightage</w:t>
            </w:r>
          </w:p>
        </w:tc>
        <w:tc>
          <w:tcPr>
            <w:tcW w:w="1626" w:type="dxa"/>
            <w:vAlign w:val="center"/>
          </w:tcPr>
          <w:p w:rsidR="00260EFB" w:rsidRPr="00A964E3" w:rsidRDefault="00260EFB" w:rsidP="00575F51">
            <w:pPr>
              <w:spacing w:line="240" w:lineRule="auto"/>
              <w:jc w:val="right"/>
              <w:rPr>
                <w:sz w:val="22"/>
                <w:szCs w:val="22"/>
              </w:rPr>
            </w:pPr>
          </w:p>
        </w:tc>
        <w:tc>
          <w:tcPr>
            <w:tcW w:w="1634" w:type="dxa"/>
            <w:vAlign w:val="center"/>
          </w:tcPr>
          <w:p w:rsidR="00260EFB" w:rsidRPr="00A964E3" w:rsidRDefault="00260EFB" w:rsidP="00575F51">
            <w:pPr>
              <w:spacing w:line="240" w:lineRule="auto"/>
              <w:jc w:val="center"/>
              <w:rPr>
                <w:sz w:val="22"/>
                <w:szCs w:val="22"/>
              </w:rPr>
            </w:pPr>
            <w:r w:rsidRPr="00A964E3">
              <w:rPr>
                <w:sz w:val="22"/>
                <w:szCs w:val="22"/>
              </w:rPr>
              <w:t>0.45</w:t>
            </w:r>
          </w:p>
        </w:tc>
        <w:tc>
          <w:tcPr>
            <w:tcW w:w="1622" w:type="dxa"/>
            <w:vAlign w:val="center"/>
          </w:tcPr>
          <w:p w:rsidR="00260EFB" w:rsidRPr="00A964E3" w:rsidRDefault="00260EFB" w:rsidP="00575F51">
            <w:pPr>
              <w:spacing w:line="240" w:lineRule="auto"/>
              <w:jc w:val="center"/>
              <w:rPr>
                <w:sz w:val="22"/>
                <w:szCs w:val="22"/>
              </w:rPr>
            </w:pPr>
          </w:p>
        </w:tc>
        <w:tc>
          <w:tcPr>
            <w:tcW w:w="1628" w:type="dxa"/>
            <w:vAlign w:val="center"/>
          </w:tcPr>
          <w:p w:rsidR="00260EFB" w:rsidRPr="00A964E3" w:rsidRDefault="00260EFB" w:rsidP="00575F51">
            <w:pPr>
              <w:spacing w:line="240" w:lineRule="auto"/>
              <w:jc w:val="center"/>
              <w:rPr>
                <w:sz w:val="22"/>
                <w:szCs w:val="22"/>
              </w:rPr>
            </w:pPr>
            <w:r w:rsidRPr="00A964E3">
              <w:rPr>
                <w:sz w:val="22"/>
                <w:szCs w:val="22"/>
              </w:rPr>
              <w:t>0.55</w:t>
            </w:r>
          </w:p>
        </w:tc>
      </w:tr>
      <w:tr w:rsidR="00260EFB" w:rsidRPr="00A964E3" w:rsidTr="00575F51">
        <w:trPr>
          <w:trHeight w:val="355"/>
        </w:trPr>
        <w:tc>
          <w:tcPr>
            <w:tcW w:w="2320" w:type="dxa"/>
            <w:vAlign w:val="center"/>
          </w:tcPr>
          <w:p w:rsidR="00260EFB" w:rsidRPr="00A964E3" w:rsidRDefault="00260EFB" w:rsidP="00575F51">
            <w:pPr>
              <w:spacing w:line="240" w:lineRule="auto"/>
              <w:rPr>
                <w:b/>
                <w:sz w:val="22"/>
                <w:szCs w:val="22"/>
              </w:rPr>
            </w:pPr>
            <w:r w:rsidRPr="00A964E3">
              <w:rPr>
                <w:b/>
                <w:sz w:val="22"/>
                <w:szCs w:val="22"/>
              </w:rPr>
              <w:t>INDEX</w:t>
            </w:r>
          </w:p>
        </w:tc>
        <w:tc>
          <w:tcPr>
            <w:tcW w:w="6510" w:type="dxa"/>
            <w:gridSpan w:val="4"/>
            <w:vAlign w:val="center"/>
          </w:tcPr>
          <w:p w:rsidR="00260EFB" w:rsidRPr="00A964E3" w:rsidRDefault="003B0572" w:rsidP="00575F51">
            <w:pPr>
              <w:spacing w:line="240" w:lineRule="auto"/>
              <w:jc w:val="center"/>
              <w:rPr>
                <w:b/>
                <w:sz w:val="22"/>
                <w:szCs w:val="22"/>
              </w:rPr>
            </w:pPr>
            <w:r w:rsidRPr="00A964E3">
              <w:rPr>
                <w:b/>
                <w:sz w:val="22"/>
                <w:szCs w:val="22"/>
              </w:rPr>
              <w:t>8.85</w:t>
            </w:r>
            <w:r w:rsidR="00260EFB" w:rsidRPr="00A964E3">
              <w:rPr>
                <w:b/>
                <w:sz w:val="22"/>
                <w:szCs w:val="22"/>
              </w:rPr>
              <w:t>%</w:t>
            </w:r>
          </w:p>
        </w:tc>
      </w:tr>
    </w:tbl>
    <w:p w:rsidR="002044DB" w:rsidRPr="00A964E3" w:rsidRDefault="001C5C83">
      <w:pPr>
        <w:ind w:left="900" w:hanging="360"/>
        <w:rPr>
          <w:sz w:val="22"/>
          <w:szCs w:val="22"/>
        </w:rPr>
      </w:pPr>
      <w:r w:rsidRPr="00A964E3">
        <w:rPr>
          <w:sz w:val="22"/>
          <w:szCs w:val="22"/>
        </w:rPr>
        <w:tab/>
      </w:r>
    </w:p>
    <w:p w:rsidR="000F7069" w:rsidRDefault="000F7069" w:rsidP="006C5B51">
      <w:pPr>
        <w:rPr>
          <w:sz w:val="22"/>
          <w:szCs w:val="22"/>
        </w:rPr>
      </w:pPr>
      <w:r>
        <w:rPr>
          <w:sz w:val="22"/>
          <w:szCs w:val="22"/>
        </w:rPr>
        <w:t xml:space="preserve">O&amp;M expenses </w:t>
      </w:r>
      <w:r w:rsidR="00E6394C">
        <w:rPr>
          <w:sz w:val="22"/>
          <w:szCs w:val="22"/>
        </w:rPr>
        <w:t xml:space="preserve">comprise of Employees Expenses, Repairs and Maintenance, Administrative and General Expenses, Water Charges, etc. The O&amp;M expenses for FY </w:t>
      </w:r>
      <w:r w:rsidR="00D90071">
        <w:rPr>
          <w:sz w:val="22"/>
          <w:szCs w:val="22"/>
        </w:rPr>
        <w:lastRenderedPageBreak/>
        <w:t>2012-13 to 2013-14</w:t>
      </w:r>
      <w:r w:rsidR="004F455A">
        <w:rPr>
          <w:sz w:val="22"/>
          <w:szCs w:val="22"/>
        </w:rPr>
        <w:t xml:space="preserve"> </w:t>
      </w:r>
      <w:r>
        <w:rPr>
          <w:sz w:val="22"/>
          <w:szCs w:val="22"/>
        </w:rPr>
        <w:t xml:space="preserve">are based on the </w:t>
      </w:r>
      <w:r w:rsidR="004F3C3A">
        <w:rPr>
          <w:sz w:val="22"/>
          <w:szCs w:val="22"/>
        </w:rPr>
        <w:t>au</w:t>
      </w:r>
      <w:r w:rsidR="00140B8A">
        <w:rPr>
          <w:sz w:val="22"/>
          <w:szCs w:val="22"/>
        </w:rPr>
        <w:t xml:space="preserve">dited accounts </w:t>
      </w:r>
      <w:r w:rsidR="004A3C09">
        <w:rPr>
          <w:sz w:val="22"/>
          <w:szCs w:val="22"/>
        </w:rPr>
        <w:t xml:space="preserve">and for FY 2014-15 are provisional.  </w:t>
      </w:r>
      <w:r w:rsidR="007B2C73">
        <w:rPr>
          <w:sz w:val="22"/>
          <w:szCs w:val="22"/>
        </w:rPr>
        <w:t xml:space="preserve">Further, for FY 2015-16 </w:t>
      </w:r>
      <w:r w:rsidR="004F3C3A">
        <w:rPr>
          <w:sz w:val="22"/>
          <w:szCs w:val="22"/>
        </w:rPr>
        <w:t xml:space="preserve">O&amp;M </w:t>
      </w:r>
      <w:r w:rsidR="00536269">
        <w:rPr>
          <w:sz w:val="22"/>
          <w:szCs w:val="22"/>
        </w:rPr>
        <w:t xml:space="preserve">expenses </w:t>
      </w:r>
      <w:r w:rsidR="004F3C3A">
        <w:rPr>
          <w:sz w:val="22"/>
          <w:szCs w:val="22"/>
        </w:rPr>
        <w:t>are</w:t>
      </w:r>
      <w:r w:rsidR="008B39F3">
        <w:rPr>
          <w:sz w:val="22"/>
          <w:szCs w:val="22"/>
        </w:rPr>
        <w:t xml:space="preserve"> </w:t>
      </w:r>
      <w:r w:rsidR="00B52EAB">
        <w:rPr>
          <w:sz w:val="22"/>
          <w:szCs w:val="22"/>
        </w:rPr>
        <w:t>based on the projections f</w:t>
      </w:r>
      <w:r w:rsidR="00526887">
        <w:rPr>
          <w:sz w:val="22"/>
          <w:szCs w:val="22"/>
        </w:rPr>
        <w:t>or</w:t>
      </w:r>
      <w:r w:rsidR="00B52EAB">
        <w:rPr>
          <w:sz w:val="22"/>
          <w:szCs w:val="22"/>
        </w:rPr>
        <w:t xml:space="preserve"> the period.</w:t>
      </w:r>
      <w:r w:rsidR="004F3C3A">
        <w:rPr>
          <w:sz w:val="22"/>
          <w:szCs w:val="22"/>
        </w:rPr>
        <w:t xml:space="preserve"> </w:t>
      </w:r>
    </w:p>
    <w:p w:rsidR="000F7069" w:rsidRPr="00492D2D" w:rsidRDefault="000F7069">
      <w:pPr>
        <w:pStyle w:val="Caption"/>
        <w:rPr>
          <w:sz w:val="10"/>
          <w:szCs w:val="22"/>
        </w:rPr>
      </w:pPr>
    </w:p>
    <w:p w:rsidR="000F7069" w:rsidRDefault="000F7069" w:rsidP="004B1456">
      <w:pPr>
        <w:pStyle w:val="Caption"/>
        <w:numPr>
          <w:ilvl w:val="2"/>
          <w:numId w:val="12"/>
        </w:numPr>
        <w:rPr>
          <w:sz w:val="22"/>
          <w:szCs w:val="22"/>
        </w:rPr>
      </w:pPr>
      <w:r>
        <w:rPr>
          <w:sz w:val="22"/>
          <w:szCs w:val="22"/>
        </w:rPr>
        <w:t>Employees Expenses</w:t>
      </w:r>
    </w:p>
    <w:p w:rsidR="006E788A" w:rsidRDefault="006E788A" w:rsidP="006E788A">
      <w:pPr>
        <w:ind w:left="720"/>
        <w:rPr>
          <w:sz w:val="22"/>
          <w:szCs w:val="22"/>
        </w:rPr>
      </w:pPr>
      <w:r>
        <w:rPr>
          <w:sz w:val="22"/>
          <w:szCs w:val="22"/>
        </w:rPr>
        <w:t>Employee expenses comprise of salaries, dearness and other allowances, ex</w:t>
      </w:r>
      <w:r w:rsidR="00CF4843">
        <w:rPr>
          <w:sz w:val="22"/>
          <w:szCs w:val="22"/>
        </w:rPr>
        <w:t>-</w:t>
      </w:r>
      <w:r>
        <w:rPr>
          <w:sz w:val="22"/>
          <w:szCs w:val="22"/>
        </w:rPr>
        <w:t xml:space="preserve">gratia, contribution towards terminal benefits, leave encashment, staff welfare expenses etc. </w:t>
      </w:r>
    </w:p>
    <w:p w:rsidR="001B6F92" w:rsidRDefault="001B6F92" w:rsidP="006E788A">
      <w:pPr>
        <w:ind w:left="720"/>
        <w:rPr>
          <w:sz w:val="22"/>
          <w:szCs w:val="22"/>
        </w:rPr>
      </w:pPr>
    </w:p>
    <w:p w:rsidR="0020376F" w:rsidRDefault="00EC0D9E" w:rsidP="0020376F">
      <w:pPr>
        <w:ind w:left="720"/>
        <w:rPr>
          <w:bCs/>
          <w:color w:val="000000"/>
          <w:sz w:val="22"/>
          <w:szCs w:val="22"/>
        </w:rPr>
      </w:pPr>
      <w:r>
        <w:rPr>
          <w:sz w:val="22"/>
          <w:szCs w:val="22"/>
        </w:rPr>
        <w:t>However, it is submitted that a</w:t>
      </w:r>
      <w:r w:rsidR="006E788A" w:rsidRPr="00D35CAF">
        <w:rPr>
          <w:bCs/>
          <w:color w:val="000000"/>
          <w:sz w:val="22"/>
          <w:szCs w:val="22"/>
        </w:rPr>
        <w:t xml:space="preserve">s per the transfer scheme, the terms and condition of service applicable to the erstwhile employees of Delhi Vidyut Board in the transferee company shall in no way be less </w:t>
      </w:r>
      <w:r w:rsidR="00BA1EAA" w:rsidRPr="00D35CAF">
        <w:rPr>
          <w:bCs/>
          <w:color w:val="000000"/>
          <w:sz w:val="22"/>
          <w:szCs w:val="22"/>
        </w:rPr>
        <w:t>favorable</w:t>
      </w:r>
      <w:r w:rsidR="006E788A" w:rsidRPr="00D35CAF">
        <w:rPr>
          <w:bCs/>
          <w:color w:val="000000"/>
          <w:sz w:val="22"/>
          <w:szCs w:val="22"/>
        </w:rPr>
        <w:t xml:space="preserve"> or inferior to that applicable to them immediately before the transfer. Their service shall continue to be governed by various rules and laws applicable to them prior to unbundling. The salaries of employees of the company are governed by FRSR structure. The company has to mandatory follow the salary structure as per the FRSR and it has no control over the same.</w:t>
      </w:r>
      <w:r w:rsidR="00C045AB">
        <w:rPr>
          <w:bCs/>
          <w:color w:val="000000"/>
          <w:sz w:val="22"/>
          <w:szCs w:val="22"/>
        </w:rPr>
        <w:t xml:space="preserve"> Hence, t</w:t>
      </w:r>
      <w:r w:rsidR="00C045AB">
        <w:rPr>
          <w:sz w:val="22"/>
          <w:szCs w:val="22"/>
        </w:rPr>
        <w:t xml:space="preserve">he increase in dearness allowance, Pay &amp; allowances </w:t>
      </w:r>
      <w:r w:rsidR="00B83FBE">
        <w:rPr>
          <w:sz w:val="22"/>
          <w:szCs w:val="22"/>
        </w:rPr>
        <w:t>are</w:t>
      </w:r>
      <w:r w:rsidR="00C045AB">
        <w:rPr>
          <w:sz w:val="22"/>
          <w:szCs w:val="22"/>
        </w:rPr>
        <w:t xml:space="preserve"> at par with the increase allowed to Government employees. The Government allows two installments of DA every year effective in July and January. Due to high inflation in the past, the DA increased in the range of </w:t>
      </w:r>
      <w:r w:rsidR="00873033" w:rsidRPr="00873033">
        <w:rPr>
          <w:sz w:val="22"/>
          <w:szCs w:val="22"/>
        </w:rPr>
        <w:t>14% to 18%.</w:t>
      </w:r>
      <w:r w:rsidR="00C045AB" w:rsidRPr="00873033">
        <w:rPr>
          <w:sz w:val="22"/>
          <w:szCs w:val="22"/>
        </w:rPr>
        <w:t xml:space="preserve"> The increase in Basic salary further increases other allowances like DA, HRA. </w:t>
      </w:r>
      <w:r w:rsidR="006E788A" w:rsidRPr="00873033">
        <w:rPr>
          <w:bCs/>
          <w:sz w:val="22"/>
          <w:szCs w:val="22"/>
        </w:rPr>
        <w:t xml:space="preserve">The average increase in salary of employees is </w:t>
      </w:r>
      <w:r w:rsidR="00786A97" w:rsidRPr="00873033">
        <w:rPr>
          <w:bCs/>
          <w:sz w:val="22"/>
          <w:szCs w:val="22"/>
        </w:rPr>
        <w:t>more than</w:t>
      </w:r>
      <w:r w:rsidR="006E788A" w:rsidRPr="00873033">
        <w:rPr>
          <w:bCs/>
          <w:sz w:val="22"/>
          <w:szCs w:val="22"/>
        </w:rPr>
        <w:t xml:space="preserve"> </w:t>
      </w:r>
      <w:r w:rsidR="00873033" w:rsidRPr="00873033">
        <w:rPr>
          <w:bCs/>
          <w:sz w:val="22"/>
          <w:szCs w:val="22"/>
        </w:rPr>
        <w:t>16.33</w:t>
      </w:r>
      <w:r w:rsidR="006E788A" w:rsidRPr="00873033">
        <w:rPr>
          <w:bCs/>
          <w:sz w:val="22"/>
          <w:szCs w:val="22"/>
        </w:rPr>
        <w:t xml:space="preserve">% against the </w:t>
      </w:r>
      <w:r w:rsidR="00BC5103" w:rsidRPr="00873033">
        <w:rPr>
          <w:bCs/>
          <w:sz w:val="22"/>
          <w:szCs w:val="22"/>
        </w:rPr>
        <w:t xml:space="preserve">indexation factor of </w:t>
      </w:r>
      <w:r w:rsidR="00EC7A42" w:rsidRPr="00873033">
        <w:rPr>
          <w:bCs/>
          <w:sz w:val="22"/>
          <w:szCs w:val="22"/>
        </w:rPr>
        <w:t>8.85</w:t>
      </w:r>
      <w:r w:rsidR="00BC5103" w:rsidRPr="00873033">
        <w:rPr>
          <w:bCs/>
          <w:sz w:val="22"/>
          <w:szCs w:val="22"/>
        </w:rPr>
        <w:t>% as fixed</w:t>
      </w:r>
      <w:r w:rsidR="006E788A" w:rsidRPr="00873033">
        <w:rPr>
          <w:bCs/>
          <w:sz w:val="22"/>
          <w:szCs w:val="22"/>
        </w:rPr>
        <w:t xml:space="preserve"> by Hon’ble Commission </w:t>
      </w:r>
      <w:r w:rsidR="00BC5103" w:rsidRPr="00873033">
        <w:rPr>
          <w:bCs/>
          <w:sz w:val="22"/>
          <w:szCs w:val="22"/>
        </w:rPr>
        <w:t xml:space="preserve">in the MYT Regulations 2011 </w:t>
      </w:r>
      <w:r w:rsidR="006E788A" w:rsidRPr="00873033">
        <w:rPr>
          <w:bCs/>
          <w:sz w:val="22"/>
          <w:szCs w:val="22"/>
        </w:rPr>
        <w:t>for the Control period for FY 20</w:t>
      </w:r>
      <w:r w:rsidR="00BC5103" w:rsidRPr="00873033">
        <w:rPr>
          <w:bCs/>
          <w:sz w:val="22"/>
          <w:szCs w:val="22"/>
        </w:rPr>
        <w:t>12-13</w:t>
      </w:r>
      <w:r w:rsidR="006E788A" w:rsidRPr="00873033">
        <w:rPr>
          <w:bCs/>
          <w:sz w:val="22"/>
          <w:szCs w:val="22"/>
        </w:rPr>
        <w:t xml:space="preserve"> to FY 201</w:t>
      </w:r>
      <w:r w:rsidR="00BC5103" w:rsidRPr="00873033">
        <w:rPr>
          <w:bCs/>
          <w:sz w:val="22"/>
          <w:szCs w:val="22"/>
        </w:rPr>
        <w:t>4</w:t>
      </w:r>
      <w:r w:rsidR="006E788A" w:rsidRPr="00873033">
        <w:rPr>
          <w:bCs/>
          <w:sz w:val="22"/>
          <w:szCs w:val="22"/>
        </w:rPr>
        <w:t>-1</w:t>
      </w:r>
      <w:r w:rsidR="00BC5103" w:rsidRPr="00873033">
        <w:rPr>
          <w:bCs/>
          <w:sz w:val="22"/>
          <w:szCs w:val="22"/>
        </w:rPr>
        <w:t>5</w:t>
      </w:r>
      <w:r w:rsidR="006E788A" w:rsidRPr="00873033">
        <w:rPr>
          <w:bCs/>
          <w:sz w:val="22"/>
          <w:szCs w:val="22"/>
        </w:rPr>
        <w:t>.</w:t>
      </w:r>
      <w:r w:rsidR="002A397C" w:rsidRPr="00873033">
        <w:rPr>
          <w:bCs/>
          <w:sz w:val="22"/>
          <w:szCs w:val="22"/>
        </w:rPr>
        <w:t xml:space="preserve">  It will further increase in the extended period FY 2015-16 of current MYT Regulation. </w:t>
      </w:r>
      <w:r w:rsidR="00EC7A42" w:rsidRPr="00873033">
        <w:rPr>
          <w:bCs/>
          <w:sz w:val="22"/>
          <w:szCs w:val="22"/>
        </w:rPr>
        <w:t>i</w:t>
      </w:r>
      <w:r w:rsidR="00941DAE" w:rsidRPr="00873033">
        <w:rPr>
          <w:bCs/>
          <w:sz w:val="22"/>
          <w:szCs w:val="22"/>
        </w:rPr>
        <w:t xml:space="preserve">t is, further </w:t>
      </w:r>
      <w:r w:rsidR="0020376F" w:rsidRPr="00873033">
        <w:rPr>
          <w:bCs/>
          <w:sz w:val="22"/>
          <w:szCs w:val="22"/>
        </w:rPr>
        <w:t xml:space="preserve">submitted </w:t>
      </w:r>
      <w:r w:rsidR="00941DAE" w:rsidRPr="00873033">
        <w:rPr>
          <w:bCs/>
          <w:sz w:val="22"/>
          <w:szCs w:val="22"/>
        </w:rPr>
        <w:t xml:space="preserve">to Hon’ble Commission </w:t>
      </w:r>
      <w:r w:rsidR="0020376F" w:rsidRPr="00873033">
        <w:rPr>
          <w:bCs/>
          <w:sz w:val="22"/>
          <w:szCs w:val="22"/>
        </w:rPr>
        <w:t xml:space="preserve">that the headquarters of IPGCL &amp; PPCL are common and the employees posted at headquarters are rendering services to both the companies. The common headquarters is helpful in </w:t>
      </w:r>
      <w:r w:rsidR="00FE1419" w:rsidRPr="00873033">
        <w:rPr>
          <w:bCs/>
          <w:sz w:val="22"/>
          <w:szCs w:val="22"/>
        </w:rPr>
        <w:t>economizing</w:t>
      </w:r>
      <w:r w:rsidR="0020376F" w:rsidRPr="00873033">
        <w:rPr>
          <w:bCs/>
          <w:sz w:val="22"/>
          <w:szCs w:val="22"/>
        </w:rPr>
        <w:t xml:space="preserve"> the expenses for both the companies as well as for providing better facilities. The expenses of employees posted at headquarters are allocated between IPGCL &amp; PPCL in FY </w:t>
      </w:r>
      <w:r w:rsidR="00FE1419" w:rsidRPr="00873033">
        <w:rPr>
          <w:bCs/>
          <w:sz w:val="22"/>
          <w:szCs w:val="22"/>
        </w:rPr>
        <w:t>2012-13, 2013-14 &amp; 2014-15, 2015-16</w:t>
      </w:r>
      <w:r w:rsidR="0020376F" w:rsidRPr="00873033">
        <w:rPr>
          <w:bCs/>
          <w:sz w:val="22"/>
          <w:szCs w:val="22"/>
        </w:rPr>
        <w:t xml:space="preserve"> in the ratio of </w:t>
      </w:r>
      <w:r w:rsidR="00D42520" w:rsidRPr="00D42520">
        <w:rPr>
          <w:bCs/>
          <w:sz w:val="22"/>
          <w:szCs w:val="22"/>
        </w:rPr>
        <w:t>50:50 and allocation between PPS-I and PPS-III has been in the ratio of weighted average installed capacity</w:t>
      </w:r>
      <w:r w:rsidR="0020376F" w:rsidRPr="00873033">
        <w:rPr>
          <w:bCs/>
          <w:sz w:val="22"/>
          <w:szCs w:val="22"/>
        </w:rPr>
        <w:t xml:space="preserve"> of the plants</w:t>
      </w:r>
      <w:r w:rsidR="0020376F">
        <w:rPr>
          <w:bCs/>
          <w:color w:val="000000"/>
          <w:sz w:val="22"/>
          <w:szCs w:val="22"/>
        </w:rPr>
        <w:t>.</w:t>
      </w:r>
    </w:p>
    <w:p w:rsidR="006E788A" w:rsidRDefault="009E45AB" w:rsidP="009E45AB">
      <w:pPr>
        <w:ind w:left="720"/>
        <w:rPr>
          <w:sz w:val="22"/>
          <w:szCs w:val="22"/>
        </w:rPr>
      </w:pPr>
      <w:r>
        <w:rPr>
          <w:sz w:val="22"/>
          <w:szCs w:val="22"/>
        </w:rPr>
        <w:lastRenderedPageBreak/>
        <w:t xml:space="preserve">Employee expenses for FY </w:t>
      </w:r>
      <w:r w:rsidR="00E03A13">
        <w:rPr>
          <w:sz w:val="22"/>
          <w:szCs w:val="22"/>
        </w:rPr>
        <w:t>2015-16</w:t>
      </w:r>
      <w:r>
        <w:rPr>
          <w:sz w:val="22"/>
          <w:szCs w:val="22"/>
        </w:rPr>
        <w:t xml:space="preserve"> are based upon the </w:t>
      </w:r>
      <w:r w:rsidR="00B32EB4" w:rsidRPr="00873033">
        <w:rPr>
          <w:sz w:val="22"/>
          <w:szCs w:val="22"/>
        </w:rPr>
        <w:t xml:space="preserve">actual </w:t>
      </w:r>
      <w:r w:rsidRPr="00873033">
        <w:rPr>
          <w:sz w:val="22"/>
          <w:szCs w:val="22"/>
        </w:rPr>
        <w:t xml:space="preserve">employee expenses for the base year FY </w:t>
      </w:r>
      <w:r w:rsidR="00A87E61" w:rsidRPr="00873033">
        <w:rPr>
          <w:sz w:val="22"/>
          <w:szCs w:val="22"/>
        </w:rPr>
        <w:t>2014-15</w:t>
      </w:r>
      <w:r w:rsidRPr="00873033">
        <w:rPr>
          <w:sz w:val="22"/>
          <w:szCs w:val="22"/>
        </w:rPr>
        <w:t xml:space="preserve"> escalated by a factor of </w:t>
      </w:r>
      <w:r w:rsidR="001E6118">
        <w:rPr>
          <w:sz w:val="22"/>
          <w:szCs w:val="22"/>
        </w:rPr>
        <w:t>8.85</w:t>
      </w:r>
      <w:r w:rsidRPr="00873033">
        <w:rPr>
          <w:sz w:val="22"/>
          <w:szCs w:val="22"/>
        </w:rPr>
        <w:t>%</w:t>
      </w:r>
      <w:r>
        <w:rPr>
          <w:sz w:val="22"/>
          <w:szCs w:val="22"/>
        </w:rPr>
        <w:t xml:space="preserve"> annually. </w:t>
      </w:r>
    </w:p>
    <w:p w:rsidR="006E788A" w:rsidRDefault="006E788A" w:rsidP="006E788A">
      <w:pPr>
        <w:ind w:left="720"/>
        <w:rPr>
          <w:sz w:val="22"/>
          <w:szCs w:val="22"/>
        </w:rPr>
      </w:pPr>
      <w:r>
        <w:rPr>
          <w:sz w:val="22"/>
          <w:szCs w:val="22"/>
        </w:rPr>
        <w:t xml:space="preserve">The petitioner </w:t>
      </w:r>
      <w:r w:rsidR="00A945C5">
        <w:rPr>
          <w:sz w:val="22"/>
          <w:szCs w:val="22"/>
        </w:rPr>
        <w:t>prays</w:t>
      </w:r>
      <w:r>
        <w:rPr>
          <w:sz w:val="22"/>
          <w:szCs w:val="22"/>
        </w:rPr>
        <w:t xml:space="preserve"> to the Hon’ble Commission that salaries/employee cost increase should be considered as uncontrollable factor. The petitioner would not be in the position to not allow these increases as any deviation will be against law/policy.</w:t>
      </w:r>
      <w:r w:rsidR="004B2E98">
        <w:rPr>
          <w:sz w:val="22"/>
          <w:szCs w:val="22"/>
        </w:rPr>
        <w:t xml:space="preserve">  Further, 7</w:t>
      </w:r>
      <w:r w:rsidR="004B2E98" w:rsidRPr="004B2E98">
        <w:rPr>
          <w:sz w:val="22"/>
          <w:szCs w:val="22"/>
          <w:vertAlign w:val="superscript"/>
        </w:rPr>
        <w:t>th</w:t>
      </w:r>
      <w:r w:rsidR="004B2E98">
        <w:rPr>
          <w:sz w:val="22"/>
          <w:szCs w:val="22"/>
        </w:rPr>
        <w:t xml:space="preserve"> Pay Commission for Central Govt. Emp</w:t>
      </w:r>
      <w:r w:rsidR="00A25F95">
        <w:rPr>
          <w:sz w:val="22"/>
          <w:szCs w:val="22"/>
        </w:rPr>
        <w:t>l</w:t>
      </w:r>
      <w:r w:rsidR="004B2E98">
        <w:rPr>
          <w:sz w:val="22"/>
          <w:szCs w:val="22"/>
        </w:rPr>
        <w:t>oyees has already been formulated.</w:t>
      </w:r>
      <w:r w:rsidR="00A25F95">
        <w:rPr>
          <w:sz w:val="22"/>
          <w:szCs w:val="22"/>
        </w:rPr>
        <w:t xml:space="preserve">  Earlier, the salary </w:t>
      </w:r>
      <w:r w:rsidR="004D0C8B">
        <w:rPr>
          <w:sz w:val="22"/>
          <w:szCs w:val="22"/>
        </w:rPr>
        <w:t>structure of petitioner’s employees has been in line with the recommendations of the Central Pay Commission and has</w:t>
      </w:r>
      <w:r w:rsidR="0075707F">
        <w:rPr>
          <w:sz w:val="22"/>
          <w:szCs w:val="22"/>
        </w:rPr>
        <w:t xml:space="preserve"> been synchronized with implementation date of these regulations with Central Govt.  Therefore, </w:t>
      </w:r>
      <w:r w:rsidR="00A25F95">
        <w:rPr>
          <w:sz w:val="22"/>
          <w:szCs w:val="22"/>
        </w:rPr>
        <w:t xml:space="preserve"> 7</w:t>
      </w:r>
      <w:r w:rsidR="00A25F95" w:rsidRPr="00A25F95">
        <w:rPr>
          <w:sz w:val="22"/>
          <w:szCs w:val="22"/>
          <w:vertAlign w:val="superscript"/>
        </w:rPr>
        <w:t>th</w:t>
      </w:r>
      <w:r w:rsidR="00A25F95">
        <w:rPr>
          <w:sz w:val="22"/>
          <w:szCs w:val="22"/>
        </w:rPr>
        <w:t xml:space="preserve"> Pay Commission recommendations </w:t>
      </w:r>
      <w:r w:rsidR="0075707F">
        <w:rPr>
          <w:sz w:val="22"/>
          <w:szCs w:val="22"/>
        </w:rPr>
        <w:t>which are likely to be implemented in January, 2016 may have impact on employees salary and expenses of the petitioner.</w:t>
      </w:r>
      <w:r w:rsidR="00A25F95">
        <w:rPr>
          <w:sz w:val="22"/>
          <w:szCs w:val="22"/>
        </w:rPr>
        <w:t xml:space="preserve"> </w:t>
      </w:r>
    </w:p>
    <w:p w:rsidR="00821122" w:rsidRPr="00A1316B" w:rsidRDefault="00492D2D" w:rsidP="00A1316B">
      <w:pPr>
        <w:pStyle w:val="Caption"/>
        <w:jc w:val="center"/>
      </w:pPr>
      <w:bookmarkStart w:id="34" w:name="_Toc411525184"/>
      <w:r>
        <w:t xml:space="preserve">Table </w:t>
      </w:r>
      <w:fldSimple w:instr=" SEQ Table \* ARABIC ">
        <w:r w:rsidR="000F406F">
          <w:rPr>
            <w:noProof/>
          </w:rPr>
          <w:t>9</w:t>
        </w:r>
      </w:fldSimple>
      <w:r>
        <w:t xml:space="preserve"> : </w:t>
      </w:r>
      <w:r w:rsidR="00821122" w:rsidRPr="00A1316B">
        <w:t>Employee Expense for PPS-I</w:t>
      </w:r>
      <w:bookmarkEnd w:id="34"/>
    </w:p>
    <w:tbl>
      <w:tblPr>
        <w:tblW w:w="8508" w:type="dxa"/>
        <w:tblInd w:w="153" w:type="dxa"/>
        <w:tblLayout w:type="fixed"/>
        <w:tblLook w:val="0000"/>
      </w:tblPr>
      <w:tblGrid>
        <w:gridCol w:w="2543"/>
        <w:gridCol w:w="1523"/>
        <w:gridCol w:w="1348"/>
        <w:gridCol w:w="1629"/>
        <w:gridCol w:w="1465"/>
      </w:tblGrid>
      <w:tr w:rsidR="006440CE" w:rsidRPr="00492D2D" w:rsidTr="004A4892">
        <w:trPr>
          <w:trHeight w:val="665"/>
        </w:trPr>
        <w:tc>
          <w:tcPr>
            <w:tcW w:w="2543"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6440CE" w:rsidRPr="00492D2D" w:rsidRDefault="006440CE" w:rsidP="00492D2D">
            <w:pPr>
              <w:spacing w:line="240" w:lineRule="auto"/>
              <w:rPr>
                <w:b/>
                <w:bCs/>
                <w:color w:val="FFFFFF"/>
                <w:sz w:val="22"/>
                <w:szCs w:val="22"/>
              </w:rPr>
            </w:pPr>
            <w:r w:rsidRPr="00492D2D">
              <w:rPr>
                <w:b/>
                <w:bCs/>
                <w:color w:val="FFFFFF"/>
                <w:sz w:val="22"/>
                <w:szCs w:val="22"/>
              </w:rPr>
              <w:t xml:space="preserve">Particulars </w:t>
            </w:r>
          </w:p>
          <w:p w:rsidR="006440CE" w:rsidRPr="00492D2D" w:rsidRDefault="006440CE" w:rsidP="00492D2D">
            <w:pPr>
              <w:spacing w:line="240" w:lineRule="auto"/>
              <w:rPr>
                <w:b/>
                <w:bCs/>
                <w:color w:val="FFFFFF"/>
                <w:sz w:val="22"/>
                <w:szCs w:val="22"/>
              </w:rPr>
            </w:pPr>
            <w:r w:rsidRPr="00492D2D">
              <w:rPr>
                <w:b/>
                <w:bCs/>
                <w:color w:val="FFFFFF"/>
                <w:sz w:val="22"/>
                <w:szCs w:val="22"/>
              </w:rPr>
              <w:t>(Rs. Crores)</w:t>
            </w:r>
          </w:p>
        </w:tc>
        <w:tc>
          <w:tcPr>
            <w:tcW w:w="1523" w:type="dxa"/>
            <w:tcBorders>
              <w:top w:val="single" w:sz="4" w:space="0" w:color="auto"/>
              <w:left w:val="nil"/>
              <w:bottom w:val="single" w:sz="4" w:space="0" w:color="auto"/>
              <w:right w:val="single" w:sz="4" w:space="0" w:color="auto"/>
            </w:tcBorders>
            <w:shd w:val="clear" w:color="auto" w:fill="000080"/>
            <w:vAlign w:val="center"/>
          </w:tcPr>
          <w:p w:rsidR="006440CE" w:rsidRPr="00492D2D" w:rsidRDefault="006440CE" w:rsidP="00492D2D">
            <w:pPr>
              <w:jc w:val="center"/>
              <w:rPr>
                <w:rFonts w:cs="Arial"/>
                <w:b/>
                <w:bCs/>
                <w:sz w:val="22"/>
                <w:szCs w:val="22"/>
              </w:rPr>
            </w:pPr>
            <w:r w:rsidRPr="00492D2D">
              <w:rPr>
                <w:rFonts w:cs="Arial"/>
                <w:b/>
                <w:bCs/>
                <w:sz w:val="22"/>
                <w:szCs w:val="22"/>
              </w:rPr>
              <w:t>12-13</w:t>
            </w:r>
          </w:p>
        </w:tc>
        <w:tc>
          <w:tcPr>
            <w:tcW w:w="1348" w:type="dxa"/>
            <w:tcBorders>
              <w:top w:val="single" w:sz="4" w:space="0" w:color="auto"/>
              <w:left w:val="nil"/>
              <w:bottom w:val="single" w:sz="4" w:space="0" w:color="auto"/>
              <w:right w:val="single" w:sz="4" w:space="0" w:color="auto"/>
            </w:tcBorders>
            <w:shd w:val="clear" w:color="auto" w:fill="000080"/>
            <w:vAlign w:val="center"/>
          </w:tcPr>
          <w:p w:rsidR="006440CE" w:rsidRPr="00492D2D" w:rsidRDefault="006440CE" w:rsidP="004A4892">
            <w:pPr>
              <w:jc w:val="center"/>
              <w:rPr>
                <w:rFonts w:cs="Arial"/>
                <w:b/>
                <w:bCs/>
                <w:sz w:val="22"/>
                <w:szCs w:val="22"/>
              </w:rPr>
            </w:pPr>
            <w:r w:rsidRPr="00492D2D">
              <w:rPr>
                <w:rFonts w:cs="Arial"/>
                <w:b/>
                <w:bCs/>
                <w:sz w:val="22"/>
                <w:szCs w:val="22"/>
              </w:rPr>
              <w:t>13-14</w:t>
            </w:r>
          </w:p>
        </w:tc>
        <w:tc>
          <w:tcPr>
            <w:tcW w:w="1629" w:type="dxa"/>
            <w:tcBorders>
              <w:top w:val="single" w:sz="4" w:space="0" w:color="auto"/>
              <w:left w:val="nil"/>
              <w:bottom w:val="single" w:sz="4" w:space="0" w:color="auto"/>
              <w:right w:val="single" w:sz="4" w:space="0" w:color="auto"/>
            </w:tcBorders>
            <w:shd w:val="clear" w:color="auto" w:fill="000080"/>
            <w:vAlign w:val="center"/>
          </w:tcPr>
          <w:p w:rsidR="006440CE" w:rsidRPr="00492D2D" w:rsidRDefault="006440CE" w:rsidP="004A4892">
            <w:pPr>
              <w:jc w:val="center"/>
              <w:rPr>
                <w:rFonts w:cs="Arial"/>
                <w:b/>
                <w:bCs/>
                <w:sz w:val="22"/>
                <w:szCs w:val="22"/>
              </w:rPr>
            </w:pPr>
            <w:r w:rsidRPr="00492D2D">
              <w:rPr>
                <w:rFonts w:cs="Arial"/>
                <w:b/>
                <w:bCs/>
                <w:sz w:val="22"/>
                <w:szCs w:val="22"/>
              </w:rPr>
              <w:t>14-15</w:t>
            </w:r>
          </w:p>
        </w:tc>
        <w:tc>
          <w:tcPr>
            <w:tcW w:w="1465" w:type="dxa"/>
            <w:tcBorders>
              <w:top w:val="single" w:sz="4" w:space="0" w:color="auto"/>
              <w:left w:val="nil"/>
              <w:bottom w:val="single" w:sz="4" w:space="0" w:color="auto"/>
              <w:right w:val="single" w:sz="4" w:space="0" w:color="auto"/>
            </w:tcBorders>
            <w:shd w:val="clear" w:color="auto" w:fill="000080"/>
            <w:vAlign w:val="center"/>
          </w:tcPr>
          <w:p w:rsidR="006440CE" w:rsidRPr="00492D2D" w:rsidRDefault="0064724E" w:rsidP="004A4892">
            <w:pPr>
              <w:jc w:val="center"/>
              <w:rPr>
                <w:rFonts w:cs="Arial"/>
                <w:b/>
                <w:bCs/>
                <w:sz w:val="22"/>
                <w:szCs w:val="22"/>
              </w:rPr>
            </w:pPr>
            <w:r>
              <w:rPr>
                <w:b/>
                <w:bCs/>
                <w:sz w:val="22"/>
                <w:szCs w:val="22"/>
              </w:rPr>
              <w:t>15-16 (Estimated)</w:t>
            </w:r>
          </w:p>
        </w:tc>
      </w:tr>
      <w:tr w:rsidR="00720CBE" w:rsidRPr="00492D2D" w:rsidTr="00EE2D3A">
        <w:trPr>
          <w:trHeight w:val="665"/>
        </w:trPr>
        <w:tc>
          <w:tcPr>
            <w:tcW w:w="2543" w:type="dxa"/>
            <w:tcBorders>
              <w:top w:val="nil"/>
              <w:left w:val="single" w:sz="4" w:space="0" w:color="auto"/>
              <w:bottom w:val="single" w:sz="4" w:space="0" w:color="auto"/>
              <w:right w:val="single" w:sz="4" w:space="0" w:color="auto"/>
            </w:tcBorders>
            <w:shd w:val="clear" w:color="auto" w:fill="auto"/>
            <w:vAlign w:val="center"/>
          </w:tcPr>
          <w:p w:rsidR="00720CBE" w:rsidRPr="00492D2D" w:rsidRDefault="00720CBE" w:rsidP="00EE2D3A">
            <w:pPr>
              <w:jc w:val="center"/>
              <w:rPr>
                <w:b/>
                <w:bCs/>
                <w:sz w:val="22"/>
                <w:szCs w:val="22"/>
              </w:rPr>
            </w:pPr>
            <w:r w:rsidRPr="00492D2D">
              <w:rPr>
                <w:b/>
                <w:bCs/>
                <w:sz w:val="22"/>
                <w:szCs w:val="22"/>
              </w:rPr>
              <w:t>PPS-I</w:t>
            </w:r>
          </w:p>
        </w:tc>
        <w:tc>
          <w:tcPr>
            <w:tcW w:w="1523" w:type="dxa"/>
            <w:tcBorders>
              <w:top w:val="nil"/>
              <w:left w:val="nil"/>
              <w:bottom w:val="single" w:sz="4" w:space="0" w:color="auto"/>
              <w:right w:val="single" w:sz="4" w:space="0" w:color="auto"/>
            </w:tcBorders>
            <w:vAlign w:val="center"/>
          </w:tcPr>
          <w:p w:rsidR="00720CBE" w:rsidRPr="00720CBE" w:rsidRDefault="00720CBE" w:rsidP="00EE2D3A">
            <w:pPr>
              <w:jc w:val="center"/>
              <w:rPr>
                <w:rFonts w:ascii="Arial" w:hAnsi="Arial" w:cs="Arial"/>
                <w:b/>
                <w:sz w:val="20"/>
                <w:szCs w:val="20"/>
              </w:rPr>
            </w:pPr>
            <w:r w:rsidRPr="00720CBE">
              <w:rPr>
                <w:rFonts w:ascii="Arial" w:hAnsi="Arial" w:cs="Arial"/>
                <w:b/>
                <w:sz w:val="20"/>
                <w:szCs w:val="20"/>
              </w:rPr>
              <w:t>18.03</w:t>
            </w:r>
          </w:p>
        </w:tc>
        <w:tc>
          <w:tcPr>
            <w:tcW w:w="1348" w:type="dxa"/>
            <w:tcBorders>
              <w:top w:val="nil"/>
              <w:left w:val="nil"/>
              <w:bottom w:val="single" w:sz="4" w:space="0" w:color="auto"/>
              <w:right w:val="single" w:sz="4" w:space="0" w:color="auto"/>
            </w:tcBorders>
            <w:vAlign w:val="center"/>
          </w:tcPr>
          <w:p w:rsidR="00720CBE" w:rsidRPr="00720CBE" w:rsidRDefault="00720CBE" w:rsidP="00EE2D3A">
            <w:pPr>
              <w:jc w:val="center"/>
              <w:rPr>
                <w:rFonts w:ascii="Arial" w:hAnsi="Arial" w:cs="Arial"/>
                <w:b/>
                <w:sz w:val="20"/>
                <w:szCs w:val="20"/>
              </w:rPr>
            </w:pPr>
            <w:r w:rsidRPr="00720CBE">
              <w:rPr>
                <w:rFonts w:ascii="Arial" w:hAnsi="Arial" w:cs="Arial"/>
                <w:b/>
                <w:sz w:val="20"/>
                <w:szCs w:val="20"/>
              </w:rPr>
              <w:t>18.75</w:t>
            </w:r>
          </w:p>
        </w:tc>
        <w:tc>
          <w:tcPr>
            <w:tcW w:w="1629" w:type="dxa"/>
            <w:tcBorders>
              <w:top w:val="nil"/>
              <w:left w:val="nil"/>
              <w:bottom w:val="single" w:sz="4" w:space="0" w:color="auto"/>
              <w:right w:val="single" w:sz="4" w:space="0" w:color="auto"/>
            </w:tcBorders>
            <w:vAlign w:val="center"/>
          </w:tcPr>
          <w:p w:rsidR="00720CBE" w:rsidRPr="00720CBE" w:rsidRDefault="00720CBE" w:rsidP="00EE2D3A">
            <w:pPr>
              <w:jc w:val="center"/>
              <w:rPr>
                <w:rFonts w:ascii="Arial" w:hAnsi="Arial" w:cs="Arial"/>
                <w:b/>
                <w:sz w:val="20"/>
                <w:szCs w:val="20"/>
              </w:rPr>
            </w:pPr>
            <w:r w:rsidRPr="00720CBE">
              <w:rPr>
                <w:rFonts w:ascii="Arial" w:hAnsi="Arial" w:cs="Arial"/>
                <w:b/>
                <w:sz w:val="20"/>
                <w:szCs w:val="20"/>
              </w:rPr>
              <w:t>20.41</w:t>
            </w:r>
          </w:p>
        </w:tc>
        <w:tc>
          <w:tcPr>
            <w:tcW w:w="1465" w:type="dxa"/>
            <w:tcBorders>
              <w:top w:val="nil"/>
              <w:left w:val="nil"/>
              <w:bottom w:val="single" w:sz="4" w:space="0" w:color="auto"/>
              <w:right w:val="single" w:sz="4" w:space="0" w:color="auto"/>
            </w:tcBorders>
            <w:vAlign w:val="center"/>
          </w:tcPr>
          <w:p w:rsidR="00720CBE" w:rsidRPr="00720CBE" w:rsidRDefault="00720CBE" w:rsidP="00EE2D3A">
            <w:pPr>
              <w:jc w:val="center"/>
              <w:rPr>
                <w:rFonts w:ascii="Arial" w:hAnsi="Arial" w:cs="Arial"/>
                <w:b/>
                <w:sz w:val="20"/>
                <w:szCs w:val="20"/>
              </w:rPr>
            </w:pPr>
            <w:r w:rsidRPr="00720CBE">
              <w:rPr>
                <w:rFonts w:ascii="Arial" w:hAnsi="Arial" w:cs="Arial"/>
                <w:b/>
                <w:sz w:val="20"/>
                <w:szCs w:val="20"/>
              </w:rPr>
              <w:t>22.22</w:t>
            </w:r>
          </w:p>
        </w:tc>
      </w:tr>
    </w:tbl>
    <w:p w:rsidR="00D060FA" w:rsidRDefault="00D060FA" w:rsidP="00D060FA">
      <w:pPr>
        <w:rPr>
          <w:sz w:val="22"/>
          <w:szCs w:val="22"/>
        </w:rPr>
      </w:pPr>
    </w:p>
    <w:p w:rsidR="000F7069" w:rsidRDefault="00D060FA" w:rsidP="00D060FA">
      <w:pPr>
        <w:rPr>
          <w:sz w:val="22"/>
          <w:szCs w:val="22"/>
        </w:rPr>
      </w:pPr>
      <w:r>
        <w:rPr>
          <w:sz w:val="22"/>
          <w:szCs w:val="22"/>
        </w:rPr>
        <w:t>T</w:t>
      </w:r>
      <w:r w:rsidR="000F7069">
        <w:rPr>
          <w:sz w:val="22"/>
          <w:szCs w:val="22"/>
        </w:rPr>
        <w:t xml:space="preserve">he </w:t>
      </w:r>
      <w:r>
        <w:rPr>
          <w:sz w:val="22"/>
          <w:szCs w:val="22"/>
        </w:rPr>
        <w:t xml:space="preserve">Hon’ble </w:t>
      </w:r>
      <w:r w:rsidR="000F7069">
        <w:rPr>
          <w:sz w:val="22"/>
          <w:szCs w:val="22"/>
        </w:rPr>
        <w:t xml:space="preserve">Commission </w:t>
      </w:r>
      <w:r w:rsidR="006538B8">
        <w:rPr>
          <w:sz w:val="22"/>
          <w:szCs w:val="22"/>
        </w:rPr>
        <w:t xml:space="preserve">is, therefore, </w:t>
      </w:r>
      <w:r>
        <w:rPr>
          <w:sz w:val="22"/>
          <w:szCs w:val="22"/>
        </w:rPr>
        <w:t xml:space="preserve">requested to </w:t>
      </w:r>
      <w:r w:rsidR="000F7069">
        <w:rPr>
          <w:sz w:val="22"/>
          <w:szCs w:val="22"/>
        </w:rPr>
        <w:t>approve employee expenses</w:t>
      </w:r>
      <w:r>
        <w:rPr>
          <w:sz w:val="22"/>
          <w:szCs w:val="22"/>
        </w:rPr>
        <w:t xml:space="preserve"> </w:t>
      </w:r>
      <w:r w:rsidR="00F61E02">
        <w:rPr>
          <w:sz w:val="22"/>
          <w:szCs w:val="22"/>
        </w:rPr>
        <w:t xml:space="preserve">escalation index, employees expenses </w:t>
      </w:r>
      <w:r>
        <w:rPr>
          <w:sz w:val="22"/>
          <w:szCs w:val="22"/>
        </w:rPr>
        <w:t>for FY 201</w:t>
      </w:r>
      <w:r w:rsidR="00145F3D">
        <w:rPr>
          <w:sz w:val="22"/>
          <w:szCs w:val="22"/>
        </w:rPr>
        <w:t>2</w:t>
      </w:r>
      <w:r>
        <w:rPr>
          <w:sz w:val="22"/>
          <w:szCs w:val="22"/>
        </w:rPr>
        <w:t>-1</w:t>
      </w:r>
      <w:r w:rsidR="00145F3D">
        <w:rPr>
          <w:sz w:val="22"/>
          <w:szCs w:val="22"/>
        </w:rPr>
        <w:t>3 to FY 2014-15</w:t>
      </w:r>
      <w:r>
        <w:rPr>
          <w:sz w:val="22"/>
          <w:szCs w:val="22"/>
        </w:rPr>
        <w:t xml:space="preserve"> and </w:t>
      </w:r>
      <w:r w:rsidR="00F61E02">
        <w:rPr>
          <w:sz w:val="22"/>
          <w:szCs w:val="22"/>
        </w:rPr>
        <w:t>allow</w:t>
      </w:r>
      <w:r>
        <w:rPr>
          <w:sz w:val="22"/>
          <w:szCs w:val="22"/>
        </w:rPr>
        <w:t xml:space="preserve"> </w:t>
      </w:r>
      <w:r w:rsidR="00F61E02">
        <w:rPr>
          <w:sz w:val="22"/>
          <w:szCs w:val="22"/>
        </w:rPr>
        <w:t>projected</w:t>
      </w:r>
      <w:r>
        <w:rPr>
          <w:sz w:val="22"/>
          <w:szCs w:val="22"/>
        </w:rPr>
        <w:t xml:space="preserve"> employee expenses for FY </w:t>
      </w:r>
      <w:r w:rsidR="00F61E02">
        <w:rPr>
          <w:sz w:val="22"/>
          <w:szCs w:val="22"/>
        </w:rPr>
        <w:t>2015-16</w:t>
      </w:r>
      <w:r w:rsidR="000F7069">
        <w:rPr>
          <w:sz w:val="22"/>
          <w:szCs w:val="22"/>
        </w:rPr>
        <w:t xml:space="preserve"> as summarized in Table </w:t>
      </w:r>
      <w:r w:rsidR="00EF2FFD">
        <w:rPr>
          <w:sz w:val="22"/>
          <w:szCs w:val="22"/>
        </w:rPr>
        <w:t>9</w:t>
      </w:r>
      <w:r w:rsidR="000F7069">
        <w:rPr>
          <w:sz w:val="22"/>
          <w:szCs w:val="22"/>
        </w:rPr>
        <w:t xml:space="preserve"> after considering the </w:t>
      </w:r>
      <w:r w:rsidR="00197AA0">
        <w:rPr>
          <w:sz w:val="22"/>
          <w:szCs w:val="22"/>
        </w:rPr>
        <w:t xml:space="preserve">above </w:t>
      </w:r>
      <w:r w:rsidR="00A17280">
        <w:rPr>
          <w:sz w:val="22"/>
          <w:szCs w:val="22"/>
        </w:rPr>
        <w:t>facts</w:t>
      </w:r>
      <w:r w:rsidR="000F7069">
        <w:rPr>
          <w:sz w:val="22"/>
          <w:szCs w:val="22"/>
        </w:rPr>
        <w:t>.</w:t>
      </w:r>
    </w:p>
    <w:p w:rsidR="000F7069" w:rsidRDefault="000F7069">
      <w:pPr>
        <w:pStyle w:val="Caption"/>
      </w:pPr>
      <w:r>
        <w:t>4.2.2 Repair &amp; Maintenance</w:t>
      </w:r>
    </w:p>
    <w:p w:rsidR="000F7069" w:rsidRDefault="000F7069">
      <w:pPr>
        <w:numPr>
          <w:ilvl w:val="0"/>
          <w:numId w:val="15"/>
        </w:numPr>
        <w:rPr>
          <w:sz w:val="22"/>
          <w:szCs w:val="22"/>
        </w:rPr>
      </w:pPr>
      <w:r>
        <w:rPr>
          <w:sz w:val="22"/>
          <w:szCs w:val="22"/>
        </w:rPr>
        <w:t>These expenses include expenses on repairs and maintenance of Plant and Machinery, Building, Civil works, Vehicles, Furniture &amp; Fixtures, Office equipment, etc.</w:t>
      </w:r>
    </w:p>
    <w:p w:rsidR="000F7069" w:rsidRDefault="000F7069">
      <w:pPr>
        <w:ind w:left="540"/>
        <w:rPr>
          <w:sz w:val="22"/>
          <w:szCs w:val="22"/>
        </w:rPr>
      </w:pPr>
    </w:p>
    <w:p w:rsidR="001E6118" w:rsidRPr="0060241B" w:rsidRDefault="00B561D2" w:rsidP="001E6118">
      <w:pPr>
        <w:numPr>
          <w:ilvl w:val="0"/>
          <w:numId w:val="39"/>
        </w:numPr>
        <w:rPr>
          <w:sz w:val="22"/>
          <w:szCs w:val="22"/>
        </w:rPr>
      </w:pPr>
      <w:r w:rsidRPr="00B561D2">
        <w:rPr>
          <w:sz w:val="22"/>
          <w:szCs w:val="22"/>
        </w:rPr>
        <w:t>Pragati Power Station</w:t>
      </w:r>
      <w:r w:rsidR="00BE54FB">
        <w:rPr>
          <w:sz w:val="22"/>
          <w:szCs w:val="22"/>
        </w:rPr>
        <w:t>-I</w:t>
      </w:r>
      <w:r w:rsidRPr="00B561D2">
        <w:rPr>
          <w:sz w:val="22"/>
          <w:szCs w:val="22"/>
        </w:rPr>
        <w:t xml:space="preserve"> is  sourcing </w:t>
      </w:r>
      <w:r w:rsidR="005A2789">
        <w:rPr>
          <w:sz w:val="22"/>
          <w:szCs w:val="22"/>
        </w:rPr>
        <w:t>plant</w:t>
      </w:r>
      <w:r w:rsidRPr="00B561D2">
        <w:rPr>
          <w:sz w:val="22"/>
          <w:szCs w:val="22"/>
        </w:rPr>
        <w:t xml:space="preserve"> water requirement</w:t>
      </w:r>
      <w:r w:rsidR="00BE54FB">
        <w:rPr>
          <w:sz w:val="22"/>
          <w:szCs w:val="22"/>
        </w:rPr>
        <w:t xml:space="preserve"> from the </w:t>
      </w:r>
      <w:r w:rsidRPr="00B561D2">
        <w:rPr>
          <w:sz w:val="22"/>
          <w:szCs w:val="22"/>
        </w:rPr>
        <w:t xml:space="preserve"> treated effluent water from sewage treatment plants and has to incur more cost to get raw water, as compared to other similar stations being operated elsewhere in the country</w:t>
      </w:r>
      <w:r w:rsidR="00BE54FB">
        <w:rPr>
          <w:sz w:val="22"/>
          <w:szCs w:val="22"/>
        </w:rPr>
        <w:t>,</w:t>
      </w:r>
      <w:r w:rsidRPr="00B561D2">
        <w:rPr>
          <w:sz w:val="22"/>
          <w:szCs w:val="22"/>
        </w:rPr>
        <w:t xml:space="preserve"> drawing water from river and pay</w:t>
      </w:r>
      <w:r w:rsidR="001C42F4">
        <w:rPr>
          <w:sz w:val="22"/>
          <w:szCs w:val="22"/>
        </w:rPr>
        <w:t>ing</w:t>
      </w:r>
      <w:r w:rsidRPr="00B561D2">
        <w:rPr>
          <w:sz w:val="22"/>
          <w:szCs w:val="22"/>
        </w:rPr>
        <w:t xml:space="preserve"> nominal water cess. </w:t>
      </w:r>
      <w:r w:rsidR="00BE54FB">
        <w:rPr>
          <w:sz w:val="22"/>
          <w:szCs w:val="22"/>
        </w:rPr>
        <w:t>PPS-I</w:t>
      </w:r>
      <w:r w:rsidRPr="00B561D2">
        <w:rPr>
          <w:sz w:val="22"/>
          <w:szCs w:val="22"/>
        </w:rPr>
        <w:t xml:space="preserve"> has taken over the </w:t>
      </w:r>
      <w:r w:rsidR="00C80402">
        <w:rPr>
          <w:sz w:val="22"/>
          <w:szCs w:val="22"/>
        </w:rPr>
        <w:t xml:space="preserve">operation of the </w:t>
      </w:r>
      <w:r w:rsidRPr="00B561D2">
        <w:rPr>
          <w:sz w:val="22"/>
          <w:szCs w:val="22"/>
        </w:rPr>
        <w:t xml:space="preserve">sewage water treatment plants from Delhi Jal Board for </w:t>
      </w:r>
      <w:r w:rsidRPr="00EC346E">
        <w:rPr>
          <w:sz w:val="22"/>
          <w:szCs w:val="22"/>
        </w:rPr>
        <w:t xml:space="preserve">treating the sewerage water from Delhi Gate Nala </w:t>
      </w:r>
      <w:r w:rsidRPr="00EC346E">
        <w:rPr>
          <w:sz w:val="22"/>
          <w:szCs w:val="22"/>
        </w:rPr>
        <w:lastRenderedPageBreak/>
        <w:t>and Sen Nursing Home Nala. The</w:t>
      </w:r>
      <w:r w:rsidR="000D2575" w:rsidRPr="00EC346E">
        <w:rPr>
          <w:sz w:val="22"/>
          <w:szCs w:val="22"/>
        </w:rPr>
        <w:t xml:space="preserve"> </w:t>
      </w:r>
      <w:r w:rsidR="0066728F" w:rsidRPr="00EC346E">
        <w:rPr>
          <w:sz w:val="22"/>
          <w:szCs w:val="22"/>
        </w:rPr>
        <w:t>estimated expenditure on</w:t>
      </w:r>
      <w:r w:rsidRPr="00EC346E">
        <w:rPr>
          <w:sz w:val="22"/>
          <w:szCs w:val="22"/>
        </w:rPr>
        <w:t xml:space="preserve"> this account is Rs.</w:t>
      </w:r>
      <w:r w:rsidR="00393610" w:rsidRPr="00EC346E">
        <w:rPr>
          <w:sz w:val="22"/>
          <w:szCs w:val="22"/>
        </w:rPr>
        <w:t>4.</w:t>
      </w:r>
      <w:r w:rsidR="009A4B40" w:rsidRPr="00EC346E">
        <w:rPr>
          <w:sz w:val="22"/>
          <w:szCs w:val="22"/>
        </w:rPr>
        <w:t>67</w:t>
      </w:r>
      <w:r w:rsidRPr="00EC346E">
        <w:rPr>
          <w:sz w:val="22"/>
          <w:szCs w:val="22"/>
        </w:rPr>
        <w:t xml:space="preserve"> Cr</w:t>
      </w:r>
      <w:r w:rsidR="000B34FE" w:rsidRPr="00EC346E">
        <w:rPr>
          <w:sz w:val="22"/>
          <w:szCs w:val="22"/>
        </w:rPr>
        <w:t>ore</w:t>
      </w:r>
      <w:r w:rsidRPr="00EC346E">
        <w:rPr>
          <w:sz w:val="22"/>
          <w:szCs w:val="22"/>
        </w:rPr>
        <w:t xml:space="preserve"> </w:t>
      </w:r>
      <w:r w:rsidR="000B34FE" w:rsidRPr="00EC346E">
        <w:rPr>
          <w:sz w:val="22"/>
          <w:szCs w:val="22"/>
        </w:rPr>
        <w:t>d</w:t>
      </w:r>
      <w:r w:rsidR="000D2575" w:rsidRPr="00EC346E">
        <w:rPr>
          <w:sz w:val="22"/>
          <w:szCs w:val="22"/>
        </w:rPr>
        <w:t>uring the FY</w:t>
      </w:r>
      <w:r w:rsidR="001F0017" w:rsidRPr="00EC346E">
        <w:rPr>
          <w:sz w:val="22"/>
          <w:szCs w:val="22"/>
        </w:rPr>
        <w:t xml:space="preserve"> 2015-16</w:t>
      </w:r>
      <w:r w:rsidR="00386B71" w:rsidRPr="00EC346E">
        <w:rPr>
          <w:sz w:val="22"/>
          <w:szCs w:val="22"/>
        </w:rPr>
        <w:t xml:space="preserve"> </w:t>
      </w:r>
      <w:r w:rsidRPr="00EC346E">
        <w:rPr>
          <w:sz w:val="22"/>
          <w:szCs w:val="22"/>
        </w:rPr>
        <w:t xml:space="preserve">which </w:t>
      </w:r>
      <w:r w:rsidR="00386B71" w:rsidRPr="00EC346E">
        <w:rPr>
          <w:sz w:val="22"/>
          <w:szCs w:val="22"/>
        </w:rPr>
        <w:t xml:space="preserve">mainly </w:t>
      </w:r>
      <w:r w:rsidRPr="00EC346E">
        <w:rPr>
          <w:sz w:val="22"/>
          <w:szCs w:val="22"/>
        </w:rPr>
        <w:t xml:space="preserve">includes expenditure on </w:t>
      </w:r>
      <w:r w:rsidR="00386B71" w:rsidRPr="00EC346E">
        <w:rPr>
          <w:sz w:val="22"/>
          <w:szCs w:val="22"/>
        </w:rPr>
        <w:t xml:space="preserve">operation, </w:t>
      </w:r>
      <w:r w:rsidRPr="00EC346E">
        <w:rPr>
          <w:sz w:val="22"/>
          <w:szCs w:val="22"/>
        </w:rPr>
        <w:t>electricity, Chemicals etc</w:t>
      </w:r>
      <w:r w:rsidRPr="00EC1F30">
        <w:rPr>
          <w:sz w:val="22"/>
          <w:szCs w:val="22"/>
        </w:rPr>
        <w:t>.</w:t>
      </w:r>
      <w:r w:rsidR="001E6118">
        <w:t xml:space="preserve"> </w:t>
      </w:r>
      <w:r w:rsidR="00E652C4" w:rsidRPr="0060241B">
        <w:rPr>
          <w:sz w:val="22"/>
          <w:szCs w:val="22"/>
        </w:rPr>
        <w:t>Petitioner</w:t>
      </w:r>
      <w:r w:rsidR="001E6118" w:rsidRPr="0060241B">
        <w:rPr>
          <w:sz w:val="22"/>
          <w:szCs w:val="22"/>
        </w:rPr>
        <w:t xml:space="preserve"> may further like to submit that These plants were commissioned by Delhi Jal Board </w:t>
      </w:r>
      <w:r w:rsidR="00DC5829">
        <w:rPr>
          <w:sz w:val="22"/>
          <w:szCs w:val="22"/>
        </w:rPr>
        <w:t xml:space="preserve">, </w:t>
      </w:r>
      <w:r w:rsidR="001E6118" w:rsidRPr="0060241B">
        <w:rPr>
          <w:sz w:val="22"/>
          <w:szCs w:val="22"/>
        </w:rPr>
        <w:t>after handing over to these plant</w:t>
      </w:r>
      <w:r w:rsidR="00DC5829">
        <w:rPr>
          <w:sz w:val="22"/>
          <w:szCs w:val="22"/>
        </w:rPr>
        <w:t xml:space="preserve">s to petitioner , </w:t>
      </w:r>
      <w:r w:rsidR="001E6118" w:rsidRPr="0060241B">
        <w:rPr>
          <w:sz w:val="22"/>
          <w:szCs w:val="22"/>
        </w:rPr>
        <w:t xml:space="preserve"> are being operated round the clock to supply uninterrupted raw water to </w:t>
      </w:r>
      <w:r w:rsidR="00DC5829">
        <w:rPr>
          <w:sz w:val="22"/>
          <w:szCs w:val="22"/>
        </w:rPr>
        <w:t>PPS-1</w:t>
      </w:r>
      <w:r w:rsidR="001E6118" w:rsidRPr="0060241B">
        <w:rPr>
          <w:sz w:val="22"/>
          <w:szCs w:val="22"/>
        </w:rPr>
        <w:t xml:space="preserve">. Operation and Maintenance of the Plant is entrusted to originally equipment manufacturer M/s./ Degremont on year to year contact basis.  Being in operation for more than 15 years some of the major equipments require replacement / extensive maintenance to ensure continuous smooth operation of plant. </w:t>
      </w:r>
    </w:p>
    <w:p w:rsidR="001E6118" w:rsidRPr="0060241B" w:rsidRDefault="001E6118" w:rsidP="00373274">
      <w:pPr>
        <w:spacing w:line="240" w:lineRule="auto"/>
        <w:ind w:left="720"/>
        <w:rPr>
          <w:sz w:val="22"/>
          <w:szCs w:val="22"/>
        </w:rPr>
      </w:pPr>
    </w:p>
    <w:p w:rsidR="001E6118" w:rsidRPr="0060241B" w:rsidRDefault="001E6118" w:rsidP="001E6118">
      <w:pPr>
        <w:ind w:left="720" w:firstLine="720"/>
        <w:rPr>
          <w:sz w:val="22"/>
          <w:szCs w:val="22"/>
        </w:rPr>
      </w:pPr>
      <w:r w:rsidRPr="0060241B">
        <w:rPr>
          <w:sz w:val="22"/>
          <w:szCs w:val="22"/>
        </w:rPr>
        <w:t>The following are the major equipment requiring replacement/extensive maintenance is required in each of STP</w:t>
      </w:r>
      <w:r w:rsidR="00DC5829">
        <w:rPr>
          <w:sz w:val="22"/>
          <w:szCs w:val="22"/>
        </w:rPr>
        <w:t>:</w:t>
      </w:r>
      <w:r w:rsidRPr="0060241B">
        <w:rPr>
          <w:sz w:val="22"/>
          <w:szCs w:val="22"/>
        </w:rPr>
        <w:t xml:space="preserve"> </w:t>
      </w:r>
    </w:p>
    <w:p w:rsidR="001E6118" w:rsidRPr="00E163DF" w:rsidRDefault="001E6118" w:rsidP="001E6118">
      <w:pPr>
        <w:pStyle w:val="Caption"/>
        <w:jc w:val="center"/>
        <w:rPr>
          <w:bCs w:val="0"/>
          <w:sz w:val="22"/>
          <w:szCs w:val="22"/>
        </w:rPr>
      </w:pPr>
      <w:bookmarkStart w:id="35" w:name="_Toc411525185"/>
      <w:r w:rsidRPr="00E163DF">
        <w:rPr>
          <w:bCs w:val="0"/>
          <w:sz w:val="22"/>
          <w:szCs w:val="22"/>
        </w:rPr>
        <w:t xml:space="preserve">Table </w:t>
      </w:r>
      <w:r w:rsidR="009F72BB" w:rsidRPr="00E163DF">
        <w:rPr>
          <w:bCs w:val="0"/>
          <w:sz w:val="22"/>
          <w:szCs w:val="22"/>
        </w:rPr>
        <w:fldChar w:fldCharType="begin"/>
      </w:r>
      <w:r w:rsidRPr="00E163DF">
        <w:rPr>
          <w:bCs w:val="0"/>
          <w:sz w:val="22"/>
          <w:szCs w:val="22"/>
        </w:rPr>
        <w:instrText xml:space="preserve"> SEQ Table \* ARABIC </w:instrText>
      </w:r>
      <w:r w:rsidR="009F72BB" w:rsidRPr="00E163DF">
        <w:rPr>
          <w:bCs w:val="0"/>
          <w:sz w:val="22"/>
          <w:szCs w:val="22"/>
        </w:rPr>
        <w:fldChar w:fldCharType="separate"/>
      </w:r>
      <w:r w:rsidR="000F406F">
        <w:rPr>
          <w:bCs w:val="0"/>
          <w:noProof/>
          <w:sz w:val="22"/>
          <w:szCs w:val="22"/>
        </w:rPr>
        <w:t>10</w:t>
      </w:r>
      <w:r w:rsidR="009F72BB" w:rsidRPr="00E163DF">
        <w:rPr>
          <w:bCs w:val="0"/>
          <w:sz w:val="22"/>
          <w:szCs w:val="22"/>
        </w:rPr>
        <w:fldChar w:fldCharType="end"/>
      </w:r>
      <w:r w:rsidRPr="00E163DF">
        <w:rPr>
          <w:bCs w:val="0"/>
          <w:sz w:val="22"/>
          <w:szCs w:val="22"/>
        </w:rPr>
        <w:t xml:space="preserve"> : Expenditure for each STP</w:t>
      </w:r>
      <w:bookmarkEnd w:id="35"/>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3"/>
        <w:gridCol w:w="4557"/>
        <w:gridCol w:w="2259"/>
      </w:tblGrid>
      <w:tr w:rsidR="001E6118" w:rsidRPr="0060241B" w:rsidTr="00C7293E">
        <w:tc>
          <w:tcPr>
            <w:tcW w:w="843" w:type="dxa"/>
            <w:tcBorders>
              <w:top w:val="single" w:sz="4" w:space="0" w:color="auto"/>
              <w:left w:val="single" w:sz="4" w:space="0" w:color="auto"/>
              <w:bottom w:val="single" w:sz="4" w:space="0" w:color="auto"/>
              <w:right w:val="single" w:sz="4" w:space="0" w:color="auto"/>
            </w:tcBorders>
            <w:shd w:val="clear" w:color="auto" w:fill="00B0F0"/>
            <w:hideMark/>
          </w:tcPr>
          <w:p w:rsidR="001E6118" w:rsidRPr="0060241B" w:rsidRDefault="001E6118" w:rsidP="005B54E0">
            <w:pPr>
              <w:spacing w:line="240" w:lineRule="auto"/>
              <w:rPr>
                <w:sz w:val="22"/>
                <w:szCs w:val="22"/>
              </w:rPr>
            </w:pPr>
            <w:r w:rsidRPr="0060241B">
              <w:rPr>
                <w:sz w:val="22"/>
                <w:szCs w:val="22"/>
              </w:rPr>
              <w:t>Sr.No.</w:t>
            </w:r>
          </w:p>
        </w:tc>
        <w:tc>
          <w:tcPr>
            <w:tcW w:w="4557" w:type="dxa"/>
            <w:tcBorders>
              <w:top w:val="single" w:sz="4" w:space="0" w:color="auto"/>
              <w:left w:val="single" w:sz="4" w:space="0" w:color="auto"/>
              <w:bottom w:val="single" w:sz="4" w:space="0" w:color="auto"/>
              <w:right w:val="single" w:sz="4" w:space="0" w:color="auto"/>
            </w:tcBorders>
            <w:shd w:val="clear" w:color="auto" w:fill="00B0F0"/>
            <w:hideMark/>
          </w:tcPr>
          <w:p w:rsidR="001E6118" w:rsidRPr="0060241B" w:rsidRDefault="001E6118" w:rsidP="005B54E0">
            <w:pPr>
              <w:spacing w:line="240" w:lineRule="auto"/>
              <w:rPr>
                <w:sz w:val="22"/>
                <w:szCs w:val="22"/>
              </w:rPr>
            </w:pPr>
            <w:r w:rsidRPr="0060241B">
              <w:rPr>
                <w:sz w:val="22"/>
                <w:szCs w:val="22"/>
              </w:rPr>
              <w:t>Name of Equipment</w:t>
            </w:r>
          </w:p>
        </w:tc>
        <w:tc>
          <w:tcPr>
            <w:tcW w:w="2259" w:type="dxa"/>
            <w:tcBorders>
              <w:top w:val="single" w:sz="4" w:space="0" w:color="auto"/>
              <w:left w:val="single" w:sz="4" w:space="0" w:color="auto"/>
              <w:bottom w:val="single" w:sz="4" w:space="0" w:color="auto"/>
              <w:right w:val="single" w:sz="4" w:space="0" w:color="auto"/>
            </w:tcBorders>
            <w:shd w:val="clear" w:color="auto" w:fill="00B0F0"/>
            <w:hideMark/>
          </w:tcPr>
          <w:p w:rsidR="001E6118" w:rsidRPr="0060241B" w:rsidRDefault="001E6118" w:rsidP="005B54E0">
            <w:pPr>
              <w:spacing w:line="240" w:lineRule="auto"/>
              <w:rPr>
                <w:sz w:val="22"/>
                <w:szCs w:val="22"/>
              </w:rPr>
            </w:pPr>
            <w:r w:rsidRPr="0060241B">
              <w:rPr>
                <w:sz w:val="22"/>
                <w:szCs w:val="22"/>
              </w:rPr>
              <w:t>Amount in Rs. Lacs</w:t>
            </w:r>
          </w:p>
        </w:tc>
      </w:tr>
      <w:tr w:rsidR="001E6118" w:rsidRPr="0060241B" w:rsidTr="00C7293E">
        <w:tc>
          <w:tcPr>
            <w:tcW w:w="843"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1.</w:t>
            </w:r>
          </w:p>
        </w:tc>
        <w:tc>
          <w:tcPr>
            <w:tcW w:w="4557"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Topping up of Biolite filter media</w:t>
            </w:r>
          </w:p>
        </w:tc>
        <w:tc>
          <w:tcPr>
            <w:tcW w:w="2259"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68.44</w:t>
            </w:r>
          </w:p>
        </w:tc>
      </w:tr>
      <w:tr w:rsidR="001E6118" w:rsidRPr="0060241B" w:rsidTr="00C7293E">
        <w:tc>
          <w:tcPr>
            <w:tcW w:w="843"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2.</w:t>
            </w:r>
          </w:p>
        </w:tc>
        <w:tc>
          <w:tcPr>
            <w:tcW w:w="4557"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Replacement of Coarse screen</w:t>
            </w:r>
          </w:p>
        </w:tc>
        <w:tc>
          <w:tcPr>
            <w:tcW w:w="2259"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13.00</w:t>
            </w:r>
          </w:p>
        </w:tc>
      </w:tr>
      <w:tr w:rsidR="001E6118" w:rsidRPr="0060241B" w:rsidTr="00C7293E">
        <w:tc>
          <w:tcPr>
            <w:tcW w:w="843"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3.</w:t>
            </w:r>
          </w:p>
        </w:tc>
        <w:tc>
          <w:tcPr>
            <w:tcW w:w="4557"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Replacement of 20 mm &amp; 5 mm screen</w:t>
            </w:r>
          </w:p>
        </w:tc>
        <w:tc>
          <w:tcPr>
            <w:tcW w:w="2259"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08.00</w:t>
            </w:r>
          </w:p>
        </w:tc>
      </w:tr>
      <w:tr w:rsidR="001E6118" w:rsidRPr="0060241B" w:rsidTr="00C7293E">
        <w:tc>
          <w:tcPr>
            <w:tcW w:w="843"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4.</w:t>
            </w:r>
          </w:p>
        </w:tc>
        <w:tc>
          <w:tcPr>
            <w:tcW w:w="4557"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 xml:space="preserve">Replacement of Pressdeg belt filter dewatering machine with belt and Rotatary Compressor </w:t>
            </w:r>
          </w:p>
        </w:tc>
        <w:tc>
          <w:tcPr>
            <w:tcW w:w="2259"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44.00</w:t>
            </w:r>
          </w:p>
        </w:tc>
      </w:tr>
      <w:tr w:rsidR="001E6118" w:rsidRPr="0060241B" w:rsidTr="00C7293E">
        <w:tc>
          <w:tcPr>
            <w:tcW w:w="843"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5.</w:t>
            </w:r>
          </w:p>
        </w:tc>
        <w:tc>
          <w:tcPr>
            <w:tcW w:w="4557"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Raking of biolite filtere media</w:t>
            </w:r>
          </w:p>
        </w:tc>
        <w:tc>
          <w:tcPr>
            <w:tcW w:w="2259" w:type="dxa"/>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29.50</w:t>
            </w:r>
          </w:p>
        </w:tc>
      </w:tr>
      <w:tr w:rsidR="001E6118" w:rsidRPr="0060241B" w:rsidTr="00C7293E">
        <w:tc>
          <w:tcPr>
            <w:tcW w:w="7659" w:type="dxa"/>
            <w:gridSpan w:val="3"/>
            <w:tcBorders>
              <w:top w:val="single" w:sz="4" w:space="0" w:color="auto"/>
              <w:left w:val="single" w:sz="4" w:space="0" w:color="auto"/>
              <w:bottom w:val="single" w:sz="4" w:space="0" w:color="auto"/>
              <w:right w:val="single" w:sz="4" w:space="0" w:color="auto"/>
            </w:tcBorders>
            <w:hideMark/>
          </w:tcPr>
          <w:p w:rsidR="001E6118" w:rsidRPr="0060241B" w:rsidRDefault="001E6118" w:rsidP="005B54E0">
            <w:pPr>
              <w:spacing w:line="240" w:lineRule="auto"/>
              <w:rPr>
                <w:sz w:val="22"/>
                <w:szCs w:val="22"/>
              </w:rPr>
            </w:pPr>
            <w:r w:rsidRPr="0060241B">
              <w:rPr>
                <w:sz w:val="22"/>
                <w:szCs w:val="22"/>
              </w:rPr>
              <w:t xml:space="preserve">                                                                     Total        Rs.162.94 Lacs</w:t>
            </w:r>
          </w:p>
        </w:tc>
      </w:tr>
    </w:tbl>
    <w:p w:rsidR="001E6118" w:rsidRPr="0060241B" w:rsidRDefault="001E6118" w:rsidP="001E6118">
      <w:pPr>
        <w:rPr>
          <w:sz w:val="22"/>
          <w:szCs w:val="22"/>
        </w:rPr>
      </w:pPr>
      <w:r w:rsidRPr="0060241B">
        <w:rPr>
          <w:sz w:val="22"/>
          <w:szCs w:val="22"/>
        </w:rPr>
        <w:t xml:space="preserve">  </w:t>
      </w:r>
    </w:p>
    <w:p w:rsidR="001E6118" w:rsidRPr="0060241B" w:rsidRDefault="001E6118" w:rsidP="001E6118">
      <w:pPr>
        <w:ind w:left="720" w:firstLine="720"/>
        <w:rPr>
          <w:sz w:val="22"/>
          <w:szCs w:val="22"/>
        </w:rPr>
      </w:pPr>
      <w:r w:rsidRPr="0060241B">
        <w:rPr>
          <w:sz w:val="22"/>
          <w:szCs w:val="22"/>
        </w:rPr>
        <w:t xml:space="preserve">Accordingly mid life renovation of expenditure of Rs.162.94 Lacs is required for each STP.  It is being planned and proposed to carry out extensive maintenance work at one of the STPs during the year 2015-16 and another in the subsequent year 2016-17.Considering the essential O&amp;M requirement to ensure continuous raw water supply for the plant, Hon,ble </w:t>
      </w:r>
      <w:r w:rsidR="00E163DF">
        <w:rPr>
          <w:sz w:val="22"/>
          <w:szCs w:val="22"/>
        </w:rPr>
        <w:t xml:space="preserve"> commission </w:t>
      </w:r>
      <w:r w:rsidRPr="0060241B">
        <w:rPr>
          <w:sz w:val="22"/>
          <w:szCs w:val="22"/>
        </w:rPr>
        <w:t xml:space="preserve"> is requested to allow above  the expenditure as part of STP during FY 2015-16 and FY 2016-17.</w:t>
      </w:r>
    </w:p>
    <w:p w:rsidR="00A54E96" w:rsidRDefault="00A54E96" w:rsidP="00373274">
      <w:pPr>
        <w:spacing w:line="240" w:lineRule="auto"/>
        <w:rPr>
          <w:sz w:val="22"/>
          <w:szCs w:val="22"/>
        </w:rPr>
      </w:pPr>
    </w:p>
    <w:p w:rsidR="000F7069" w:rsidRDefault="00C47AE3" w:rsidP="001E6118">
      <w:pPr>
        <w:numPr>
          <w:ilvl w:val="0"/>
          <w:numId w:val="39"/>
        </w:numPr>
        <w:rPr>
          <w:sz w:val="22"/>
          <w:szCs w:val="22"/>
        </w:rPr>
      </w:pPr>
      <w:r w:rsidRPr="00071DC8">
        <w:rPr>
          <w:sz w:val="22"/>
          <w:szCs w:val="22"/>
        </w:rPr>
        <w:t>Petitioner</w:t>
      </w:r>
      <w:r>
        <w:rPr>
          <w:sz w:val="22"/>
          <w:szCs w:val="22"/>
        </w:rPr>
        <w:t xml:space="preserve"> </w:t>
      </w:r>
      <w:r w:rsidR="000F7069">
        <w:rPr>
          <w:sz w:val="22"/>
          <w:szCs w:val="22"/>
        </w:rPr>
        <w:t xml:space="preserve">has projected R&amp;M expenses </w:t>
      </w:r>
      <w:r w:rsidR="005A2789">
        <w:rPr>
          <w:sz w:val="22"/>
          <w:szCs w:val="22"/>
        </w:rPr>
        <w:t xml:space="preserve">for PPS-I </w:t>
      </w:r>
      <w:r w:rsidR="000F7069">
        <w:rPr>
          <w:sz w:val="22"/>
          <w:szCs w:val="22"/>
        </w:rPr>
        <w:t xml:space="preserve">for </w:t>
      </w:r>
      <w:r w:rsidR="000C70F6">
        <w:rPr>
          <w:sz w:val="22"/>
          <w:szCs w:val="22"/>
        </w:rPr>
        <w:t>FY 2015-16</w:t>
      </w:r>
      <w:r w:rsidR="00AF18B0">
        <w:rPr>
          <w:sz w:val="22"/>
          <w:szCs w:val="22"/>
        </w:rPr>
        <w:t xml:space="preserve"> by escalating R&amp;M expenses of Fy 2014-15 @8.85%. The  R&amp;M expenses are </w:t>
      </w:r>
      <w:r w:rsidR="00393610">
        <w:rPr>
          <w:sz w:val="22"/>
          <w:szCs w:val="22"/>
        </w:rPr>
        <w:t xml:space="preserve"> based upon the assessment of the maintenance activities to be carried out as per the </w:t>
      </w:r>
      <w:r w:rsidR="00D96178">
        <w:rPr>
          <w:sz w:val="22"/>
          <w:szCs w:val="22"/>
        </w:rPr>
        <w:t>manufacturer’s</w:t>
      </w:r>
      <w:r w:rsidR="00393610">
        <w:rPr>
          <w:sz w:val="22"/>
          <w:szCs w:val="22"/>
        </w:rPr>
        <w:t xml:space="preserve"> recommendation and other maintenance practices</w:t>
      </w:r>
      <w:r w:rsidR="00D96178">
        <w:rPr>
          <w:sz w:val="22"/>
          <w:szCs w:val="22"/>
        </w:rPr>
        <w:t xml:space="preserve"> followed</w:t>
      </w:r>
      <w:r w:rsidR="007A6357">
        <w:rPr>
          <w:sz w:val="22"/>
          <w:szCs w:val="22"/>
        </w:rPr>
        <w:t>,</w:t>
      </w:r>
      <w:r w:rsidR="00393610">
        <w:rPr>
          <w:sz w:val="22"/>
          <w:szCs w:val="22"/>
        </w:rPr>
        <w:t xml:space="preserve"> based on the experience. </w:t>
      </w:r>
      <w:r w:rsidR="000F7069">
        <w:rPr>
          <w:sz w:val="22"/>
          <w:szCs w:val="22"/>
        </w:rPr>
        <w:t xml:space="preserve"> </w:t>
      </w:r>
    </w:p>
    <w:p w:rsidR="003571F3" w:rsidRPr="00A54E96" w:rsidRDefault="003571F3" w:rsidP="003571F3">
      <w:pPr>
        <w:ind w:left="900"/>
        <w:rPr>
          <w:sz w:val="22"/>
          <w:szCs w:val="22"/>
        </w:rPr>
      </w:pPr>
    </w:p>
    <w:p w:rsidR="009C2F75" w:rsidRDefault="00C47AE3" w:rsidP="001E6118">
      <w:pPr>
        <w:numPr>
          <w:ilvl w:val="0"/>
          <w:numId w:val="39"/>
        </w:numPr>
        <w:rPr>
          <w:i/>
          <w:color w:val="FF0000"/>
          <w:sz w:val="22"/>
          <w:szCs w:val="22"/>
        </w:rPr>
      </w:pPr>
      <w:r w:rsidRPr="005057D8">
        <w:rPr>
          <w:sz w:val="22"/>
          <w:szCs w:val="22"/>
        </w:rPr>
        <w:t xml:space="preserve">Petitioner </w:t>
      </w:r>
      <w:r w:rsidR="005A2789" w:rsidRPr="005057D8">
        <w:rPr>
          <w:sz w:val="22"/>
          <w:szCs w:val="22"/>
        </w:rPr>
        <w:t xml:space="preserve">further submits that it </w:t>
      </w:r>
      <w:r w:rsidR="00BD254F" w:rsidRPr="005057D8">
        <w:rPr>
          <w:sz w:val="22"/>
          <w:szCs w:val="22"/>
        </w:rPr>
        <w:t>has installed DLN Burner</w:t>
      </w:r>
      <w:r w:rsidR="005A2789" w:rsidRPr="005057D8">
        <w:rPr>
          <w:sz w:val="22"/>
          <w:szCs w:val="22"/>
        </w:rPr>
        <w:t xml:space="preserve"> at PPS-I</w:t>
      </w:r>
      <w:r w:rsidR="00BD254F" w:rsidRPr="005057D8">
        <w:rPr>
          <w:sz w:val="22"/>
          <w:szCs w:val="22"/>
        </w:rPr>
        <w:t xml:space="preserve"> to control the NOx level. These </w:t>
      </w:r>
      <w:r w:rsidR="007D11BA" w:rsidRPr="005057D8">
        <w:rPr>
          <w:sz w:val="22"/>
          <w:szCs w:val="22"/>
        </w:rPr>
        <w:t>types</w:t>
      </w:r>
      <w:r w:rsidR="008969B0" w:rsidRPr="005057D8">
        <w:rPr>
          <w:sz w:val="22"/>
          <w:szCs w:val="22"/>
        </w:rPr>
        <w:t xml:space="preserve"> of </w:t>
      </w:r>
      <w:r w:rsidR="00BD254F" w:rsidRPr="005057D8">
        <w:rPr>
          <w:sz w:val="22"/>
          <w:szCs w:val="22"/>
        </w:rPr>
        <w:t xml:space="preserve">burners were installed for the first time in </w:t>
      </w:r>
      <w:smartTag w:uri="urn:schemas-microsoft-com:office:smarttags" w:element="place">
        <w:smartTag w:uri="urn:schemas-microsoft-com:office:smarttags" w:element="country-region">
          <w:r w:rsidR="00BD254F" w:rsidRPr="005057D8">
            <w:rPr>
              <w:sz w:val="22"/>
              <w:szCs w:val="22"/>
            </w:rPr>
            <w:t>India</w:t>
          </w:r>
        </w:smartTag>
      </w:smartTag>
      <w:r w:rsidR="00BD254F" w:rsidRPr="005057D8">
        <w:rPr>
          <w:sz w:val="22"/>
          <w:szCs w:val="22"/>
        </w:rPr>
        <w:t>.</w:t>
      </w:r>
      <w:r w:rsidR="00442C36" w:rsidRPr="005057D8">
        <w:rPr>
          <w:sz w:val="22"/>
          <w:szCs w:val="22"/>
        </w:rPr>
        <w:t xml:space="preserve"> The additional R&amp;M expenses towards R&amp;M of DLN burners and for critical components of Gas Turbines are required to be incurred by the PPS-I for the smooth operations of the plant and to achieve the target level of generation</w:t>
      </w:r>
      <w:r w:rsidR="00415EBD" w:rsidRPr="005057D8">
        <w:rPr>
          <w:sz w:val="22"/>
          <w:szCs w:val="22"/>
        </w:rPr>
        <w:t xml:space="preserve">. </w:t>
      </w:r>
      <w:r w:rsidR="00342F96" w:rsidRPr="005057D8">
        <w:rPr>
          <w:sz w:val="22"/>
          <w:szCs w:val="22"/>
        </w:rPr>
        <w:t xml:space="preserve">All the inspections </w:t>
      </w:r>
      <w:r w:rsidR="005A2789" w:rsidRPr="005057D8">
        <w:rPr>
          <w:sz w:val="22"/>
          <w:szCs w:val="22"/>
        </w:rPr>
        <w:t xml:space="preserve">and overhauling </w:t>
      </w:r>
      <w:r w:rsidR="00342F96" w:rsidRPr="005057D8">
        <w:rPr>
          <w:sz w:val="22"/>
          <w:szCs w:val="22"/>
        </w:rPr>
        <w:t xml:space="preserve">of the machines are as per the manufactures recommendation. </w:t>
      </w:r>
      <w:r w:rsidR="008F3ED9" w:rsidRPr="005057D8">
        <w:rPr>
          <w:sz w:val="22"/>
          <w:szCs w:val="22"/>
        </w:rPr>
        <w:t xml:space="preserve">The expenditure on DLN Burners are cyclic in nature and its amount vary from year to year depending upon the type of inspections carried out on the machines based on the running hours. </w:t>
      </w:r>
      <w:r w:rsidR="00415EBD" w:rsidRPr="005057D8">
        <w:rPr>
          <w:sz w:val="22"/>
          <w:szCs w:val="22"/>
        </w:rPr>
        <w:t xml:space="preserve">The Hon’ble Commission has allowed </w:t>
      </w:r>
      <w:r w:rsidR="00EC7A42">
        <w:rPr>
          <w:sz w:val="22"/>
          <w:szCs w:val="22"/>
        </w:rPr>
        <w:t xml:space="preserve"> </w:t>
      </w:r>
      <w:r w:rsidR="00415EBD" w:rsidRPr="005057D8">
        <w:rPr>
          <w:sz w:val="22"/>
          <w:szCs w:val="22"/>
        </w:rPr>
        <w:t xml:space="preserve">Rs. </w:t>
      </w:r>
      <w:r w:rsidR="000C70F6" w:rsidRPr="005057D8">
        <w:rPr>
          <w:sz w:val="22"/>
          <w:szCs w:val="22"/>
        </w:rPr>
        <w:t>1</w:t>
      </w:r>
      <w:r w:rsidR="00FC1046">
        <w:rPr>
          <w:sz w:val="22"/>
          <w:szCs w:val="22"/>
        </w:rPr>
        <w:t>5</w:t>
      </w:r>
      <w:r w:rsidR="00415EBD" w:rsidRPr="005057D8">
        <w:rPr>
          <w:sz w:val="22"/>
          <w:szCs w:val="22"/>
        </w:rPr>
        <w:t xml:space="preserve"> Crore additional R&amp;M expenses every year during the Control period F</w:t>
      </w:r>
      <w:r w:rsidR="00A7784D" w:rsidRPr="005057D8">
        <w:rPr>
          <w:sz w:val="22"/>
          <w:szCs w:val="22"/>
        </w:rPr>
        <w:t>Y</w:t>
      </w:r>
      <w:r w:rsidR="00415EBD" w:rsidRPr="005057D8">
        <w:rPr>
          <w:sz w:val="22"/>
          <w:szCs w:val="22"/>
        </w:rPr>
        <w:t xml:space="preserve"> </w:t>
      </w:r>
      <w:r w:rsidR="000C70F6" w:rsidRPr="005057D8">
        <w:rPr>
          <w:sz w:val="22"/>
          <w:szCs w:val="22"/>
        </w:rPr>
        <w:t>2012-13, 2013-14 &amp; 2014-15</w:t>
      </w:r>
      <w:r w:rsidR="00415EBD" w:rsidRPr="005057D8">
        <w:rPr>
          <w:sz w:val="22"/>
          <w:szCs w:val="22"/>
        </w:rPr>
        <w:t>.</w:t>
      </w:r>
      <w:r w:rsidR="00F3181C" w:rsidRPr="005057D8">
        <w:rPr>
          <w:sz w:val="22"/>
          <w:szCs w:val="22"/>
        </w:rPr>
        <w:t xml:space="preserve"> </w:t>
      </w:r>
      <w:r w:rsidR="00F3181C" w:rsidRPr="00DA2071">
        <w:rPr>
          <w:sz w:val="22"/>
          <w:szCs w:val="22"/>
        </w:rPr>
        <w:t xml:space="preserve">It may be observed from the expenditure table that repair and maintenance expenditure including expenditure on DLN burners </w:t>
      </w:r>
      <w:r w:rsidR="007A74B2" w:rsidRPr="00DA2071">
        <w:rPr>
          <w:sz w:val="22"/>
          <w:szCs w:val="22"/>
        </w:rPr>
        <w:t>has varied significantly during the period on year to year basis only due to reasons that schedule of overhauling of Gas Turbine and DLN Burn</w:t>
      </w:r>
      <w:r w:rsidR="00D7137A" w:rsidRPr="00DA2071">
        <w:rPr>
          <w:sz w:val="22"/>
          <w:szCs w:val="22"/>
        </w:rPr>
        <w:t xml:space="preserve">ers are cyclic in nature.  Therefore, Hon’ble Commission while allowing expenditure on account of DLN Burners previously have smoothen the allowed charges to reduce </w:t>
      </w:r>
      <w:r w:rsidR="00BD7F51" w:rsidRPr="00DA2071">
        <w:rPr>
          <w:sz w:val="22"/>
          <w:szCs w:val="22"/>
        </w:rPr>
        <w:t xml:space="preserve">the impact in a single year in which the expenditure is actually incurred. </w:t>
      </w:r>
      <w:r w:rsidR="00F91F12" w:rsidRPr="00DA2071">
        <w:rPr>
          <w:sz w:val="22"/>
          <w:szCs w:val="22"/>
        </w:rPr>
        <w:t xml:space="preserve"> During financial year 2013-14 and 2014-15 of current MYT </w:t>
      </w:r>
      <w:r w:rsidR="00826CEB" w:rsidRPr="00DA2071">
        <w:rPr>
          <w:sz w:val="22"/>
          <w:szCs w:val="22"/>
        </w:rPr>
        <w:t xml:space="preserve">period </w:t>
      </w:r>
      <w:r w:rsidR="00F52600" w:rsidRPr="00DA2071">
        <w:rPr>
          <w:sz w:val="22"/>
          <w:szCs w:val="22"/>
        </w:rPr>
        <w:t xml:space="preserve">major maintenance activities </w:t>
      </w:r>
      <w:r w:rsidR="00AF7366" w:rsidRPr="00DA2071">
        <w:rPr>
          <w:sz w:val="22"/>
          <w:szCs w:val="22"/>
        </w:rPr>
        <w:t xml:space="preserve">carried out </w:t>
      </w:r>
      <w:r w:rsidR="00F52600" w:rsidRPr="00DA2071">
        <w:rPr>
          <w:sz w:val="22"/>
          <w:szCs w:val="22"/>
        </w:rPr>
        <w:t xml:space="preserve">are Combustion Inspection of GT#1, Hot Gas Path Inspection of GT#2, Exciter Overhauling in FY 2012-13; Major Inspection of GT#1, Overhauling of Generator and Exciter, Combustion Inspection of GT#2, Bearing Inspection and Exciter Overhauling of STG in FY 2013-14 and Major Inspection of GT#2 &amp; Generator and Exciter overhauling in FY 2014-15.  </w:t>
      </w:r>
      <w:r w:rsidR="00E774D2" w:rsidRPr="00DA2071">
        <w:rPr>
          <w:sz w:val="22"/>
          <w:szCs w:val="22"/>
        </w:rPr>
        <w:t xml:space="preserve">The expenditure on account of expenditure on DLN Burner has been </w:t>
      </w:r>
      <w:r w:rsidR="00EC7A42" w:rsidRPr="00DA2071">
        <w:rPr>
          <w:rFonts w:ascii="Arial" w:hAnsi="Arial" w:cs="Arial"/>
          <w:sz w:val="22"/>
          <w:szCs w:val="22"/>
        </w:rPr>
        <w:t>Rs.</w:t>
      </w:r>
      <w:r w:rsidR="00E774D2" w:rsidRPr="00DA2071">
        <w:rPr>
          <w:rFonts w:ascii="Arial" w:hAnsi="Arial" w:cs="Arial"/>
          <w:sz w:val="22"/>
          <w:szCs w:val="22"/>
        </w:rPr>
        <w:t xml:space="preserve"> </w:t>
      </w:r>
      <w:r w:rsidR="002E2D08" w:rsidRPr="00DA2071">
        <w:rPr>
          <w:rFonts w:ascii="Arial" w:hAnsi="Arial" w:cs="Arial"/>
          <w:sz w:val="22"/>
          <w:szCs w:val="22"/>
        </w:rPr>
        <w:t>34.1</w:t>
      </w:r>
      <w:r w:rsidR="00E774D2" w:rsidRPr="00DA2071">
        <w:rPr>
          <w:rFonts w:ascii="Arial" w:hAnsi="Arial" w:cs="Arial"/>
          <w:sz w:val="22"/>
          <w:szCs w:val="22"/>
        </w:rPr>
        <w:t xml:space="preserve"> Cr. during the year 2012-13, 2013-14 and 2014-15.  </w:t>
      </w:r>
      <w:r w:rsidR="00435C6A" w:rsidRPr="00DA2071">
        <w:rPr>
          <w:sz w:val="22"/>
          <w:szCs w:val="22"/>
        </w:rPr>
        <w:t xml:space="preserve">The expenditure </w:t>
      </w:r>
      <w:r w:rsidR="0039351D" w:rsidRPr="00DA2071">
        <w:rPr>
          <w:sz w:val="22"/>
          <w:szCs w:val="22"/>
        </w:rPr>
        <w:t xml:space="preserve">on account </w:t>
      </w:r>
      <w:r w:rsidR="00435C6A" w:rsidRPr="00DA2071">
        <w:rPr>
          <w:sz w:val="22"/>
          <w:szCs w:val="22"/>
        </w:rPr>
        <w:t xml:space="preserve">of DLN burner and critical components of Gas Turbine will continue to be incurred in </w:t>
      </w:r>
      <w:r w:rsidR="00D12957" w:rsidRPr="00DA2071">
        <w:rPr>
          <w:sz w:val="22"/>
          <w:szCs w:val="22"/>
        </w:rPr>
        <w:t>the extended</w:t>
      </w:r>
      <w:r w:rsidR="00F63626" w:rsidRPr="00DA2071">
        <w:rPr>
          <w:sz w:val="22"/>
          <w:szCs w:val="22"/>
        </w:rPr>
        <w:t xml:space="preserve"> period </w:t>
      </w:r>
      <w:r w:rsidR="00D12957" w:rsidRPr="00DA2071">
        <w:rPr>
          <w:sz w:val="22"/>
          <w:szCs w:val="22"/>
        </w:rPr>
        <w:t xml:space="preserve">FY 2015-16 of current MYT Regulation.  Hon’ble Commission is accordingly requested to allow </w:t>
      </w:r>
      <w:r w:rsidR="00EC7A42" w:rsidRPr="00DA2071">
        <w:rPr>
          <w:rFonts w:ascii="Arial" w:hAnsi="Arial" w:cs="Arial"/>
          <w:sz w:val="22"/>
          <w:szCs w:val="22"/>
        </w:rPr>
        <w:t>Rs.</w:t>
      </w:r>
      <w:r w:rsidR="00D12957" w:rsidRPr="00DA2071">
        <w:rPr>
          <w:rFonts w:ascii="Arial" w:hAnsi="Arial" w:cs="Arial"/>
          <w:sz w:val="22"/>
          <w:szCs w:val="22"/>
        </w:rPr>
        <w:t xml:space="preserve"> </w:t>
      </w:r>
      <w:r w:rsidR="001B68EA" w:rsidRPr="00DA2071">
        <w:rPr>
          <w:rFonts w:ascii="Arial" w:hAnsi="Arial" w:cs="Arial"/>
          <w:sz w:val="22"/>
          <w:szCs w:val="22"/>
        </w:rPr>
        <w:t>27.42</w:t>
      </w:r>
      <w:r w:rsidR="00D12957" w:rsidRPr="00DA2071">
        <w:rPr>
          <w:rFonts w:ascii="Arial" w:hAnsi="Arial" w:cs="Arial"/>
          <w:sz w:val="22"/>
          <w:szCs w:val="22"/>
        </w:rPr>
        <w:t xml:space="preserve"> Cr. in FY 2015-16 on account of expenditure on DLN Burners</w:t>
      </w:r>
      <w:r w:rsidR="00D12957" w:rsidRPr="005057D8">
        <w:rPr>
          <w:rFonts w:ascii="Arial" w:hAnsi="Arial" w:cs="Arial"/>
          <w:color w:val="FF0000"/>
          <w:sz w:val="22"/>
          <w:szCs w:val="22"/>
        </w:rPr>
        <w:t>.</w:t>
      </w:r>
      <w:r w:rsidR="00826CEB" w:rsidRPr="005057D8">
        <w:rPr>
          <w:rFonts w:ascii="Arial" w:hAnsi="Arial" w:cs="Arial"/>
          <w:color w:val="FF0000"/>
          <w:sz w:val="22"/>
          <w:szCs w:val="22"/>
        </w:rPr>
        <w:t xml:space="preserve">  </w:t>
      </w:r>
      <w:r w:rsidR="009C2F75" w:rsidRPr="005057D8">
        <w:rPr>
          <w:i/>
          <w:color w:val="FF0000"/>
          <w:sz w:val="22"/>
          <w:szCs w:val="22"/>
        </w:rPr>
        <w:t xml:space="preserve"> </w:t>
      </w:r>
    </w:p>
    <w:p w:rsidR="008B39D1" w:rsidRDefault="008B39D1" w:rsidP="001E6118">
      <w:pPr>
        <w:rPr>
          <w:i/>
          <w:color w:val="FF0000"/>
          <w:sz w:val="22"/>
          <w:szCs w:val="22"/>
        </w:rPr>
      </w:pPr>
    </w:p>
    <w:p w:rsidR="00373274" w:rsidRPr="002468E6" w:rsidRDefault="00373274" w:rsidP="001E6118">
      <w:pPr>
        <w:rPr>
          <w:i/>
          <w:color w:val="FF0000"/>
          <w:sz w:val="22"/>
          <w:szCs w:val="22"/>
        </w:rPr>
      </w:pPr>
    </w:p>
    <w:p w:rsidR="000F7069" w:rsidRDefault="00343739" w:rsidP="001E6118">
      <w:pPr>
        <w:numPr>
          <w:ilvl w:val="0"/>
          <w:numId w:val="39"/>
        </w:numPr>
        <w:rPr>
          <w:sz w:val="22"/>
          <w:szCs w:val="22"/>
        </w:rPr>
      </w:pPr>
      <w:r w:rsidRPr="00F73FAA">
        <w:rPr>
          <w:sz w:val="22"/>
          <w:szCs w:val="22"/>
        </w:rPr>
        <w:lastRenderedPageBreak/>
        <w:t>The</w:t>
      </w:r>
      <w:r w:rsidR="00113EF7">
        <w:rPr>
          <w:sz w:val="22"/>
          <w:szCs w:val="22"/>
        </w:rPr>
        <w:t xml:space="preserve"> </w:t>
      </w:r>
      <w:r w:rsidRPr="00F73FAA">
        <w:rPr>
          <w:sz w:val="22"/>
          <w:szCs w:val="22"/>
        </w:rPr>
        <w:t xml:space="preserve">actual Repair &amp; Maintenance expenses including additional expenditure </w:t>
      </w:r>
      <w:r w:rsidR="00113EF7">
        <w:rPr>
          <w:sz w:val="22"/>
          <w:szCs w:val="22"/>
        </w:rPr>
        <w:t>on account of</w:t>
      </w:r>
      <w:r w:rsidRPr="00F73FAA">
        <w:rPr>
          <w:sz w:val="22"/>
          <w:szCs w:val="22"/>
        </w:rPr>
        <w:t xml:space="preserve"> DLN burners and expenditure on STP for </w:t>
      </w:r>
      <w:r w:rsidR="009606E6">
        <w:rPr>
          <w:sz w:val="22"/>
          <w:szCs w:val="22"/>
        </w:rPr>
        <w:t xml:space="preserve">sewage </w:t>
      </w:r>
      <w:r w:rsidRPr="00F73FAA">
        <w:rPr>
          <w:sz w:val="22"/>
          <w:szCs w:val="22"/>
        </w:rPr>
        <w:t xml:space="preserve">treated water during the control period </w:t>
      </w:r>
      <w:r w:rsidR="005913A7">
        <w:rPr>
          <w:sz w:val="22"/>
          <w:szCs w:val="22"/>
        </w:rPr>
        <w:t>FY 2012-13, 2013-14 and 2014-15 (Provisional) and</w:t>
      </w:r>
      <w:r w:rsidR="00BD6BF7">
        <w:rPr>
          <w:sz w:val="22"/>
          <w:szCs w:val="22"/>
        </w:rPr>
        <w:t xml:space="preserve"> estimated </w:t>
      </w:r>
      <w:r w:rsidRPr="00F73FAA">
        <w:rPr>
          <w:sz w:val="22"/>
          <w:szCs w:val="22"/>
        </w:rPr>
        <w:t xml:space="preserve"> expenditure for FY 201</w:t>
      </w:r>
      <w:r w:rsidR="005913A7">
        <w:rPr>
          <w:sz w:val="22"/>
          <w:szCs w:val="22"/>
        </w:rPr>
        <w:t>5-16</w:t>
      </w:r>
      <w:r w:rsidRPr="00F73FAA">
        <w:rPr>
          <w:sz w:val="22"/>
          <w:szCs w:val="22"/>
        </w:rPr>
        <w:t xml:space="preserve"> are depicted </w:t>
      </w:r>
      <w:r w:rsidR="001812EC" w:rsidRPr="00F73FAA">
        <w:rPr>
          <w:sz w:val="22"/>
          <w:szCs w:val="22"/>
        </w:rPr>
        <w:t>in the table</w:t>
      </w:r>
      <w:r w:rsidR="00D57E45">
        <w:rPr>
          <w:sz w:val="22"/>
          <w:szCs w:val="22"/>
        </w:rPr>
        <w:t xml:space="preserve"> as under:</w:t>
      </w:r>
      <w:r w:rsidR="00E24E3C">
        <w:rPr>
          <w:sz w:val="22"/>
          <w:szCs w:val="22"/>
        </w:rPr>
        <w:t xml:space="preserve"> </w:t>
      </w:r>
    </w:p>
    <w:p w:rsidR="00821122" w:rsidRPr="00730250" w:rsidRDefault="00730250" w:rsidP="00730250">
      <w:pPr>
        <w:pStyle w:val="Caption"/>
        <w:jc w:val="center"/>
      </w:pPr>
      <w:bookmarkStart w:id="36" w:name="_Toc411525186"/>
      <w:r>
        <w:t xml:space="preserve">Table </w:t>
      </w:r>
      <w:fldSimple w:instr=" SEQ Table \* ARABIC ">
        <w:r w:rsidR="000F406F">
          <w:rPr>
            <w:noProof/>
          </w:rPr>
          <w:t>11</w:t>
        </w:r>
      </w:fldSimple>
      <w:r>
        <w:t xml:space="preserve"> : </w:t>
      </w:r>
      <w:r w:rsidR="00821122" w:rsidRPr="00730250">
        <w:t>R&amp;M Expenses of PPS-I</w:t>
      </w:r>
      <w:bookmarkEnd w:id="36"/>
    </w:p>
    <w:tbl>
      <w:tblPr>
        <w:tblW w:w="9249" w:type="dxa"/>
        <w:tblInd w:w="288" w:type="dxa"/>
        <w:tblLayout w:type="fixed"/>
        <w:tblLook w:val="0000"/>
      </w:tblPr>
      <w:tblGrid>
        <w:gridCol w:w="819"/>
        <w:gridCol w:w="3279"/>
        <w:gridCol w:w="1639"/>
        <w:gridCol w:w="1170"/>
        <w:gridCol w:w="1170"/>
        <w:gridCol w:w="1172"/>
      </w:tblGrid>
      <w:tr w:rsidR="004B18F1" w:rsidRPr="00D816E4" w:rsidTr="00C13CAD">
        <w:trPr>
          <w:trHeight w:val="288"/>
        </w:trPr>
        <w:tc>
          <w:tcPr>
            <w:tcW w:w="819" w:type="dxa"/>
            <w:tcBorders>
              <w:top w:val="single" w:sz="6" w:space="0" w:color="auto"/>
              <w:left w:val="single" w:sz="6" w:space="0" w:color="auto"/>
              <w:bottom w:val="single" w:sz="6" w:space="0" w:color="auto"/>
              <w:right w:val="single" w:sz="6" w:space="0" w:color="auto"/>
            </w:tcBorders>
            <w:shd w:val="clear" w:color="auto" w:fill="000080"/>
          </w:tcPr>
          <w:p w:rsidR="004B18F1" w:rsidRPr="00D816E4" w:rsidRDefault="004B18F1" w:rsidP="006E5FB0">
            <w:pPr>
              <w:autoSpaceDE w:val="0"/>
              <w:autoSpaceDN w:val="0"/>
              <w:adjustRightInd w:val="0"/>
              <w:spacing w:line="240" w:lineRule="auto"/>
              <w:ind w:left="-108"/>
              <w:jc w:val="center"/>
              <w:rPr>
                <w:rFonts w:ascii="Arial" w:hAnsi="Arial" w:cs="Arial"/>
                <w:b/>
                <w:bCs/>
                <w:color w:val="FFFFFF"/>
                <w:sz w:val="22"/>
                <w:szCs w:val="22"/>
              </w:rPr>
            </w:pPr>
            <w:r w:rsidRPr="00D816E4">
              <w:rPr>
                <w:rFonts w:ascii="Arial" w:hAnsi="Arial" w:cs="Arial"/>
                <w:b/>
                <w:bCs/>
                <w:color w:val="FFFFFF"/>
                <w:sz w:val="22"/>
                <w:szCs w:val="22"/>
              </w:rPr>
              <w:t>Sl. No.</w:t>
            </w:r>
          </w:p>
        </w:tc>
        <w:tc>
          <w:tcPr>
            <w:tcW w:w="3279" w:type="dxa"/>
            <w:tcBorders>
              <w:top w:val="single" w:sz="6" w:space="0" w:color="auto"/>
              <w:left w:val="single" w:sz="6" w:space="0" w:color="auto"/>
              <w:bottom w:val="single" w:sz="6" w:space="0" w:color="auto"/>
              <w:right w:val="single" w:sz="6" w:space="0" w:color="auto"/>
            </w:tcBorders>
            <w:shd w:val="clear" w:color="auto" w:fill="000080"/>
          </w:tcPr>
          <w:p w:rsidR="004B18F1" w:rsidRPr="00D816E4" w:rsidRDefault="004B18F1">
            <w:pPr>
              <w:autoSpaceDE w:val="0"/>
              <w:autoSpaceDN w:val="0"/>
              <w:adjustRightInd w:val="0"/>
              <w:spacing w:line="240" w:lineRule="auto"/>
              <w:jc w:val="center"/>
              <w:rPr>
                <w:rFonts w:ascii="Arial" w:hAnsi="Arial" w:cs="Arial"/>
                <w:b/>
                <w:bCs/>
                <w:color w:val="FFFFFF"/>
                <w:sz w:val="22"/>
                <w:szCs w:val="22"/>
              </w:rPr>
            </w:pPr>
            <w:r w:rsidRPr="00D816E4">
              <w:rPr>
                <w:rFonts w:ascii="Arial" w:hAnsi="Arial" w:cs="Arial"/>
                <w:b/>
                <w:bCs/>
                <w:color w:val="FFFFFF"/>
                <w:sz w:val="22"/>
                <w:szCs w:val="22"/>
              </w:rPr>
              <w:t>Particulars (Rs.Cr.)</w:t>
            </w:r>
          </w:p>
        </w:tc>
        <w:tc>
          <w:tcPr>
            <w:tcW w:w="1639" w:type="dxa"/>
            <w:tcBorders>
              <w:top w:val="single" w:sz="6" w:space="0" w:color="auto"/>
              <w:left w:val="single" w:sz="6" w:space="0" w:color="auto"/>
              <w:bottom w:val="single" w:sz="6" w:space="0" w:color="auto"/>
              <w:right w:val="single" w:sz="6" w:space="0" w:color="auto"/>
            </w:tcBorders>
            <w:shd w:val="clear" w:color="auto" w:fill="000080"/>
            <w:vAlign w:val="center"/>
          </w:tcPr>
          <w:p w:rsidR="004B18F1" w:rsidRPr="00D816E4" w:rsidRDefault="004B18F1" w:rsidP="00545FB4">
            <w:pPr>
              <w:autoSpaceDE w:val="0"/>
              <w:autoSpaceDN w:val="0"/>
              <w:adjustRightInd w:val="0"/>
              <w:spacing w:line="240" w:lineRule="auto"/>
              <w:ind w:left="-288" w:right="-237"/>
              <w:jc w:val="center"/>
              <w:rPr>
                <w:rFonts w:ascii="Arial" w:hAnsi="Arial" w:cs="Arial"/>
                <w:b/>
                <w:bCs/>
                <w:color w:val="FFFFFF"/>
                <w:sz w:val="22"/>
                <w:szCs w:val="22"/>
              </w:rPr>
            </w:pPr>
            <w:r w:rsidRPr="00D816E4">
              <w:rPr>
                <w:rFonts w:ascii="Arial" w:hAnsi="Arial" w:cs="Arial"/>
                <w:b/>
                <w:bCs/>
                <w:color w:val="FFFFFF"/>
                <w:sz w:val="22"/>
                <w:szCs w:val="22"/>
              </w:rPr>
              <w:t>12-13</w:t>
            </w:r>
          </w:p>
        </w:tc>
        <w:tc>
          <w:tcPr>
            <w:tcW w:w="1170" w:type="dxa"/>
            <w:tcBorders>
              <w:top w:val="single" w:sz="6" w:space="0" w:color="auto"/>
              <w:left w:val="single" w:sz="6" w:space="0" w:color="auto"/>
              <w:bottom w:val="single" w:sz="6" w:space="0" w:color="auto"/>
              <w:right w:val="single" w:sz="6" w:space="0" w:color="auto"/>
            </w:tcBorders>
            <w:shd w:val="clear" w:color="auto" w:fill="000080"/>
            <w:vAlign w:val="center"/>
          </w:tcPr>
          <w:p w:rsidR="004B18F1" w:rsidRPr="00D816E4" w:rsidRDefault="004B18F1" w:rsidP="00545FB4">
            <w:pPr>
              <w:autoSpaceDE w:val="0"/>
              <w:autoSpaceDN w:val="0"/>
              <w:adjustRightInd w:val="0"/>
              <w:spacing w:line="240" w:lineRule="auto"/>
              <w:ind w:left="-288" w:right="-237"/>
              <w:jc w:val="center"/>
              <w:rPr>
                <w:rFonts w:ascii="Arial" w:hAnsi="Arial" w:cs="Arial"/>
                <w:b/>
                <w:bCs/>
                <w:color w:val="FFFFFF"/>
                <w:sz w:val="22"/>
                <w:szCs w:val="22"/>
              </w:rPr>
            </w:pPr>
            <w:r w:rsidRPr="00D816E4">
              <w:rPr>
                <w:rFonts w:ascii="Arial" w:hAnsi="Arial" w:cs="Arial"/>
                <w:b/>
                <w:bCs/>
                <w:color w:val="FFFFFF"/>
                <w:sz w:val="22"/>
                <w:szCs w:val="22"/>
              </w:rPr>
              <w:t>13-14</w:t>
            </w:r>
          </w:p>
        </w:tc>
        <w:tc>
          <w:tcPr>
            <w:tcW w:w="1170" w:type="dxa"/>
            <w:tcBorders>
              <w:top w:val="single" w:sz="6" w:space="0" w:color="auto"/>
              <w:left w:val="single" w:sz="6" w:space="0" w:color="auto"/>
              <w:bottom w:val="single" w:sz="6" w:space="0" w:color="auto"/>
              <w:right w:val="single" w:sz="6" w:space="0" w:color="auto"/>
            </w:tcBorders>
            <w:shd w:val="clear" w:color="auto" w:fill="000080"/>
            <w:vAlign w:val="center"/>
          </w:tcPr>
          <w:p w:rsidR="004B18F1" w:rsidRPr="00D816E4" w:rsidRDefault="004B18F1" w:rsidP="00545FB4">
            <w:pPr>
              <w:autoSpaceDE w:val="0"/>
              <w:autoSpaceDN w:val="0"/>
              <w:adjustRightInd w:val="0"/>
              <w:spacing w:line="240" w:lineRule="auto"/>
              <w:ind w:left="-288" w:right="-237"/>
              <w:jc w:val="center"/>
              <w:rPr>
                <w:rFonts w:ascii="Arial" w:hAnsi="Arial" w:cs="Arial"/>
                <w:b/>
                <w:bCs/>
                <w:color w:val="FFFFFF"/>
                <w:sz w:val="22"/>
                <w:szCs w:val="22"/>
              </w:rPr>
            </w:pPr>
            <w:r w:rsidRPr="00D816E4">
              <w:rPr>
                <w:rFonts w:ascii="Arial" w:hAnsi="Arial" w:cs="Arial"/>
                <w:b/>
                <w:bCs/>
                <w:color w:val="FFFFFF"/>
                <w:sz w:val="22"/>
                <w:szCs w:val="22"/>
              </w:rPr>
              <w:t>14-15</w:t>
            </w:r>
          </w:p>
        </w:tc>
        <w:tc>
          <w:tcPr>
            <w:tcW w:w="1172" w:type="dxa"/>
            <w:tcBorders>
              <w:top w:val="single" w:sz="6" w:space="0" w:color="auto"/>
              <w:left w:val="single" w:sz="6" w:space="0" w:color="auto"/>
              <w:bottom w:val="single" w:sz="6" w:space="0" w:color="auto"/>
              <w:right w:val="single" w:sz="6" w:space="0" w:color="auto"/>
            </w:tcBorders>
            <w:shd w:val="clear" w:color="auto" w:fill="000080"/>
            <w:vAlign w:val="center"/>
          </w:tcPr>
          <w:p w:rsidR="004B18F1" w:rsidRPr="00D816E4" w:rsidRDefault="0064724E" w:rsidP="006E5FB0">
            <w:pPr>
              <w:autoSpaceDE w:val="0"/>
              <w:autoSpaceDN w:val="0"/>
              <w:adjustRightInd w:val="0"/>
              <w:spacing w:line="240" w:lineRule="auto"/>
              <w:ind w:left="-288" w:right="-237"/>
              <w:jc w:val="center"/>
              <w:rPr>
                <w:rFonts w:ascii="Arial" w:hAnsi="Arial" w:cs="Arial"/>
                <w:b/>
                <w:bCs/>
                <w:color w:val="FFFFFF"/>
                <w:sz w:val="22"/>
                <w:szCs w:val="22"/>
              </w:rPr>
            </w:pPr>
            <w:r>
              <w:rPr>
                <w:b/>
                <w:bCs/>
                <w:sz w:val="22"/>
                <w:szCs w:val="22"/>
              </w:rPr>
              <w:t>15-16 (Estimated)</w:t>
            </w:r>
          </w:p>
        </w:tc>
      </w:tr>
      <w:tr w:rsidR="00111F74" w:rsidRPr="006E5FB0" w:rsidTr="005B54E0">
        <w:trPr>
          <w:trHeight w:val="288"/>
        </w:trPr>
        <w:tc>
          <w:tcPr>
            <w:tcW w:w="819" w:type="dxa"/>
            <w:tcBorders>
              <w:top w:val="single" w:sz="6" w:space="0" w:color="auto"/>
              <w:left w:val="single" w:sz="6" w:space="0" w:color="auto"/>
              <w:bottom w:val="single" w:sz="6" w:space="0" w:color="auto"/>
              <w:right w:val="single" w:sz="6" w:space="0" w:color="auto"/>
            </w:tcBorders>
          </w:tcPr>
          <w:p w:rsidR="00111F74" w:rsidRPr="002044DB" w:rsidRDefault="00111F74" w:rsidP="002044DB">
            <w:pPr>
              <w:spacing w:line="240" w:lineRule="auto"/>
              <w:rPr>
                <w:b/>
                <w:sz w:val="22"/>
                <w:szCs w:val="22"/>
              </w:rPr>
            </w:pPr>
            <w:r w:rsidRPr="002044DB">
              <w:rPr>
                <w:b/>
                <w:sz w:val="22"/>
                <w:szCs w:val="22"/>
              </w:rPr>
              <w:t>A</w:t>
            </w:r>
          </w:p>
        </w:tc>
        <w:tc>
          <w:tcPr>
            <w:tcW w:w="3279" w:type="dxa"/>
            <w:tcBorders>
              <w:top w:val="single" w:sz="6" w:space="0" w:color="auto"/>
              <w:left w:val="single" w:sz="6" w:space="0" w:color="auto"/>
              <w:bottom w:val="single" w:sz="6" w:space="0" w:color="auto"/>
              <w:right w:val="single" w:sz="6" w:space="0" w:color="auto"/>
            </w:tcBorders>
          </w:tcPr>
          <w:p w:rsidR="00111F74" w:rsidRPr="002044DB" w:rsidRDefault="00111F74" w:rsidP="00EC7A42">
            <w:pPr>
              <w:spacing w:line="240" w:lineRule="auto"/>
              <w:rPr>
                <w:b/>
                <w:sz w:val="22"/>
                <w:szCs w:val="22"/>
              </w:rPr>
            </w:pPr>
            <w:r w:rsidRPr="002044DB">
              <w:rPr>
                <w:b/>
                <w:sz w:val="22"/>
                <w:szCs w:val="22"/>
              </w:rPr>
              <w:t>R&amp;M expenses including additional expenditure on account of DLN Burners &amp; STP</w:t>
            </w:r>
          </w:p>
        </w:tc>
        <w:tc>
          <w:tcPr>
            <w:tcW w:w="1639" w:type="dxa"/>
            <w:tcBorders>
              <w:top w:val="single" w:sz="6" w:space="0" w:color="auto"/>
              <w:left w:val="single" w:sz="6" w:space="0" w:color="auto"/>
              <w:bottom w:val="single" w:sz="6" w:space="0" w:color="auto"/>
              <w:right w:val="single" w:sz="6" w:space="0" w:color="auto"/>
            </w:tcBorders>
            <w:vAlign w:val="center"/>
          </w:tcPr>
          <w:p w:rsidR="00111F74" w:rsidRDefault="00111F74">
            <w:pPr>
              <w:jc w:val="right"/>
              <w:rPr>
                <w:rFonts w:ascii="Arial" w:hAnsi="Arial" w:cs="Arial"/>
                <w:sz w:val="20"/>
                <w:szCs w:val="20"/>
              </w:rPr>
            </w:pPr>
            <w:r>
              <w:rPr>
                <w:rFonts w:ascii="Arial" w:hAnsi="Arial" w:cs="Arial"/>
                <w:sz w:val="20"/>
                <w:szCs w:val="20"/>
              </w:rPr>
              <w:t>44.84</w:t>
            </w:r>
          </w:p>
        </w:tc>
        <w:tc>
          <w:tcPr>
            <w:tcW w:w="1170" w:type="dxa"/>
            <w:tcBorders>
              <w:top w:val="single" w:sz="6" w:space="0" w:color="auto"/>
              <w:left w:val="single" w:sz="6" w:space="0" w:color="auto"/>
              <w:bottom w:val="single" w:sz="6" w:space="0" w:color="auto"/>
              <w:right w:val="single" w:sz="6" w:space="0" w:color="auto"/>
            </w:tcBorders>
            <w:vAlign w:val="center"/>
          </w:tcPr>
          <w:p w:rsidR="00111F74" w:rsidRDefault="00111F74">
            <w:pPr>
              <w:jc w:val="right"/>
              <w:rPr>
                <w:rFonts w:ascii="Arial" w:hAnsi="Arial" w:cs="Arial"/>
                <w:sz w:val="20"/>
                <w:szCs w:val="20"/>
              </w:rPr>
            </w:pPr>
            <w:r>
              <w:rPr>
                <w:rFonts w:ascii="Arial" w:hAnsi="Arial" w:cs="Arial"/>
                <w:sz w:val="20"/>
                <w:szCs w:val="20"/>
              </w:rPr>
              <w:t>23.77</w:t>
            </w:r>
          </w:p>
        </w:tc>
        <w:tc>
          <w:tcPr>
            <w:tcW w:w="1170" w:type="dxa"/>
            <w:tcBorders>
              <w:top w:val="single" w:sz="6" w:space="0" w:color="auto"/>
              <w:left w:val="single" w:sz="6" w:space="0" w:color="auto"/>
              <w:bottom w:val="single" w:sz="6" w:space="0" w:color="auto"/>
              <w:right w:val="single" w:sz="6" w:space="0" w:color="auto"/>
            </w:tcBorders>
            <w:vAlign w:val="center"/>
          </w:tcPr>
          <w:p w:rsidR="00111F74" w:rsidRDefault="00111F74">
            <w:pPr>
              <w:jc w:val="right"/>
              <w:rPr>
                <w:rFonts w:ascii="Arial" w:hAnsi="Arial" w:cs="Arial"/>
                <w:sz w:val="20"/>
                <w:szCs w:val="20"/>
              </w:rPr>
            </w:pPr>
            <w:r>
              <w:rPr>
                <w:rFonts w:ascii="Arial" w:hAnsi="Arial" w:cs="Arial"/>
                <w:sz w:val="20"/>
                <w:szCs w:val="20"/>
              </w:rPr>
              <w:t>58.33</w:t>
            </w:r>
          </w:p>
        </w:tc>
        <w:tc>
          <w:tcPr>
            <w:tcW w:w="1172" w:type="dxa"/>
            <w:tcBorders>
              <w:top w:val="single" w:sz="6" w:space="0" w:color="auto"/>
              <w:left w:val="single" w:sz="6" w:space="0" w:color="auto"/>
              <w:bottom w:val="single" w:sz="6" w:space="0" w:color="auto"/>
              <w:right w:val="single" w:sz="6" w:space="0" w:color="auto"/>
            </w:tcBorders>
            <w:vAlign w:val="center"/>
          </w:tcPr>
          <w:p w:rsidR="00111F74" w:rsidRDefault="00111F74">
            <w:pPr>
              <w:jc w:val="right"/>
              <w:rPr>
                <w:rFonts w:ascii="Arial" w:hAnsi="Arial" w:cs="Arial"/>
                <w:sz w:val="20"/>
                <w:szCs w:val="20"/>
              </w:rPr>
            </w:pPr>
            <w:r>
              <w:rPr>
                <w:rFonts w:ascii="Arial" w:hAnsi="Arial" w:cs="Arial"/>
                <w:sz w:val="20"/>
                <w:szCs w:val="20"/>
              </w:rPr>
              <w:t>68.12</w:t>
            </w:r>
          </w:p>
        </w:tc>
      </w:tr>
      <w:tr w:rsidR="00B4233D" w:rsidRPr="006E5FB0" w:rsidTr="00C13CAD">
        <w:trPr>
          <w:trHeight w:val="288"/>
        </w:trPr>
        <w:tc>
          <w:tcPr>
            <w:tcW w:w="819" w:type="dxa"/>
            <w:tcBorders>
              <w:top w:val="single" w:sz="6" w:space="0" w:color="auto"/>
              <w:left w:val="single" w:sz="6" w:space="0" w:color="auto"/>
              <w:bottom w:val="single" w:sz="6" w:space="0" w:color="auto"/>
              <w:right w:val="single" w:sz="6" w:space="0" w:color="auto"/>
            </w:tcBorders>
          </w:tcPr>
          <w:p w:rsidR="00B4233D" w:rsidRPr="002044DB" w:rsidRDefault="00B4233D" w:rsidP="002044DB">
            <w:pPr>
              <w:spacing w:line="240" w:lineRule="auto"/>
              <w:rPr>
                <w:sz w:val="22"/>
                <w:szCs w:val="22"/>
              </w:rPr>
            </w:pPr>
            <w:r w:rsidRPr="002044DB">
              <w:rPr>
                <w:sz w:val="22"/>
                <w:szCs w:val="22"/>
              </w:rPr>
              <w:t>B</w:t>
            </w:r>
          </w:p>
        </w:tc>
        <w:tc>
          <w:tcPr>
            <w:tcW w:w="3279" w:type="dxa"/>
            <w:tcBorders>
              <w:top w:val="single" w:sz="6" w:space="0" w:color="auto"/>
              <w:left w:val="single" w:sz="6" w:space="0" w:color="auto"/>
              <w:bottom w:val="single" w:sz="6" w:space="0" w:color="auto"/>
              <w:right w:val="single" w:sz="6" w:space="0" w:color="auto"/>
            </w:tcBorders>
          </w:tcPr>
          <w:p w:rsidR="00B4233D" w:rsidRPr="002044DB" w:rsidRDefault="00B4233D" w:rsidP="002044DB">
            <w:pPr>
              <w:spacing w:line="240" w:lineRule="auto"/>
              <w:rPr>
                <w:sz w:val="22"/>
                <w:szCs w:val="22"/>
              </w:rPr>
            </w:pPr>
            <w:r w:rsidRPr="002044DB">
              <w:rPr>
                <w:sz w:val="22"/>
                <w:szCs w:val="22"/>
              </w:rPr>
              <w:t>Expenditure on DLN Burners included in A</w:t>
            </w:r>
          </w:p>
        </w:tc>
        <w:tc>
          <w:tcPr>
            <w:tcW w:w="1639" w:type="dxa"/>
            <w:tcBorders>
              <w:top w:val="single" w:sz="6" w:space="0" w:color="auto"/>
              <w:left w:val="single" w:sz="6" w:space="0" w:color="auto"/>
              <w:bottom w:val="single" w:sz="6" w:space="0" w:color="auto"/>
              <w:right w:val="single" w:sz="6" w:space="0" w:color="auto"/>
            </w:tcBorders>
            <w:vAlign w:val="center"/>
          </w:tcPr>
          <w:p w:rsidR="00B4233D" w:rsidRPr="00D41116" w:rsidRDefault="00B4233D" w:rsidP="009967B9">
            <w:pPr>
              <w:spacing w:line="240" w:lineRule="auto"/>
              <w:ind w:left="-134" w:right="-144"/>
              <w:jc w:val="center"/>
              <w:rPr>
                <w:sz w:val="22"/>
                <w:szCs w:val="22"/>
              </w:rPr>
            </w:pPr>
            <w:r w:rsidRPr="00D41116">
              <w:rPr>
                <w:sz w:val="22"/>
                <w:szCs w:val="22"/>
              </w:rPr>
              <w:t>12.38</w:t>
            </w:r>
          </w:p>
        </w:tc>
        <w:tc>
          <w:tcPr>
            <w:tcW w:w="1170" w:type="dxa"/>
            <w:tcBorders>
              <w:top w:val="single" w:sz="6" w:space="0" w:color="auto"/>
              <w:left w:val="single" w:sz="6" w:space="0" w:color="auto"/>
              <w:bottom w:val="single" w:sz="6" w:space="0" w:color="auto"/>
              <w:right w:val="single" w:sz="6" w:space="0" w:color="auto"/>
            </w:tcBorders>
            <w:vAlign w:val="center"/>
          </w:tcPr>
          <w:p w:rsidR="00B4233D" w:rsidRPr="00D41116" w:rsidRDefault="00B4233D" w:rsidP="009967B9">
            <w:pPr>
              <w:spacing w:line="240" w:lineRule="auto"/>
              <w:ind w:left="-288" w:right="-237"/>
              <w:jc w:val="center"/>
              <w:rPr>
                <w:sz w:val="22"/>
                <w:szCs w:val="22"/>
              </w:rPr>
            </w:pPr>
            <w:r w:rsidRPr="00D41116">
              <w:rPr>
                <w:sz w:val="22"/>
                <w:szCs w:val="22"/>
              </w:rPr>
              <w:t>0.67</w:t>
            </w:r>
          </w:p>
        </w:tc>
        <w:tc>
          <w:tcPr>
            <w:tcW w:w="1170" w:type="dxa"/>
            <w:tcBorders>
              <w:top w:val="single" w:sz="6" w:space="0" w:color="auto"/>
              <w:left w:val="single" w:sz="6" w:space="0" w:color="auto"/>
              <w:bottom w:val="single" w:sz="6" w:space="0" w:color="auto"/>
              <w:right w:val="single" w:sz="6" w:space="0" w:color="auto"/>
            </w:tcBorders>
            <w:vAlign w:val="center"/>
          </w:tcPr>
          <w:p w:rsidR="00B4233D" w:rsidRPr="00D41116" w:rsidRDefault="00B4233D" w:rsidP="009967B9">
            <w:pPr>
              <w:spacing w:line="240" w:lineRule="auto"/>
              <w:ind w:left="-288" w:right="-237"/>
              <w:jc w:val="center"/>
              <w:rPr>
                <w:sz w:val="22"/>
                <w:szCs w:val="22"/>
              </w:rPr>
            </w:pPr>
            <w:r w:rsidRPr="00D41116">
              <w:rPr>
                <w:sz w:val="22"/>
                <w:szCs w:val="22"/>
              </w:rPr>
              <w:t>21.05</w:t>
            </w:r>
          </w:p>
        </w:tc>
        <w:tc>
          <w:tcPr>
            <w:tcW w:w="1172" w:type="dxa"/>
            <w:tcBorders>
              <w:top w:val="single" w:sz="6" w:space="0" w:color="auto"/>
              <w:left w:val="single" w:sz="6" w:space="0" w:color="auto"/>
              <w:bottom w:val="single" w:sz="6" w:space="0" w:color="auto"/>
              <w:right w:val="single" w:sz="6" w:space="0" w:color="auto"/>
            </w:tcBorders>
            <w:vAlign w:val="center"/>
          </w:tcPr>
          <w:p w:rsidR="00B4233D" w:rsidRPr="00D41116" w:rsidRDefault="00B4233D" w:rsidP="00B4233D">
            <w:pPr>
              <w:spacing w:line="240" w:lineRule="auto"/>
              <w:ind w:left="-288" w:right="-237"/>
              <w:jc w:val="center"/>
              <w:rPr>
                <w:sz w:val="22"/>
                <w:szCs w:val="22"/>
              </w:rPr>
            </w:pPr>
            <w:r w:rsidRPr="00D41116">
              <w:rPr>
                <w:sz w:val="22"/>
                <w:szCs w:val="22"/>
              </w:rPr>
              <w:t>27.42</w:t>
            </w:r>
          </w:p>
        </w:tc>
      </w:tr>
      <w:tr w:rsidR="00B4233D" w:rsidRPr="006E5FB0" w:rsidTr="00C13CAD">
        <w:trPr>
          <w:trHeight w:val="288"/>
        </w:trPr>
        <w:tc>
          <w:tcPr>
            <w:tcW w:w="819" w:type="dxa"/>
            <w:tcBorders>
              <w:top w:val="single" w:sz="6" w:space="0" w:color="auto"/>
              <w:left w:val="single" w:sz="6" w:space="0" w:color="auto"/>
              <w:bottom w:val="single" w:sz="6" w:space="0" w:color="auto"/>
              <w:right w:val="single" w:sz="6" w:space="0" w:color="auto"/>
            </w:tcBorders>
          </w:tcPr>
          <w:p w:rsidR="00B4233D" w:rsidRPr="002044DB" w:rsidRDefault="00B4233D" w:rsidP="002044DB">
            <w:pPr>
              <w:spacing w:line="240" w:lineRule="auto"/>
              <w:rPr>
                <w:sz w:val="22"/>
                <w:szCs w:val="22"/>
              </w:rPr>
            </w:pPr>
            <w:r w:rsidRPr="002044DB">
              <w:rPr>
                <w:sz w:val="22"/>
                <w:szCs w:val="22"/>
              </w:rPr>
              <w:t>C</w:t>
            </w:r>
          </w:p>
        </w:tc>
        <w:tc>
          <w:tcPr>
            <w:tcW w:w="3279" w:type="dxa"/>
            <w:tcBorders>
              <w:top w:val="single" w:sz="6" w:space="0" w:color="auto"/>
              <w:left w:val="single" w:sz="6" w:space="0" w:color="auto"/>
              <w:bottom w:val="single" w:sz="6" w:space="0" w:color="auto"/>
              <w:right w:val="single" w:sz="6" w:space="0" w:color="auto"/>
            </w:tcBorders>
          </w:tcPr>
          <w:p w:rsidR="00B4233D" w:rsidRPr="002044DB" w:rsidRDefault="00B4233D" w:rsidP="002044DB">
            <w:pPr>
              <w:spacing w:line="240" w:lineRule="auto"/>
              <w:rPr>
                <w:sz w:val="22"/>
                <w:szCs w:val="22"/>
              </w:rPr>
            </w:pPr>
            <w:r w:rsidRPr="002044DB">
              <w:rPr>
                <w:sz w:val="22"/>
                <w:szCs w:val="22"/>
              </w:rPr>
              <w:t>Expenditure on Water from Sewage Treatment Plant included in A</w:t>
            </w:r>
          </w:p>
        </w:tc>
        <w:tc>
          <w:tcPr>
            <w:tcW w:w="1639" w:type="dxa"/>
            <w:tcBorders>
              <w:top w:val="single" w:sz="6" w:space="0" w:color="auto"/>
              <w:left w:val="single" w:sz="6" w:space="0" w:color="auto"/>
              <w:bottom w:val="single" w:sz="6" w:space="0" w:color="auto"/>
              <w:right w:val="single" w:sz="6" w:space="0" w:color="auto"/>
            </w:tcBorders>
            <w:vAlign w:val="center"/>
          </w:tcPr>
          <w:p w:rsidR="00B4233D" w:rsidRPr="005B791F" w:rsidRDefault="00B4233D" w:rsidP="00545FB4">
            <w:pPr>
              <w:spacing w:line="240" w:lineRule="auto"/>
              <w:ind w:left="-313" w:right="-237"/>
              <w:jc w:val="center"/>
              <w:rPr>
                <w:sz w:val="22"/>
                <w:szCs w:val="22"/>
              </w:rPr>
            </w:pPr>
            <w:r w:rsidRPr="005B791F">
              <w:rPr>
                <w:sz w:val="22"/>
                <w:szCs w:val="22"/>
              </w:rPr>
              <w:t>3.93</w:t>
            </w:r>
          </w:p>
        </w:tc>
        <w:tc>
          <w:tcPr>
            <w:tcW w:w="1170" w:type="dxa"/>
            <w:tcBorders>
              <w:top w:val="single" w:sz="6" w:space="0" w:color="auto"/>
              <w:left w:val="single" w:sz="6" w:space="0" w:color="auto"/>
              <w:bottom w:val="single" w:sz="6" w:space="0" w:color="auto"/>
              <w:right w:val="single" w:sz="6" w:space="0" w:color="auto"/>
            </w:tcBorders>
            <w:vAlign w:val="center"/>
          </w:tcPr>
          <w:p w:rsidR="00B4233D" w:rsidRPr="005B791F" w:rsidRDefault="00B4233D" w:rsidP="00545FB4">
            <w:pPr>
              <w:spacing w:line="240" w:lineRule="auto"/>
              <w:ind w:left="-288" w:right="-237"/>
              <w:jc w:val="center"/>
              <w:rPr>
                <w:sz w:val="22"/>
                <w:szCs w:val="22"/>
              </w:rPr>
            </w:pPr>
            <w:r w:rsidRPr="005B791F">
              <w:rPr>
                <w:sz w:val="22"/>
                <w:szCs w:val="22"/>
              </w:rPr>
              <w:t>4.15</w:t>
            </w:r>
          </w:p>
        </w:tc>
        <w:tc>
          <w:tcPr>
            <w:tcW w:w="1170" w:type="dxa"/>
            <w:tcBorders>
              <w:top w:val="single" w:sz="6" w:space="0" w:color="auto"/>
              <w:left w:val="single" w:sz="6" w:space="0" w:color="auto"/>
              <w:bottom w:val="single" w:sz="6" w:space="0" w:color="auto"/>
              <w:right w:val="single" w:sz="6" w:space="0" w:color="auto"/>
            </w:tcBorders>
            <w:vAlign w:val="center"/>
          </w:tcPr>
          <w:p w:rsidR="00B4233D" w:rsidRPr="005B791F" w:rsidRDefault="00B4233D" w:rsidP="005F0C7F">
            <w:pPr>
              <w:spacing w:line="240" w:lineRule="auto"/>
              <w:ind w:left="-288" w:right="-237"/>
              <w:jc w:val="center"/>
              <w:rPr>
                <w:sz w:val="22"/>
                <w:szCs w:val="22"/>
              </w:rPr>
            </w:pPr>
            <w:r w:rsidRPr="005B791F">
              <w:rPr>
                <w:sz w:val="22"/>
                <w:szCs w:val="22"/>
              </w:rPr>
              <w:t>4.18</w:t>
            </w:r>
          </w:p>
        </w:tc>
        <w:tc>
          <w:tcPr>
            <w:tcW w:w="1172" w:type="dxa"/>
            <w:tcBorders>
              <w:top w:val="single" w:sz="6" w:space="0" w:color="auto"/>
              <w:left w:val="single" w:sz="6" w:space="0" w:color="auto"/>
              <w:bottom w:val="single" w:sz="6" w:space="0" w:color="auto"/>
              <w:right w:val="single" w:sz="6" w:space="0" w:color="auto"/>
            </w:tcBorders>
            <w:vAlign w:val="center"/>
          </w:tcPr>
          <w:p w:rsidR="00B4233D" w:rsidRPr="005B791F" w:rsidRDefault="00B4233D" w:rsidP="002044DB">
            <w:pPr>
              <w:spacing w:line="240" w:lineRule="auto"/>
              <w:ind w:left="-288" w:right="-237"/>
              <w:jc w:val="center"/>
              <w:rPr>
                <w:sz w:val="22"/>
                <w:szCs w:val="22"/>
              </w:rPr>
            </w:pPr>
            <w:r w:rsidRPr="005B791F">
              <w:rPr>
                <w:sz w:val="22"/>
                <w:szCs w:val="22"/>
              </w:rPr>
              <w:t>4.67</w:t>
            </w:r>
          </w:p>
        </w:tc>
      </w:tr>
    </w:tbl>
    <w:p w:rsidR="00F97BC2" w:rsidRDefault="00F97BC2" w:rsidP="00F97BC2">
      <w:pPr>
        <w:ind w:left="540"/>
        <w:rPr>
          <w:sz w:val="22"/>
          <w:szCs w:val="22"/>
        </w:rPr>
      </w:pPr>
    </w:p>
    <w:p w:rsidR="000F7069" w:rsidRDefault="003E1FC0" w:rsidP="001E6118">
      <w:pPr>
        <w:numPr>
          <w:ilvl w:val="0"/>
          <w:numId w:val="39"/>
        </w:numPr>
        <w:rPr>
          <w:sz w:val="22"/>
          <w:szCs w:val="22"/>
        </w:rPr>
      </w:pPr>
      <w:r>
        <w:rPr>
          <w:sz w:val="22"/>
          <w:szCs w:val="22"/>
        </w:rPr>
        <w:t>T</w:t>
      </w:r>
      <w:r w:rsidR="000F7069">
        <w:rPr>
          <w:sz w:val="22"/>
          <w:szCs w:val="22"/>
        </w:rPr>
        <w:t xml:space="preserve">he </w:t>
      </w:r>
      <w:r>
        <w:rPr>
          <w:sz w:val="22"/>
          <w:szCs w:val="22"/>
        </w:rPr>
        <w:t xml:space="preserve">Hon’ble </w:t>
      </w:r>
      <w:r w:rsidR="000F7069">
        <w:rPr>
          <w:sz w:val="22"/>
          <w:szCs w:val="22"/>
        </w:rPr>
        <w:t xml:space="preserve">Commission </w:t>
      </w:r>
      <w:r>
        <w:rPr>
          <w:sz w:val="22"/>
          <w:szCs w:val="22"/>
        </w:rPr>
        <w:t>is requested to allow</w:t>
      </w:r>
      <w:r w:rsidR="00E25FDA">
        <w:rPr>
          <w:sz w:val="22"/>
          <w:szCs w:val="22"/>
        </w:rPr>
        <w:t xml:space="preserve"> the </w:t>
      </w:r>
      <w:r w:rsidR="000F7069">
        <w:rPr>
          <w:sz w:val="22"/>
          <w:szCs w:val="22"/>
        </w:rPr>
        <w:t xml:space="preserve">R&amp;M expenses as mentioned </w:t>
      </w:r>
      <w:r w:rsidR="00C81D24">
        <w:rPr>
          <w:sz w:val="22"/>
          <w:szCs w:val="22"/>
        </w:rPr>
        <w:t xml:space="preserve">for FY </w:t>
      </w:r>
      <w:r w:rsidR="00FB37CB">
        <w:rPr>
          <w:sz w:val="22"/>
          <w:szCs w:val="22"/>
        </w:rPr>
        <w:t>2015-16 as given above</w:t>
      </w:r>
      <w:r w:rsidR="00C81D24">
        <w:rPr>
          <w:sz w:val="22"/>
          <w:szCs w:val="22"/>
        </w:rPr>
        <w:t xml:space="preserve"> </w:t>
      </w:r>
      <w:r w:rsidR="000F7069">
        <w:rPr>
          <w:sz w:val="22"/>
          <w:szCs w:val="22"/>
        </w:rPr>
        <w:t xml:space="preserve">for the smooth operations of the plant to achieve the target level of generation.  </w:t>
      </w:r>
    </w:p>
    <w:p w:rsidR="000F7069" w:rsidRDefault="000F7069">
      <w:pPr>
        <w:pStyle w:val="Caption"/>
        <w:rPr>
          <w:b w:val="0"/>
          <w:sz w:val="22"/>
          <w:szCs w:val="22"/>
        </w:rPr>
      </w:pPr>
      <w:r>
        <w:t>4.2.3 Administrative &amp; General expenses</w:t>
      </w:r>
      <w:r>
        <w:rPr>
          <w:b w:val="0"/>
          <w:sz w:val="22"/>
          <w:szCs w:val="22"/>
        </w:rPr>
        <w:t xml:space="preserve"> </w:t>
      </w:r>
    </w:p>
    <w:p w:rsidR="000F7069" w:rsidRPr="00D52A6F" w:rsidRDefault="000F7069" w:rsidP="00E52C10">
      <w:pPr>
        <w:numPr>
          <w:ilvl w:val="0"/>
          <w:numId w:val="20"/>
        </w:numPr>
      </w:pPr>
      <w:r>
        <w:rPr>
          <w:sz w:val="22"/>
          <w:szCs w:val="22"/>
        </w:rPr>
        <w:t xml:space="preserve">Administration expenses mainly comprise of </w:t>
      </w:r>
      <w:r w:rsidR="00603A35">
        <w:rPr>
          <w:sz w:val="22"/>
          <w:szCs w:val="22"/>
        </w:rPr>
        <w:t xml:space="preserve">security expenses, </w:t>
      </w:r>
      <w:r>
        <w:rPr>
          <w:sz w:val="22"/>
          <w:szCs w:val="22"/>
        </w:rPr>
        <w:t>rents,</w:t>
      </w:r>
      <w:r w:rsidR="00A574B8">
        <w:rPr>
          <w:sz w:val="22"/>
          <w:szCs w:val="22"/>
        </w:rPr>
        <w:t xml:space="preserve"> insurance,</w:t>
      </w:r>
      <w:r>
        <w:rPr>
          <w:sz w:val="22"/>
          <w:szCs w:val="22"/>
        </w:rPr>
        <w:t xml:space="preserve"> telephone and other communication expenses, professional charges, conveyance </w:t>
      </w:r>
      <w:r w:rsidR="00DF3677">
        <w:rPr>
          <w:sz w:val="22"/>
          <w:szCs w:val="22"/>
        </w:rPr>
        <w:t xml:space="preserve">&amp; </w:t>
      </w:r>
      <w:r>
        <w:rPr>
          <w:sz w:val="22"/>
          <w:szCs w:val="22"/>
        </w:rPr>
        <w:t>traveling a</w:t>
      </w:r>
      <w:r w:rsidR="00DF3677">
        <w:rPr>
          <w:sz w:val="22"/>
          <w:szCs w:val="22"/>
        </w:rPr>
        <w:t>llowances, etc.</w:t>
      </w:r>
      <w:r>
        <w:rPr>
          <w:sz w:val="22"/>
          <w:szCs w:val="22"/>
        </w:rPr>
        <w:t xml:space="preserve"> </w:t>
      </w:r>
    </w:p>
    <w:p w:rsidR="00D52A6F" w:rsidRPr="00B7785C" w:rsidRDefault="00D52A6F" w:rsidP="00D52A6F">
      <w:pPr>
        <w:ind w:left="540"/>
        <w:rPr>
          <w:sz w:val="14"/>
        </w:rPr>
      </w:pPr>
    </w:p>
    <w:p w:rsidR="000F547E" w:rsidRPr="008678B2" w:rsidRDefault="00D52A6F" w:rsidP="000F547E">
      <w:pPr>
        <w:numPr>
          <w:ilvl w:val="0"/>
          <w:numId w:val="20"/>
        </w:numPr>
        <w:rPr>
          <w:bCs/>
          <w:sz w:val="22"/>
          <w:szCs w:val="22"/>
        </w:rPr>
      </w:pPr>
      <w:r w:rsidRPr="008678B2">
        <w:rPr>
          <w:bCs/>
          <w:sz w:val="22"/>
          <w:szCs w:val="22"/>
        </w:rPr>
        <w:t>PP</w:t>
      </w:r>
      <w:r w:rsidR="00603A35" w:rsidRPr="008678B2">
        <w:rPr>
          <w:bCs/>
          <w:sz w:val="22"/>
          <w:szCs w:val="22"/>
        </w:rPr>
        <w:t xml:space="preserve">CL has deployed CISF for the security of its plants. Their manpower deployment and expenditure are as per their specified norms. Their pay structure is also governed by the Central Government rules. </w:t>
      </w:r>
      <w:r w:rsidR="000B2AB0" w:rsidRPr="008678B2">
        <w:rPr>
          <w:bCs/>
          <w:sz w:val="22"/>
          <w:szCs w:val="22"/>
        </w:rPr>
        <w:t>It is further submitted that GoI has imposed service tax w.e.f. 01</w:t>
      </w:r>
      <w:r w:rsidR="000B2AB0" w:rsidRPr="008678B2">
        <w:rPr>
          <w:bCs/>
          <w:sz w:val="22"/>
          <w:szCs w:val="22"/>
          <w:vertAlign w:val="superscript"/>
        </w:rPr>
        <w:t>st</w:t>
      </w:r>
      <w:r w:rsidR="000B2AB0" w:rsidRPr="008678B2">
        <w:rPr>
          <w:bCs/>
          <w:sz w:val="22"/>
          <w:szCs w:val="22"/>
        </w:rPr>
        <w:t xml:space="preserve"> May,</w:t>
      </w:r>
      <w:r w:rsidR="00B42CE4" w:rsidRPr="008678B2">
        <w:rPr>
          <w:bCs/>
          <w:sz w:val="22"/>
          <w:szCs w:val="22"/>
        </w:rPr>
        <w:t xml:space="preserve"> </w:t>
      </w:r>
      <w:r w:rsidR="000B2AB0" w:rsidRPr="008678B2">
        <w:rPr>
          <w:bCs/>
          <w:sz w:val="22"/>
          <w:szCs w:val="22"/>
        </w:rPr>
        <w:t>2006 on security agency services through Finance Act. Ministry of Home Affairs has decided to charge service tax on the services provided by CISF w.e.f. 1</w:t>
      </w:r>
      <w:r w:rsidR="000B2AB0" w:rsidRPr="008678B2">
        <w:rPr>
          <w:bCs/>
          <w:sz w:val="22"/>
          <w:szCs w:val="22"/>
          <w:vertAlign w:val="superscript"/>
        </w:rPr>
        <w:t>st</w:t>
      </w:r>
      <w:r w:rsidR="000B2AB0" w:rsidRPr="008678B2">
        <w:rPr>
          <w:bCs/>
          <w:sz w:val="22"/>
          <w:szCs w:val="22"/>
        </w:rPr>
        <w:t xml:space="preserve"> April, 2009 and service tax for the period prior to 01.04.2009 is not payable pending decision by GoI. The company is paying service tax of 10.3% additionally on the services provided by CISF. </w:t>
      </w:r>
      <w:r w:rsidR="00603A35" w:rsidRPr="008678B2">
        <w:rPr>
          <w:bCs/>
          <w:sz w:val="22"/>
          <w:szCs w:val="22"/>
        </w:rPr>
        <w:t>Accordingly, the expenditure on security has also increased substantially.</w:t>
      </w:r>
      <w:r w:rsidR="00C34C2A" w:rsidRPr="008678B2">
        <w:rPr>
          <w:bCs/>
          <w:sz w:val="22"/>
          <w:szCs w:val="22"/>
        </w:rPr>
        <w:t xml:space="preserve"> </w:t>
      </w:r>
      <w:r w:rsidR="00616E2F" w:rsidRPr="008678B2">
        <w:rPr>
          <w:bCs/>
          <w:sz w:val="22"/>
          <w:szCs w:val="22"/>
        </w:rPr>
        <w:t xml:space="preserve">Petitioner may further like to say that during FY 2012-13 to 14-15 the increase in Dearness </w:t>
      </w:r>
      <w:r w:rsidR="00FF1984" w:rsidRPr="008678B2">
        <w:rPr>
          <w:bCs/>
          <w:sz w:val="22"/>
          <w:szCs w:val="22"/>
        </w:rPr>
        <w:t>Allowance</w:t>
      </w:r>
      <w:r w:rsidR="00616E2F" w:rsidRPr="008678B2">
        <w:rPr>
          <w:bCs/>
          <w:sz w:val="22"/>
          <w:szCs w:val="22"/>
        </w:rPr>
        <w:t xml:space="preserve"> (DA) of Central Govt. employees </w:t>
      </w:r>
      <w:r w:rsidR="00616E2F" w:rsidRPr="008678B2">
        <w:rPr>
          <w:bCs/>
          <w:sz w:val="22"/>
          <w:szCs w:val="22"/>
        </w:rPr>
        <w:lastRenderedPageBreak/>
        <w:t xml:space="preserve">has been increased 14%, 18% &amp; 17 % respectively.  This increase in DA is applicable to employees of the petitioner and CISF </w:t>
      </w:r>
      <w:r w:rsidR="00FF1984" w:rsidRPr="008678B2">
        <w:rPr>
          <w:bCs/>
          <w:sz w:val="22"/>
          <w:szCs w:val="22"/>
        </w:rPr>
        <w:t>personnel</w:t>
      </w:r>
      <w:r w:rsidR="00616E2F" w:rsidRPr="008678B2">
        <w:rPr>
          <w:bCs/>
          <w:sz w:val="22"/>
          <w:szCs w:val="22"/>
        </w:rPr>
        <w:t xml:space="preserve">.  </w:t>
      </w:r>
      <w:r w:rsidR="00810C90">
        <w:rPr>
          <w:bCs/>
          <w:sz w:val="22"/>
          <w:szCs w:val="22"/>
        </w:rPr>
        <w:t xml:space="preserve">However </w:t>
      </w:r>
      <w:r w:rsidR="00616E2F" w:rsidRPr="008678B2">
        <w:rPr>
          <w:bCs/>
          <w:sz w:val="22"/>
          <w:szCs w:val="22"/>
        </w:rPr>
        <w:t xml:space="preserve">, increase in salary for FY 2015-16 has been taken average of above @ </w:t>
      </w:r>
      <w:r w:rsidR="00810C90">
        <w:rPr>
          <w:bCs/>
          <w:sz w:val="22"/>
          <w:szCs w:val="22"/>
        </w:rPr>
        <w:t>8.85</w:t>
      </w:r>
      <w:r w:rsidR="00616E2F" w:rsidRPr="008678B2">
        <w:rPr>
          <w:bCs/>
          <w:sz w:val="22"/>
          <w:szCs w:val="22"/>
        </w:rPr>
        <w:t>%</w:t>
      </w:r>
      <w:r w:rsidR="005D29CC" w:rsidRPr="008678B2">
        <w:rPr>
          <w:sz w:val="22"/>
          <w:szCs w:val="22"/>
        </w:rPr>
        <w:t xml:space="preserve">.  </w:t>
      </w:r>
      <w:r w:rsidR="00FF1984">
        <w:rPr>
          <w:sz w:val="22"/>
          <w:szCs w:val="22"/>
        </w:rPr>
        <w:t xml:space="preserve">Details of increase in DA is given in table as below.  </w:t>
      </w:r>
      <w:r w:rsidR="005D29CC" w:rsidRPr="008678B2">
        <w:rPr>
          <w:sz w:val="22"/>
          <w:szCs w:val="22"/>
        </w:rPr>
        <w:t>Further, 7</w:t>
      </w:r>
      <w:r w:rsidR="005D29CC" w:rsidRPr="008678B2">
        <w:rPr>
          <w:sz w:val="22"/>
          <w:szCs w:val="22"/>
          <w:vertAlign w:val="superscript"/>
        </w:rPr>
        <w:t>th</w:t>
      </w:r>
      <w:r w:rsidR="005D29CC" w:rsidRPr="008678B2">
        <w:rPr>
          <w:sz w:val="22"/>
          <w:szCs w:val="22"/>
        </w:rPr>
        <w:t xml:space="preserve"> Pay Commission for Central Govt. Employees has already been formulated.  </w:t>
      </w:r>
      <w:r w:rsidR="003034F4" w:rsidRPr="008678B2">
        <w:rPr>
          <w:sz w:val="22"/>
          <w:szCs w:val="22"/>
        </w:rPr>
        <w:t>T</w:t>
      </w:r>
      <w:r w:rsidR="005D29CC" w:rsidRPr="008678B2">
        <w:rPr>
          <w:sz w:val="22"/>
          <w:szCs w:val="22"/>
        </w:rPr>
        <w:t xml:space="preserve">he salary structure of </w:t>
      </w:r>
      <w:r w:rsidR="003034F4" w:rsidRPr="008678B2">
        <w:rPr>
          <w:sz w:val="22"/>
          <w:szCs w:val="22"/>
        </w:rPr>
        <w:t xml:space="preserve">CISF is determined in accordance with </w:t>
      </w:r>
      <w:r w:rsidR="005D29CC" w:rsidRPr="008678B2">
        <w:rPr>
          <w:sz w:val="22"/>
          <w:szCs w:val="22"/>
        </w:rPr>
        <w:t>the recommendations of the Central Pay Commission. Therefore,</w:t>
      </w:r>
      <w:r w:rsidR="008E59C8" w:rsidRPr="008678B2">
        <w:rPr>
          <w:sz w:val="22"/>
          <w:szCs w:val="22"/>
        </w:rPr>
        <w:t xml:space="preserve"> </w:t>
      </w:r>
      <w:r w:rsidR="005D29CC" w:rsidRPr="008678B2">
        <w:rPr>
          <w:sz w:val="22"/>
          <w:szCs w:val="22"/>
        </w:rPr>
        <w:t>7</w:t>
      </w:r>
      <w:r w:rsidR="005D29CC" w:rsidRPr="008678B2">
        <w:rPr>
          <w:sz w:val="22"/>
          <w:szCs w:val="22"/>
          <w:vertAlign w:val="superscript"/>
        </w:rPr>
        <w:t>th</w:t>
      </w:r>
      <w:r w:rsidR="005D29CC" w:rsidRPr="008678B2">
        <w:rPr>
          <w:sz w:val="22"/>
          <w:szCs w:val="22"/>
        </w:rPr>
        <w:t xml:space="preserve"> Pay Commission recommendations which are likely to be implemented in January, 2016 may have impact on </w:t>
      </w:r>
      <w:r w:rsidR="00897325" w:rsidRPr="008678B2">
        <w:rPr>
          <w:sz w:val="22"/>
          <w:szCs w:val="22"/>
        </w:rPr>
        <w:t>expenses on account of deployment of CISF at the power stations of the petitioner</w:t>
      </w:r>
      <w:r w:rsidR="005D29CC" w:rsidRPr="008678B2">
        <w:rPr>
          <w:sz w:val="22"/>
          <w:szCs w:val="22"/>
        </w:rPr>
        <w:t>.</w:t>
      </w:r>
    </w:p>
    <w:p w:rsidR="00FF1984" w:rsidRPr="00730250" w:rsidRDefault="00FF1984" w:rsidP="00FF1984">
      <w:pPr>
        <w:pStyle w:val="Caption"/>
        <w:ind w:left="540"/>
        <w:jc w:val="center"/>
      </w:pPr>
      <w:bookmarkStart w:id="37" w:name="_Toc411525187"/>
      <w:r>
        <w:t xml:space="preserve">Table </w:t>
      </w:r>
      <w:fldSimple w:instr=" SEQ Table \* ARABIC ">
        <w:r w:rsidR="000F406F">
          <w:rPr>
            <w:noProof/>
          </w:rPr>
          <w:t>12</w:t>
        </w:r>
      </w:fldSimple>
      <w:r>
        <w:t xml:space="preserve"> : Increase in DA of employees during FY 2012-13 to 2014-15</w:t>
      </w:r>
      <w:bookmarkEnd w:id="37"/>
    </w:p>
    <w:p w:rsidR="00924256" w:rsidRDefault="00924256" w:rsidP="00924256">
      <w:pPr>
        <w:pStyle w:val="Heading3"/>
        <w:shd w:val="clear" w:color="auto" w:fill="FFFFFF"/>
        <w:spacing w:before="0" w:after="0"/>
        <w:rPr>
          <w:rFonts w:ascii="Trebuchet MS" w:hAnsi="Trebuchet MS"/>
          <w:color w:val="000000"/>
        </w:rPr>
      </w:pPr>
    </w:p>
    <w:tbl>
      <w:tblPr>
        <w:tblW w:w="4117" w:type="pct"/>
        <w:tblInd w:w="1604" w:type="dxa"/>
        <w:tblBorders>
          <w:top w:val="outset" w:sz="6" w:space="0" w:color="111111"/>
          <w:left w:val="outset" w:sz="6" w:space="0" w:color="111111"/>
          <w:bottom w:val="outset" w:sz="6" w:space="0" w:color="111111"/>
          <w:right w:val="outset" w:sz="6" w:space="0" w:color="111111"/>
        </w:tblBorders>
        <w:tblCellMar>
          <w:top w:w="75" w:type="dxa"/>
          <w:left w:w="75" w:type="dxa"/>
          <w:bottom w:w="75" w:type="dxa"/>
          <w:right w:w="75" w:type="dxa"/>
        </w:tblCellMar>
        <w:tblLook w:val="04A0"/>
      </w:tblPr>
      <w:tblGrid>
        <w:gridCol w:w="2790"/>
        <w:gridCol w:w="2072"/>
        <w:gridCol w:w="2880"/>
      </w:tblGrid>
      <w:tr w:rsidR="00D322D5" w:rsidTr="004C0AD0">
        <w:trPr>
          <w:trHeight w:val="803"/>
        </w:trPr>
        <w:tc>
          <w:tcPr>
            <w:tcW w:w="1802"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D322D5" w:rsidRDefault="00D322D5">
            <w:r>
              <w:t>Effective Dates</w:t>
            </w:r>
          </w:p>
        </w:tc>
        <w:tc>
          <w:tcPr>
            <w:tcW w:w="1338"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D322D5" w:rsidRDefault="00DB5EA1">
            <w:r>
              <w:t>Increased</w:t>
            </w:r>
            <w:r w:rsidR="00D322D5">
              <w:t xml:space="preserve"> DA</w:t>
            </w:r>
          </w:p>
        </w:tc>
        <w:tc>
          <w:tcPr>
            <w:tcW w:w="1860"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D322D5" w:rsidRDefault="00D322D5">
            <w:r>
              <w:t xml:space="preserve">Total </w:t>
            </w:r>
            <w:r w:rsidR="00A81C16">
              <w:t xml:space="preserve">cumulative </w:t>
            </w:r>
            <w:r>
              <w:t>DA</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1.1.2012</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7%</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65%</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1.7.2012</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7%</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72%</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1.1.2013</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8%</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80%</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1.7.2013</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10%</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90%</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1.1.2014</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10%</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100%</w:t>
            </w:r>
          </w:p>
        </w:tc>
      </w:tr>
      <w:tr w:rsidR="00D322D5" w:rsidTr="00373274">
        <w:tc>
          <w:tcPr>
            <w:tcW w:w="1802"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1.7.2014</w:t>
            </w:r>
          </w:p>
        </w:tc>
        <w:tc>
          <w:tcPr>
            <w:tcW w:w="1338"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7%</w:t>
            </w:r>
          </w:p>
        </w:tc>
        <w:tc>
          <w:tcPr>
            <w:tcW w:w="1860" w:type="pct"/>
            <w:tcBorders>
              <w:top w:val="outset" w:sz="6" w:space="0" w:color="111111"/>
              <w:left w:val="outset" w:sz="6" w:space="0" w:color="111111"/>
              <w:bottom w:val="outset" w:sz="6" w:space="0" w:color="111111"/>
              <w:right w:val="outset" w:sz="6" w:space="0" w:color="111111"/>
            </w:tcBorders>
            <w:vAlign w:val="center"/>
            <w:hideMark/>
          </w:tcPr>
          <w:p w:rsidR="00D322D5" w:rsidRDefault="00D322D5" w:rsidP="00373274">
            <w:pPr>
              <w:jc w:val="center"/>
            </w:pPr>
            <w:r>
              <w:t>107%</w:t>
            </w:r>
          </w:p>
        </w:tc>
      </w:tr>
    </w:tbl>
    <w:p w:rsidR="00924256" w:rsidRPr="00D21A05" w:rsidRDefault="00924256" w:rsidP="00924256">
      <w:pPr>
        <w:rPr>
          <w:bCs/>
          <w:color w:val="FF0000"/>
          <w:sz w:val="22"/>
          <w:szCs w:val="22"/>
        </w:rPr>
      </w:pPr>
    </w:p>
    <w:p w:rsidR="003459C1" w:rsidRPr="00826B14" w:rsidRDefault="003459C1" w:rsidP="000F547E">
      <w:pPr>
        <w:numPr>
          <w:ilvl w:val="0"/>
          <w:numId w:val="20"/>
        </w:numPr>
        <w:rPr>
          <w:bCs/>
          <w:sz w:val="22"/>
          <w:szCs w:val="22"/>
        </w:rPr>
      </w:pPr>
      <w:r w:rsidRPr="00D84550">
        <w:rPr>
          <w:bCs/>
          <w:sz w:val="22"/>
          <w:szCs w:val="22"/>
        </w:rPr>
        <w:t xml:space="preserve">PPS-I has taken a comprehensive Industrial all risk policy </w:t>
      </w:r>
      <w:r w:rsidR="00A61666" w:rsidRPr="00D84550">
        <w:rPr>
          <w:bCs/>
          <w:sz w:val="22"/>
          <w:szCs w:val="22"/>
        </w:rPr>
        <w:t>for</w:t>
      </w:r>
      <w:r w:rsidRPr="00D84550">
        <w:rPr>
          <w:bCs/>
          <w:sz w:val="22"/>
          <w:szCs w:val="22"/>
        </w:rPr>
        <w:t xml:space="preserve"> insurance of the plant. The </w:t>
      </w:r>
      <w:r w:rsidR="0035762B" w:rsidRPr="00D84550">
        <w:rPr>
          <w:bCs/>
          <w:sz w:val="22"/>
          <w:szCs w:val="22"/>
        </w:rPr>
        <w:t>risk covered in the policy is</w:t>
      </w:r>
      <w:r w:rsidRPr="00D84550">
        <w:rPr>
          <w:bCs/>
          <w:sz w:val="22"/>
          <w:szCs w:val="22"/>
        </w:rPr>
        <w:t xml:space="preserve"> mainly fire,</w:t>
      </w:r>
      <w:r w:rsidR="00C873B7" w:rsidRPr="00D84550">
        <w:rPr>
          <w:bCs/>
          <w:sz w:val="22"/>
          <w:szCs w:val="22"/>
        </w:rPr>
        <w:t xml:space="preserve"> </w:t>
      </w:r>
      <w:r w:rsidRPr="00D84550">
        <w:rPr>
          <w:bCs/>
          <w:sz w:val="22"/>
          <w:szCs w:val="22"/>
        </w:rPr>
        <w:t>flood,</w:t>
      </w:r>
      <w:r w:rsidR="00C873B7" w:rsidRPr="00D84550">
        <w:rPr>
          <w:bCs/>
          <w:sz w:val="22"/>
          <w:szCs w:val="22"/>
        </w:rPr>
        <w:t xml:space="preserve"> </w:t>
      </w:r>
      <w:r w:rsidRPr="00D84550">
        <w:rPr>
          <w:bCs/>
          <w:sz w:val="22"/>
          <w:szCs w:val="22"/>
        </w:rPr>
        <w:t>earthquake</w:t>
      </w:r>
      <w:r w:rsidR="00B1189B" w:rsidRPr="00D84550">
        <w:rPr>
          <w:bCs/>
          <w:sz w:val="22"/>
          <w:szCs w:val="22"/>
        </w:rPr>
        <w:t xml:space="preserve">, terrorism </w:t>
      </w:r>
      <w:r w:rsidR="007C4A76" w:rsidRPr="00D84550">
        <w:rPr>
          <w:bCs/>
          <w:sz w:val="22"/>
          <w:szCs w:val="22"/>
        </w:rPr>
        <w:t>and breakdown. Company paid premium of Rs.</w:t>
      </w:r>
      <w:r w:rsidR="00EC7A42" w:rsidRPr="00D84550">
        <w:rPr>
          <w:bCs/>
          <w:sz w:val="22"/>
          <w:szCs w:val="22"/>
        </w:rPr>
        <w:t xml:space="preserve"> </w:t>
      </w:r>
      <w:r w:rsidR="004A1594" w:rsidRPr="00D84550">
        <w:rPr>
          <w:bCs/>
          <w:sz w:val="22"/>
          <w:szCs w:val="22"/>
        </w:rPr>
        <w:t>4.</w:t>
      </w:r>
      <w:r w:rsidR="00D41116" w:rsidRPr="00D84550">
        <w:rPr>
          <w:bCs/>
          <w:sz w:val="22"/>
          <w:szCs w:val="22"/>
        </w:rPr>
        <w:t>2465</w:t>
      </w:r>
      <w:r w:rsidR="001A30FC" w:rsidRPr="00D84550">
        <w:rPr>
          <w:bCs/>
          <w:sz w:val="22"/>
          <w:szCs w:val="22"/>
        </w:rPr>
        <w:t xml:space="preserve"> </w:t>
      </w:r>
      <w:r w:rsidR="007C4A76" w:rsidRPr="00D84550">
        <w:rPr>
          <w:bCs/>
          <w:sz w:val="22"/>
          <w:szCs w:val="22"/>
        </w:rPr>
        <w:t>Cr</w:t>
      </w:r>
      <w:r w:rsidR="001A30FC" w:rsidRPr="00D84550">
        <w:rPr>
          <w:bCs/>
          <w:sz w:val="22"/>
          <w:szCs w:val="22"/>
        </w:rPr>
        <w:t>.,</w:t>
      </w:r>
      <w:r w:rsidR="00826B14">
        <w:rPr>
          <w:bCs/>
          <w:sz w:val="22"/>
          <w:szCs w:val="22"/>
        </w:rPr>
        <w:t xml:space="preserve"> Rs.</w:t>
      </w:r>
      <w:r w:rsidR="008C0CC1" w:rsidRPr="00D84550">
        <w:rPr>
          <w:bCs/>
          <w:sz w:val="22"/>
          <w:szCs w:val="22"/>
        </w:rPr>
        <w:t xml:space="preserve"> </w:t>
      </w:r>
      <w:r w:rsidR="00D41116" w:rsidRPr="00D84550">
        <w:rPr>
          <w:bCs/>
          <w:sz w:val="22"/>
          <w:szCs w:val="22"/>
        </w:rPr>
        <w:t xml:space="preserve">3.9415 </w:t>
      </w:r>
      <w:r w:rsidR="008C0CC1" w:rsidRPr="00D84550">
        <w:rPr>
          <w:bCs/>
          <w:sz w:val="22"/>
          <w:szCs w:val="22"/>
        </w:rPr>
        <w:t>Cr.</w:t>
      </w:r>
      <w:r w:rsidR="00826B14">
        <w:rPr>
          <w:bCs/>
          <w:sz w:val="22"/>
          <w:szCs w:val="22"/>
        </w:rPr>
        <w:t>,      Rs</w:t>
      </w:r>
      <w:r w:rsidR="00D41116" w:rsidRPr="00D84550">
        <w:rPr>
          <w:bCs/>
          <w:sz w:val="22"/>
          <w:szCs w:val="22"/>
        </w:rPr>
        <w:t xml:space="preserve"> </w:t>
      </w:r>
      <w:r w:rsidR="00826B14" w:rsidRPr="00826B14">
        <w:rPr>
          <w:bCs/>
          <w:sz w:val="22"/>
          <w:szCs w:val="22"/>
        </w:rPr>
        <w:t>3.74</w:t>
      </w:r>
      <w:r w:rsidR="008C0CC1" w:rsidRPr="00826B14">
        <w:rPr>
          <w:bCs/>
          <w:sz w:val="22"/>
          <w:szCs w:val="22"/>
        </w:rPr>
        <w:t xml:space="preserve"> Cr. </w:t>
      </w:r>
      <w:r w:rsidR="007C4A76" w:rsidRPr="00826B14">
        <w:rPr>
          <w:bCs/>
          <w:sz w:val="22"/>
          <w:szCs w:val="22"/>
        </w:rPr>
        <w:t>during the FY</w:t>
      </w:r>
      <w:r w:rsidR="008C0CC1" w:rsidRPr="00826B14">
        <w:rPr>
          <w:bCs/>
          <w:sz w:val="22"/>
          <w:szCs w:val="22"/>
        </w:rPr>
        <w:t xml:space="preserve"> </w:t>
      </w:r>
      <w:r w:rsidR="004A1594" w:rsidRPr="00826B14">
        <w:rPr>
          <w:bCs/>
          <w:sz w:val="22"/>
          <w:szCs w:val="22"/>
        </w:rPr>
        <w:t>2012</w:t>
      </w:r>
      <w:r w:rsidR="008C0CC1" w:rsidRPr="00826B14">
        <w:rPr>
          <w:bCs/>
          <w:sz w:val="22"/>
          <w:szCs w:val="22"/>
        </w:rPr>
        <w:t xml:space="preserve">-13, </w:t>
      </w:r>
      <w:r w:rsidR="00826B14">
        <w:rPr>
          <w:bCs/>
          <w:sz w:val="22"/>
          <w:szCs w:val="22"/>
        </w:rPr>
        <w:t xml:space="preserve">FY </w:t>
      </w:r>
      <w:r w:rsidR="008C0CC1" w:rsidRPr="00826B14">
        <w:rPr>
          <w:bCs/>
          <w:sz w:val="22"/>
          <w:szCs w:val="22"/>
        </w:rPr>
        <w:t xml:space="preserve">2013-14 &amp; </w:t>
      </w:r>
      <w:r w:rsidR="00826B14">
        <w:rPr>
          <w:bCs/>
          <w:sz w:val="22"/>
          <w:szCs w:val="22"/>
        </w:rPr>
        <w:t xml:space="preserve">FY </w:t>
      </w:r>
      <w:r w:rsidR="008C0CC1" w:rsidRPr="00826B14">
        <w:rPr>
          <w:bCs/>
          <w:sz w:val="22"/>
          <w:szCs w:val="22"/>
        </w:rPr>
        <w:t xml:space="preserve">2014-15.  The petitioner may incur </w:t>
      </w:r>
      <w:r w:rsidR="00826B14">
        <w:rPr>
          <w:bCs/>
          <w:sz w:val="22"/>
          <w:szCs w:val="22"/>
        </w:rPr>
        <w:t>Rs.</w:t>
      </w:r>
      <w:r w:rsidR="008C0CC1" w:rsidRPr="00826B14">
        <w:rPr>
          <w:bCs/>
          <w:sz w:val="22"/>
          <w:szCs w:val="22"/>
        </w:rPr>
        <w:t xml:space="preserve"> </w:t>
      </w:r>
      <w:r w:rsidR="00826B14">
        <w:rPr>
          <w:bCs/>
          <w:sz w:val="22"/>
          <w:szCs w:val="22"/>
        </w:rPr>
        <w:t>4.07</w:t>
      </w:r>
      <w:r w:rsidR="008C0CC1" w:rsidRPr="00826B14">
        <w:rPr>
          <w:bCs/>
          <w:sz w:val="22"/>
          <w:szCs w:val="22"/>
        </w:rPr>
        <w:t xml:space="preserve"> Cr. or more during FY 2015-16.</w:t>
      </w:r>
    </w:p>
    <w:p w:rsidR="00541010" w:rsidRDefault="00541010" w:rsidP="003571F3">
      <w:pPr>
        <w:spacing w:line="240" w:lineRule="auto"/>
        <w:rPr>
          <w:bCs/>
          <w:sz w:val="22"/>
          <w:szCs w:val="22"/>
        </w:rPr>
      </w:pPr>
    </w:p>
    <w:p w:rsidR="00541010" w:rsidRPr="00D84550" w:rsidRDefault="00732778" w:rsidP="000F547E">
      <w:pPr>
        <w:numPr>
          <w:ilvl w:val="0"/>
          <w:numId w:val="20"/>
        </w:numPr>
        <w:rPr>
          <w:bCs/>
          <w:sz w:val="22"/>
          <w:szCs w:val="22"/>
        </w:rPr>
      </w:pPr>
      <w:r>
        <w:rPr>
          <w:bCs/>
          <w:sz w:val="22"/>
          <w:szCs w:val="22"/>
        </w:rPr>
        <w:t xml:space="preserve">Company has implemented the </w:t>
      </w:r>
      <w:r w:rsidR="00A44989">
        <w:rPr>
          <w:bCs/>
          <w:sz w:val="22"/>
          <w:szCs w:val="22"/>
        </w:rPr>
        <w:t>ERP system in year 2009. The Hon’ble Commission has allowed additional expenditure on account of ERP for FY 2011-12</w:t>
      </w:r>
      <w:r w:rsidR="008630BC">
        <w:rPr>
          <w:bCs/>
          <w:sz w:val="22"/>
          <w:szCs w:val="22"/>
        </w:rPr>
        <w:t xml:space="preserve"> and </w:t>
      </w:r>
      <w:r w:rsidR="00DE0AEA">
        <w:rPr>
          <w:bCs/>
          <w:sz w:val="22"/>
          <w:szCs w:val="22"/>
        </w:rPr>
        <w:t>2012-</w:t>
      </w:r>
      <w:r w:rsidR="00DE0AEA" w:rsidRPr="00D84550">
        <w:rPr>
          <w:bCs/>
          <w:sz w:val="22"/>
          <w:szCs w:val="22"/>
        </w:rPr>
        <w:t xml:space="preserve">13 to FY 2014-15 based upon the Annual Maintenance Fee </w:t>
      </w:r>
      <w:r w:rsidR="00DE0AEA" w:rsidRPr="00D84550">
        <w:rPr>
          <w:bCs/>
          <w:sz w:val="22"/>
          <w:szCs w:val="22"/>
        </w:rPr>
        <w:lastRenderedPageBreak/>
        <w:t>of SAP licensees and other hardware suppliers, support and training requirements etc.</w:t>
      </w:r>
      <w:r w:rsidR="00E54CE0" w:rsidRPr="00D84550">
        <w:rPr>
          <w:bCs/>
          <w:sz w:val="22"/>
          <w:szCs w:val="22"/>
        </w:rPr>
        <w:t xml:space="preserve"> </w:t>
      </w:r>
      <w:r w:rsidR="008630BC" w:rsidRPr="00D84550">
        <w:rPr>
          <w:bCs/>
          <w:sz w:val="22"/>
          <w:szCs w:val="22"/>
        </w:rPr>
        <w:t xml:space="preserve"> The petitioner may continue to incur similar expenditure in FY 2015-16 on account of ERP.</w:t>
      </w:r>
      <w:r w:rsidR="00BE190B" w:rsidRPr="00D84550">
        <w:rPr>
          <w:bCs/>
          <w:sz w:val="22"/>
          <w:szCs w:val="22"/>
        </w:rPr>
        <w:t xml:space="preserve">  </w:t>
      </w:r>
    </w:p>
    <w:p w:rsidR="00DD5255" w:rsidRPr="00A54E96" w:rsidRDefault="00BE190B" w:rsidP="00541010">
      <w:pPr>
        <w:numPr>
          <w:ilvl w:val="0"/>
          <w:numId w:val="20"/>
        </w:numPr>
        <w:rPr>
          <w:sz w:val="22"/>
          <w:szCs w:val="22"/>
        </w:rPr>
      </w:pPr>
      <w:r>
        <w:rPr>
          <w:sz w:val="22"/>
          <w:szCs w:val="22"/>
        </w:rPr>
        <w:t xml:space="preserve">Accordingly, </w:t>
      </w:r>
      <w:r w:rsidR="004D1E8C" w:rsidRPr="003164CF">
        <w:rPr>
          <w:sz w:val="22"/>
          <w:szCs w:val="22"/>
        </w:rPr>
        <w:t>Petitioner</w:t>
      </w:r>
      <w:r w:rsidR="004D1E8C">
        <w:rPr>
          <w:sz w:val="22"/>
          <w:szCs w:val="22"/>
        </w:rPr>
        <w:t xml:space="preserve"> </w:t>
      </w:r>
      <w:r w:rsidR="00DD5255">
        <w:rPr>
          <w:sz w:val="22"/>
          <w:szCs w:val="22"/>
        </w:rPr>
        <w:t xml:space="preserve">has projected </w:t>
      </w:r>
      <w:r w:rsidR="00B006E2">
        <w:rPr>
          <w:sz w:val="22"/>
          <w:szCs w:val="22"/>
        </w:rPr>
        <w:t>A&amp;G</w:t>
      </w:r>
      <w:r w:rsidR="00DD5255">
        <w:rPr>
          <w:sz w:val="22"/>
          <w:szCs w:val="22"/>
        </w:rPr>
        <w:t xml:space="preserve"> expenses for FY </w:t>
      </w:r>
      <w:r w:rsidR="00751B9E">
        <w:rPr>
          <w:sz w:val="22"/>
          <w:szCs w:val="22"/>
        </w:rPr>
        <w:t>2015-16</w:t>
      </w:r>
      <w:r w:rsidR="00DD5255">
        <w:rPr>
          <w:sz w:val="22"/>
          <w:szCs w:val="22"/>
        </w:rPr>
        <w:t xml:space="preserve"> by applying</w:t>
      </w:r>
      <w:r w:rsidR="00F3155F">
        <w:rPr>
          <w:sz w:val="22"/>
          <w:szCs w:val="22"/>
        </w:rPr>
        <w:t xml:space="preserve"> an indexation factor </w:t>
      </w:r>
      <w:r w:rsidR="00F3155F" w:rsidRPr="00D84550">
        <w:rPr>
          <w:sz w:val="22"/>
          <w:szCs w:val="22"/>
        </w:rPr>
        <w:t xml:space="preserve">of </w:t>
      </w:r>
      <w:r w:rsidR="00C46725" w:rsidRPr="00D84550">
        <w:rPr>
          <w:sz w:val="22"/>
          <w:szCs w:val="22"/>
        </w:rPr>
        <w:t>8.85</w:t>
      </w:r>
      <w:r w:rsidR="00DD5255" w:rsidRPr="00D84550">
        <w:rPr>
          <w:sz w:val="22"/>
          <w:szCs w:val="22"/>
        </w:rPr>
        <w:t>% annual</w:t>
      </w:r>
      <w:r w:rsidR="004157DC" w:rsidRPr="00D84550">
        <w:rPr>
          <w:sz w:val="22"/>
          <w:szCs w:val="22"/>
        </w:rPr>
        <w:t>ly</w:t>
      </w:r>
      <w:r w:rsidR="004157DC">
        <w:rPr>
          <w:sz w:val="22"/>
          <w:szCs w:val="22"/>
        </w:rPr>
        <w:t xml:space="preserve"> </w:t>
      </w:r>
      <w:r w:rsidR="00A14C39">
        <w:rPr>
          <w:sz w:val="22"/>
          <w:szCs w:val="22"/>
        </w:rPr>
        <w:t>on the</w:t>
      </w:r>
      <w:r w:rsidR="004157DC">
        <w:rPr>
          <w:sz w:val="22"/>
          <w:szCs w:val="22"/>
        </w:rPr>
        <w:t xml:space="preserve"> estimated cost for FY </w:t>
      </w:r>
      <w:r w:rsidR="00C46725">
        <w:rPr>
          <w:sz w:val="22"/>
          <w:szCs w:val="22"/>
        </w:rPr>
        <w:t>2014-15</w:t>
      </w:r>
      <w:r w:rsidR="00981BDD">
        <w:rPr>
          <w:sz w:val="22"/>
          <w:szCs w:val="22"/>
        </w:rPr>
        <w:t xml:space="preserve"> </w:t>
      </w:r>
      <w:r w:rsidR="00A14C39">
        <w:rPr>
          <w:sz w:val="22"/>
          <w:szCs w:val="22"/>
        </w:rPr>
        <w:t>except of</w:t>
      </w:r>
      <w:r w:rsidR="00CD7729">
        <w:rPr>
          <w:sz w:val="22"/>
          <w:szCs w:val="22"/>
        </w:rPr>
        <w:t xml:space="preserve"> </w:t>
      </w:r>
      <w:r w:rsidR="00981BDD">
        <w:rPr>
          <w:sz w:val="22"/>
          <w:szCs w:val="22"/>
        </w:rPr>
        <w:t xml:space="preserve">expenditure on </w:t>
      </w:r>
      <w:r w:rsidR="001B2FD6">
        <w:rPr>
          <w:sz w:val="22"/>
          <w:szCs w:val="22"/>
        </w:rPr>
        <w:t xml:space="preserve">CISF &amp; </w:t>
      </w:r>
      <w:r w:rsidR="00981BDD">
        <w:rPr>
          <w:sz w:val="22"/>
          <w:szCs w:val="22"/>
        </w:rPr>
        <w:t>ERP</w:t>
      </w:r>
      <w:r w:rsidR="00187909">
        <w:rPr>
          <w:sz w:val="22"/>
          <w:szCs w:val="22"/>
        </w:rPr>
        <w:t>.</w:t>
      </w:r>
      <w:r w:rsidR="00DD5255">
        <w:rPr>
          <w:sz w:val="22"/>
        </w:rPr>
        <w:t xml:space="preserve"> </w:t>
      </w:r>
    </w:p>
    <w:p w:rsidR="000F7069" w:rsidRDefault="000F7069">
      <w:pPr>
        <w:ind w:left="1260"/>
        <w:rPr>
          <w:sz w:val="22"/>
          <w:szCs w:val="22"/>
        </w:rPr>
      </w:pPr>
    </w:p>
    <w:p w:rsidR="00505872" w:rsidRDefault="00CD7729">
      <w:pPr>
        <w:numPr>
          <w:ilvl w:val="0"/>
          <w:numId w:val="20"/>
        </w:numPr>
        <w:rPr>
          <w:sz w:val="22"/>
          <w:szCs w:val="22"/>
        </w:rPr>
      </w:pPr>
      <w:r>
        <w:rPr>
          <w:sz w:val="22"/>
          <w:szCs w:val="22"/>
        </w:rPr>
        <w:t>T</w:t>
      </w:r>
      <w:r w:rsidR="00505872">
        <w:rPr>
          <w:sz w:val="22"/>
          <w:szCs w:val="22"/>
        </w:rPr>
        <w:t>he Hon’ble Commission</w:t>
      </w:r>
      <w:r w:rsidR="00843D4E">
        <w:rPr>
          <w:sz w:val="22"/>
          <w:szCs w:val="22"/>
        </w:rPr>
        <w:t xml:space="preserve"> is requested </w:t>
      </w:r>
      <w:r w:rsidR="00505872">
        <w:rPr>
          <w:sz w:val="22"/>
          <w:szCs w:val="22"/>
        </w:rPr>
        <w:t xml:space="preserve">to approve the </w:t>
      </w:r>
      <w:r w:rsidR="00843D4E">
        <w:rPr>
          <w:sz w:val="22"/>
          <w:szCs w:val="22"/>
        </w:rPr>
        <w:t xml:space="preserve">MCD </w:t>
      </w:r>
      <w:r w:rsidR="00505872">
        <w:rPr>
          <w:sz w:val="22"/>
          <w:szCs w:val="22"/>
        </w:rPr>
        <w:t>property</w:t>
      </w:r>
      <w:r w:rsidR="00843D4E">
        <w:rPr>
          <w:sz w:val="22"/>
          <w:szCs w:val="22"/>
        </w:rPr>
        <w:t xml:space="preserve">/service </w:t>
      </w:r>
      <w:r w:rsidR="00505872">
        <w:rPr>
          <w:sz w:val="22"/>
          <w:szCs w:val="22"/>
        </w:rPr>
        <w:t>tax</w:t>
      </w:r>
      <w:r w:rsidR="00843D4E">
        <w:rPr>
          <w:sz w:val="22"/>
          <w:szCs w:val="22"/>
        </w:rPr>
        <w:t>,</w:t>
      </w:r>
      <w:r w:rsidR="00AE5299">
        <w:rPr>
          <w:sz w:val="22"/>
          <w:szCs w:val="22"/>
        </w:rPr>
        <w:t xml:space="preserve"> water </w:t>
      </w:r>
      <w:r w:rsidR="00113B51">
        <w:rPr>
          <w:sz w:val="22"/>
          <w:szCs w:val="22"/>
        </w:rPr>
        <w:t>cess</w:t>
      </w:r>
      <w:r w:rsidR="00843D4E">
        <w:rPr>
          <w:sz w:val="22"/>
          <w:szCs w:val="22"/>
        </w:rPr>
        <w:t>, other taxes etc.</w:t>
      </w:r>
      <w:r w:rsidR="00113B51">
        <w:rPr>
          <w:sz w:val="22"/>
          <w:szCs w:val="22"/>
        </w:rPr>
        <w:t xml:space="preserve"> </w:t>
      </w:r>
      <w:r w:rsidR="00505872">
        <w:rPr>
          <w:sz w:val="22"/>
          <w:szCs w:val="22"/>
        </w:rPr>
        <w:t>as pass-through on actual basis</w:t>
      </w:r>
      <w:r w:rsidR="00021230">
        <w:rPr>
          <w:sz w:val="22"/>
          <w:szCs w:val="22"/>
        </w:rPr>
        <w:t xml:space="preserve"> besides the other O&amp;M expenses</w:t>
      </w:r>
      <w:r w:rsidRPr="00CD7729">
        <w:rPr>
          <w:sz w:val="22"/>
          <w:szCs w:val="22"/>
        </w:rPr>
        <w:t xml:space="preserve"> </w:t>
      </w:r>
      <w:r w:rsidR="005A1F48">
        <w:rPr>
          <w:sz w:val="22"/>
          <w:szCs w:val="22"/>
        </w:rPr>
        <w:t>a</w:t>
      </w:r>
      <w:r>
        <w:rPr>
          <w:sz w:val="22"/>
          <w:szCs w:val="22"/>
        </w:rPr>
        <w:t xml:space="preserve">s allowed in </w:t>
      </w:r>
      <w:r w:rsidR="005A1F48">
        <w:rPr>
          <w:sz w:val="22"/>
          <w:szCs w:val="22"/>
        </w:rPr>
        <w:t xml:space="preserve">the current </w:t>
      </w:r>
      <w:r w:rsidR="0043531B">
        <w:rPr>
          <w:sz w:val="22"/>
          <w:szCs w:val="22"/>
        </w:rPr>
        <w:t>MYT period  of</w:t>
      </w:r>
      <w:r>
        <w:rPr>
          <w:sz w:val="22"/>
          <w:szCs w:val="22"/>
        </w:rPr>
        <w:t xml:space="preserve"> FY </w:t>
      </w:r>
      <w:r w:rsidR="0043531B">
        <w:rPr>
          <w:sz w:val="22"/>
          <w:szCs w:val="22"/>
        </w:rPr>
        <w:t>2012-13, 2013-14 &amp; 201</w:t>
      </w:r>
      <w:r w:rsidR="00353865">
        <w:rPr>
          <w:sz w:val="22"/>
          <w:szCs w:val="22"/>
        </w:rPr>
        <w:t>4-15</w:t>
      </w:r>
      <w:r w:rsidR="0043531B">
        <w:rPr>
          <w:sz w:val="22"/>
          <w:szCs w:val="22"/>
        </w:rPr>
        <w:t>.</w:t>
      </w:r>
      <w:r w:rsidR="00505872">
        <w:rPr>
          <w:sz w:val="22"/>
          <w:szCs w:val="22"/>
        </w:rPr>
        <w:t xml:space="preserve">  </w:t>
      </w:r>
    </w:p>
    <w:p w:rsidR="00505872" w:rsidRDefault="00505872" w:rsidP="00505872">
      <w:pPr>
        <w:rPr>
          <w:sz w:val="22"/>
          <w:szCs w:val="22"/>
        </w:rPr>
      </w:pPr>
    </w:p>
    <w:p w:rsidR="000F7069" w:rsidRDefault="00A60B39">
      <w:pPr>
        <w:numPr>
          <w:ilvl w:val="0"/>
          <w:numId w:val="20"/>
        </w:numPr>
        <w:rPr>
          <w:sz w:val="22"/>
          <w:szCs w:val="22"/>
        </w:rPr>
      </w:pPr>
      <w:r>
        <w:rPr>
          <w:sz w:val="22"/>
          <w:szCs w:val="22"/>
        </w:rPr>
        <w:t xml:space="preserve">The A&amp;G expenses during the Control period </w:t>
      </w:r>
      <w:r w:rsidR="00353865">
        <w:rPr>
          <w:sz w:val="22"/>
          <w:szCs w:val="22"/>
        </w:rPr>
        <w:t xml:space="preserve">FY 2012-13, 2013-14 &amp; 2014-15.  </w:t>
      </w:r>
      <w:r>
        <w:rPr>
          <w:sz w:val="22"/>
          <w:szCs w:val="22"/>
        </w:rPr>
        <w:t xml:space="preserve">and estimated for FY </w:t>
      </w:r>
      <w:r w:rsidR="00353865">
        <w:rPr>
          <w:sz w:val="22"/>
          <w:szCs w:val="22"/>
        </w:rPr>
        <w:t>2015-16</w:t>
      </w:r>
      <w:r>
        <w:rPr>
          <w:sz w:val="22"/>
          <w:szCs w:val="22"/>
        </w:rPr>
        <w:t xml:space="preserve"> are</w:t>
      </w:r>
      <w:r w:rsidR="000F7069">
        <w:rPr>
          <w:sz w:val="22"/>
          <w:szCs w:val="22"/>
        </w:rPr>
        <w:t xml:space="preserve"> </w:t>
      </w:r>
      <w:r w:rsidR="00871147">
        <w:rPr>
          <w:sz w:val="22"/>
          <w:szCs w:val="22"/>
        </w:rPr>
        <w:t>presented</w:t>
      </w:r>
      <w:r w:rsidR="000F7069">
        <w:rPr>
          <w:sz w:val="22"/>
          <w:szCs w:val="22"/>
        </w:rPr>
        <w:t xml:space="preserve"> in Table</w:t>
      </w:r>
      <w:r w:rsidR="00347CFB">
        <w:rPr>
          <w:sz w:val="22"/>
          <w:szCs w:val="22"/>
        </w:rPr>
        <w:t xml:space="preserve"> 1</w:t>
      </w:r>
      <w:r w:rsidR="00FD0911">
        <w:rPr>
          <w:sz w:val="22"/>
          <w:szCs w:val="22"/>
        </w:rPr>
        <w:t>3</w:t>
      </w:r>
      <w:r w:rsidR="000F7069">
        <w:rPr>
          <w:sz w:val="22"/>
          <w:szCs w:val="22"/>
        </w:rPr>
        <w:t xml:space="preserve">. </w:t>
      </w:r>
    </w:p>
    <w:p w:rsidR="00255288" w:rsidRDefault="00351F1F" w:rsidP="005C03BF">
      <w:pPr>
        <w:pStyle w:val="Caption"/>
        <w:jc w:val="center"/>
      </w:pPr>
      <w:bookmarkStart w:id="38" w:name="_Toc411525188"/>
      <w:r>
        <w:t xml:space="preserve">Table </w:t>
      </w:r>
      <w:fldSimple w:instr=" SEQ Table \* ARABIC ">
        <w:r w:rsidR="000F406F">
          <w:rPr>
            <w:noProof/>
          </w:rPr>
          <w:t>13</w:t>
        </w:r>
      </w:fldSimple>
      <w:r>
        <w:t xml:space="preserve"> : </w:t>
      </w:r>
      <w:r w:rsidR="00255288" w:rsidRPr="005C03BF">
        <w:t>A&amp;G Expenses</w:t>
      </w:r>
      <w:bookmarkEnd w:id="38"/>
    </w:p>
    <w:tbl>
      <w:tblPr>
        <w:tblW w:w="7835" w:type="dxa"/>
        <w:jc w:val="center"/>
        <w:tblCellMar>
          <w:left w:w="0" w:type="dxa"/>
          <w:right w:w="0" w:type="dxa"/>
        </w:tblCellMar>
        <w:tblLook w:val="0000"/>
      </w:tblPr>
      <w:tblGrid>
        <w:gridCol w:w="2607"/>
        <w:gridCol w:w="1307"/>
        <w:gridCol w:w="1307"/>
        <w:gridCol w:w="1307"/>
        <w:gridCol w:w="1307"/>
      </w:tblGrid>
      <w:tr w:rsidR="003D18A4" w:rsidRPr="00351F1F" w:rsidTr="003D18A4">
        <w:trPr>
          <w:trHeight w:val="337"/>
          <w:jc w:val="center"/>
        </w:trPr>
        <w:tc>
          <w:tcPr>
            <w:tcW w:w="2607" w:type="dxa"/>
            <w:tcBorders>
              <w:top w:val="single" w:sz="4" w:space="0" w:color="auto"/>
              <w:left w:val="single" w:sz="4" w:space="0" w:color="auto"/>
              <w:bottom w:val="single" w:sz="4" w:space="0" w:color="auto"/>
              <w:right w:val="single" w:sz="4" w:space="0" w:color="auto"/>
            </w:tcBorders>
            <w:shd w:val="clear" w:color="auto" w:fill="000080"/>
            <w:vAlign w:val="center"/>
          </w:tcPr>
          <w:p w:rsidR="003D18A4" w:rsidRPr="00351F1F" w:rsidRDefault="003D18A4" w:rsidP="00351F1F">
            <w:pPr>
              <w:spacing w:line="240" w:lineRule="auto"/>
              <w:jc w:val="center"/>
              <w:rPr>
                <w:rFonts w:cs="Arial"/>
                <w:b/>
                <w:bCs/>
                <w:sz w:val="22"/>
                <w:szCs w:val="22"/>
              </w:rPr>
            </w:pPr>
            <w:r w:rsidRPr="00351F1F">
              <w:rPr>
                <w:rFonts w:cs="Arial"/>
                <w:b/>
                <w:bCs/>
                <w:sz w:val="22"/>
                <w:szCs w:val="22"/>
              </w:rPr>
              <w:t>Particulars</w:t>
            </w:r>
          </w:p>
          <w:p w:rsidR="003D18A4" w:rsidRPr="00351F1F" w:rsidRDefault="003D18A4" w:rsidP="00351F1F">
            <w:pPr>
              <w:spacing w:line="240" w:lineRule="auto"/>
              <w:jc w:val="center"/>
              <w:rPr>
                <w:rFonts w:eastAsia="Arial Unicode MS" w:cs="Arial"/>
                <w:b/>
                <w:bCs/>
                <w:sz w:val="22"/>
                <w:szCs w:val="22"/>
              </w:rPr>
            </w:pPr>
            <w:r w:rsidRPr="00351F1F">
              <w:rPr>
                <w:rFonts w:cs="Arial"/>
                <w:b/>
                <w:bCs/>
                <w:sz w:val="22"/>
                <w:szCs w:val="22"/>
              </w:rPr>
              <w:t>(Rs Crores)</w:t>
            </w:r>
          </w:p>
        </w:tc>
        <w:tc>
          <w:tcPr>
            <w:tcW w:w="1307" w:type="dxa"/>
            <w:tcBorders>
              <w:top w:val="single" w:sz="4" w:space="0" w:color="auto"/>
              <w:left w:val="nil"/>
              <w:bottom w:val="single" w:sz="4" w:space="0" w:color="auto"/>
              <w:right w:val="single" w:sz="4" w:space="0" w:color="auto"/>
            </w:tcBorders>
            <w:shd w:val="clear" w:color="auto" w:fill="000080"/>
            <w:vAlign w:val="center"/>
          </w:tcPr>
          <w:p w:rsidR="003D18A4" w:rsidRPr="00351F1F" w:rsidRDefault="003D18A4" w:rsidP="00545FB4">
            <w:pPr>
              <w:jc w:val="center"/>
              <w:rPr>
                <w:rFonts w:cs="Arial"/>
                <w:b/>
                <w:bCs/>
                <w:sz w:val="22"/>
                <w:szCs w:val="22"/>
              </w:rPr>
            </w:pPr>
            <w:r w:rsidRPr="00351F1F">
              <w:rPr>
                <w:rFonts w:cs="Arial"/>
                <w:b/>
                <w:bCs/>
                <w:sz w:val="22"/>
                <w:szCs w:val="22"/>
              </w:rPr>
              <w:t>12-13</w:t>
            </w:r>
          </w:p>
        </w:tc>
        <w:tc>
          <w:tcPr>
            <w:tcW w:w="1307" w:type="dxa"/>
            <w:tcBorders>
              <w:top w:val="single" w:sz="4" w:space="0" w:color="auto"/>
              <w:left w:val="nil"/>
              <w:bottom w:val="single" w:sz="4" w:space="0" w:color="auto"/>
              <w:right w:val="single" w:sz="4" w:space="0" w:color="auto"/>
            </w:tcBorders>
            <w:shd w:val="clear" w:color="auto" w:fill="000080"/>
            <w:vAlign w:val="center"/>
          </w:tcPr>
          <w:p w:rsidR="003D18A4" w:rsidRPr="00351F1F" w:rsidRDefault="003D18A4" w:rsidP="00545FB4">
            <w:pPr>
              <w:jc w:val="center"/>
              <w:rPr>
                <w:rFonts w:cs="Arial"/>
                <w:b/>
                <w:bCs/>
                <w:sz w:val="22"/>
                <w:szCs w:val="22"/>
              </w:rPr>
            </w:pPr>
            <w:r w:rsidRPr="00351F1F">
              <w:rPr>
                <w:rFonts w:cs="Arial"/>
                <w:b/>
                <w:bCs/>
                <w:sz w:val="22"/>
                <w:szCs w:val="22"/>
              </w:rPr>
              <w:t>13-14</w:t>
            </w:r>
          </w:p>
        </w:tc>
        <w:tc>
          <w:tcPr>
            <w:tcW w:w="1307" w:type="dxa"/>
            <w:tcBorders>
              <w:top w:val="single" w:sz="4" w:space="0" w:color="auto"/>
              <w:left w:val="nil"/>
              <w:bottom w:val="single" w:sz="4" w:space="0" w:color="auto"/>
              <w:right w:val="single" w:sz="4" w:space="0" w:color="auto"/>
            </w:tcBorders>
            <w:shd w:val="clear" w:color="auto" w:fill="000080"/>
            <w:vAlign w:val="center"/>
          </w:tcPr>
          <w:p w:rsidR="003D18A4" w:rsidRPr="00351F1F" w:rsidRDefault="003D18A4" w:rsidP="00545FB4">
            <w:pPr>
              <w:jc w:val="center"/>
              <w:rPr>
                <w:rFonts w:cs="Arial"/>
                <w:b/>
                <w:bCs/>
                <w:sz w:val="22"/>
                <w:szCs w:val="22"/>
              </w:rPr>
            </w:pPr>
            <w:r w:rsidRPr="00351F1F">
              <w:rPr>
                <w:rFonts w:cs="Arial"/>
                <w:b/>
                <w:bCs/>
                <w:sz w:val="22"/>
                <w:szCs w:val="22"/>
              </w:rPr>
              <w:t>14-15</w:t>
            </w:r>
          </w:p>
        </w:tc>
        <w:tc>
          <w:tcPr>
            <w:tcW w:w="1307" w:type="dxa"/>
            <w:tcBorders>
              <w:top w:val="single" w:sz="4" w:space="0" w:color="auto"/>
              <w:left w:val="nil"/>
              <w:bottom w:val="single" w:sz="4" w:space="0" w:color="auto"/>
              <w:right w:val="single" w:sz="4" w:space="0" w:color="auto"/>
            </w:tcBorders>
            <w:shd w:val="clear" w:color="auto" w:fill="000080"/>
            <w:vAlign w:val="center"/>
          </w:tcPr>
          <w:p w:rsidR="003D18A4" w:rsidRPr="00351F1F" w:rsidRDefault="0064724E">
            <w:pPr>
              <w:jc w:val="center"/>
              <w:rPr>
                <w:rFonts w:eastAsia="Arial Unicode MS" w:cs="Arial"/>
                <w:b/>
                <w:bCs/>
                <w:sz w:val="22"/>
                <w:szCs w:val="22"/>
              </w:rPr>
            </w:pPr>
            <w:r>
              <w:rPr>
                <w:b/>
                <w:bCs/>
                <w:sz w:val="22"/>
                <w:szCs w:val="22"/>
              </w:rPr>
              <w:t>15-16 (Estimated)</w:t>
            </w:r>
          </w:p>
        </w:tc>
      </w:tr>
      <w:tr w:rsidR="00477487" w:rsidRPr="00B40AF0" w:rsidTr="003571F3">
        <w:trPr>
          <w:trHeight w:val="366"/>
          <w:jc w:val="center"/>
        </w:trPr>
        <w:tc>
          <w:tcPr>
            <w:tcW w:w="2607" w:type="dxa"/>
            <w:tcBorders>
              <w:top w:val="nil"/>
              <w:left w:val="single" w:sz="4" w:space="0" w:color="auto"/>
              <w:bottom w:val="single" w:sz="4" w:space="0" w:color="auto"/>
              <w:right w:val="single" w:sz="4" w:space="0" w:color="auto"/>
            </w:tcBorders>
            <w:vAlign w:val="center"/>
          </w:tcPr>
          <w:p w:rsidR="00477487" w:rsidRPr="00B40AF0" w:rsidRDefault="00477487" w:rsidP="003571F3">
            <w:pPr>
              <w:jc w:val="center"/>
              <w:rPr>
                <w:rFonts w:eastAsia="Arial Unicode MS" w:cs="Arial"/>
                <w:b/>
                <w:sz w:val="22"/>
                <w:szCs w:val="22"/>
              </w:rPr>
            </w:pPr>
            <w:r w:rsidRPr="00B40AF0">
              <w:rPr>
                <w:rFonts w:cs="Arial"/>
                <w:b/>
                <w:sz w:val="22"/>
                <w:szCs w:val="22"/>
              </w:rPr>
              <w:t>A&amp;G Expenses</w:t>
            </w:r>
          </w:p>
        </w:tc>
        <w:tc>
          <w:tcPr>
            <w:tcW w:w="1307" w:type="dxa"/>
            <w:tcBorders>
              <w:top w:val="nil"/>
              <w:left w:val="nil"/>
              <w:bottom w:val="single" w:sz="4" w:space="0" w:color="auto"/>
              <w:right w:val="single" w:sz="4" w:space="0" w:color="auto"/>
            </w:tcBorders>
            <w:noWrap/>
            <w:vAlign w:val="center"/>
          </w:tcPr>
          <w:p w:rsidR="00477487" w:rsidRPr="00477487" w:rsidRDefault="00477487" w:rsidP="003571F3">
            <w:pPr>
              <w:jc w:val="center"/>
              <w:rPr>
                <w:rFonts w:ascii="Arial" w:hAnsi="Arial" w:cs="Arial"/>
                <w:b/>
                <w:sz w:val="20"/>
                <w:szCs w:val="20"/>
              </w:rPr>
            </w:pPr>
            <w:r w:rsidRPr="00477487">
              <w:rPr>
                <w:rFonts w:ascii="Arial" w:hAnsi="Arial" w:cs="Arial"/>
                <w:b/>
                <w:sz w:val="20"/>
                <w:szCs w:val="20"/>
              </w:rPr>
              <w:t>12.87</w:t>
            </w:r>
          </w:p>
        </w:tc>
        <w:tc>
          <w:tcPr>
            <w:tcW w:w="1307" w:type="dxa"/>
            <w:tcBorders>
              <w:top w:val="nil"/>
              <w:left w:val="nil"/>
              <w:bottom w:val="single" w:sz="4" w:space="0" w:color="auto"/>
              <w:right w:val="single" w:sz="4" w:space="0" w:color="auto"/>
            </w:tcBorders>
            <w:noWrap/>
            <w:vAlign w:val="center"/>
          </w:tcPr>
          <w:p w:rsidR="00477487" w:rsidRPr="00477487" w:rsidRDefault="00477487" w:rsidP="003571F3">
            <w:pPr>
              <w:jc w:val="center"/>
              <w:rPr>
                <w:rFonts w:ascii="Arial" w:hAnsi="Arial" w:cs="Arial"/>
                <w:b/>
                <w:sz w:val="20"/>
                <w:szCs w:val="20"/>
              </w:rPr>
            </w:pPr>
            <w:r w:rsidRPr="00477487">
              <w:rPr>
                <w:rFonts w:ascii="Arial" w:hAnsi="Arial" w:cs="Arial"/>
                <w:b/>
                <w:sz w:val="20"/>
                <w:szCs w:val="20"/>
              </w:rPr>
              <w:t>12.51</w:t>
            </w:r>
          </w:p>
        </w:tc>
        <w:tc>
          <w:tcPr>
            <w:tcW w:w="1307" w:type="dxa"/>
            <w:tcBorders>
              <w:top w:val="nil"/>
              <w:left w:val="nil"/>
              <w:bottom w:val="single" w:sz="4" w:space="0" w:color="auto"/>
              <w:right w:val="single" w:sz="4" w:space="0" w:color="auto"/>
            </w:tcBorders>
            <w:noWrap/>
            <w:vAlign w:val="center"/>
          </w:tcPr>
          <w:p w:rsidR="00477487" w:rsidRPr="00477487" w:rsidRDefault="00477487" w:rsidP="003571F3">
            <w:pPr>
              <w:jc w:val="center"/>
              <w:rPr>
                <w:rFonts w:ascii="Arial" w:hAnsi="Arial" w:cs="Arial"/>
                <w:b/>
                <w:sz w:val="20"/>
                <w:szCs w:val="20"/>
              </w:rPr>
            </w:pPr>
            <w:r w:rsidRPr="00477487">
              <w:rPr>
                <w:rFonts w:ascii="Arial" w:hAnsi="Arial" w:cs="Arial"/>
                <w:b/>
                <w:sz w:val="20"/>
                <w:szCs w:val="20"/>
              </w:rPr>
              <w:t>15.23</w:t>
            </w:r>
          </w:p>
        </w:tc>
        <w:tc>
          <w:tcPr>
            <w:tcW w:w="1307" w:type="dxa"/>
            <w:tcBorders>
              <w:top w:val="nil"/>
              <w:left w:val="nil"/>
              <w:bottom w:val="single" w:sz="4" w:space="0" w:color="auto"/>
              <w:right w:val="single" w:sz="4" w:space="0" w:color="auto"/>
            </w:tcBorders>
            <w:noWrap/>
            <w:vAlign w:val="center"/>
          </w:tcPr>
          <w:p w:rsidR="00477487" w:rsidRPr="00477487" w:rsidRDefault="00477487" w:rsidP="003571F3">
            <w:pPr>
              <w:jc w:val="center"/>
              <w:rPr>
                <w:rFonts w:ascii="Arial" w:hAnsi="Arial" w:cs="Arial"/>
                <w:b/>
                <w:sz w:val="20"/>
                <w:szCs w:val="20"/>
              </w:rPr>
            </w:pPr>
            <w:r w:rsidRPr="00477487">
              <w:rPr>
                <w:rFonts w:ascii="Arial" w:hAnsi="Arial" w:cs="Arial"/>
                <w:b/>
                <w:sz w:val="20"/>
                <w:szCs w:val="20"/>
              </w:rPr>
              <w:t>16.58</w:t>
            </w:r>
          </w:p>
        </w:tc>
      </w:tr>
    </w:tbl>
    <w:p w:rsidR="000F7069" w:rsidRDefault="000F7069">
      <w:pPr>
        <w:pStyle w:val="BodyText"/>
        <w:ind w:left="540"/>
        <w:rPr>
          <w:rFonts w:ascii="Century Gothic" w:hAnsi="Century Gothic"/>
          <w:szCs w:val="22"/>
        </w:rPr>
      </w:pPr>
    </w:p>
    <w:p w:rsidR="003A78B6" w:rsidRDefault="001C0682">
      <w:pPr>
        <w:numPr>
          <w:ilvl w:val="0"/>
          <w:numId w:val="20"/>
        </w:numPr>
        <w:rPr>
          <w:sz w:val="22"/>
          <w:szCs w:val="22"/>
        </w:rPr>
      </w:pPr>
      <w:r>
        <w:rPr>
          <w:sz w:val="22"/>
          <w:szCs w:val="22"/>
        </w:rPr>
        <w:t xml:space="preserve">The Hon’ble </w:t>
      </w:r>
      <w:r w:rsidR="000F7069">
        <w:rPr>
          <w:sz w:val="22"/>
          <w:szCs w:val="22"/>
        </w:rPr>
        <w:t>Commission</w:t>
      </w:r>
      <w:r>
        <w:rPr>
          <w:sz w:val="22"/>
          <w:szCs w:val="22"/>
        </w:rPr>
        <w:t xml:space="preserve"> is requested to </w:t>
      </w:r>
      <w:r w:rsidR="000F7069">
        <w:rPr>
          <w:sz w:val="22"/>
          <w:szCs w:val="22"/>
        </w:rPr>
        <w:t>approve the</w:t>
      </w:r>
      <w:r>
        <w:rPr>
          <w:sz w:val="22"/>
          <w:szCs w:val="22"/>
        </w:rPr>
        <w:t xml:space="preserve"> A&amp;G expenses for </w:t>
      </w:r>
      <w:r w:rsidR="00521C89">
        <w:rPr>
          <w:sz w:val="22"/>
          <w:szCs w:val="22"/>
        </w:rPr>
        <w:t xml:space="preserve">FY 2012-13, 2013-14 &amp; 2014-15 </w:t>
      </w:r>
      <w:r>
        <w:rPr>
          <w:sz w:val="22"/>
          <w:szCs w:val="22"/>
        </w:rPr>
        <w:t>as</w:t>
      </w:r>
      <w:r w:rsidR="00521C89">
        <w:rPr>
          <w:sz w:val="22"/>
          <w:szCs w:val="22"/>
        </w:rPr>
        <w:t xml:space="preserve"> per actual and as</w:t>
      </w:r>
      <w:r>
        <w:rPr>
          <w:sz w:val="22"/>
          <w:szCs w:val="22"/>
        </w:rPr>
        <w:t xml:space="preserve"> projected </w:t>
      </w:r>
      <w:r w:rsidR="00521C89">
        <w:rPr>
          <w:sz w:val="22"/>
          <w:szCs w:val="22"/>
        </w:rPr>
        <w:t>during FY 2015-16.</w:t>
      </w:r>
    </w:p>
    <w:p w:rsidR="00B50C89" w:rsidRDefault="00B50C89">
      <w:pPr>
        <w:ind w:left="540"/>
        <w:rPr>
          <w:sz w:val="22"/>
          <w:szCs w:val="22"/>
        </w:rPr>
      </w:pPr>
    </w:p>
    <w:p w:rsidR="000F7069" w:rsidRPr="00A436F8" w:rsidRDefault="00F934F7">
      <w:pPr>
        <w:ind w:left="540"/>
        <w:rPr>
          <w:b/>
          <w:bCs/>
          <w:sz w:val="22"/>
          <w:szCs w:val="22"/>
        </w:rPr>
      </w:pPr>
      <w:r w:rsidRPr="00A436F8">
        <w:rPr>
          <w:b/>
          <w:bCs/>
          <w:sz w:val="22"/>
          <w:szCs w:val="22"/>
        </w:rPr>
        <w:t>4.2.4 Summary</w:t>
      </w:r>
      <w:r w:rsidR="00990FE5" w:rsidRPr="00A436F8">
        <w:rPr>
          <w:b/>
          <w:bCs/>
          <w:sz w:val="22"/>
          <w:szCs w:val="22"/>
        </w:rPr>
        <w:t xml:space="preserve"> of O&amp;M expenses</w:t>
      </w:r>
    </w:p>
    <w:p w:rsidR="00990FE5" w:rsidRPr="00990FE5" w:rsidRDefault="00675657" w:rsidP="00990FE5">
      <w:pPr>
        <w:ind w:left="720"/>
        <w:rPr>
          <w:sz w:val="22"/>
          <w:szCs w:val="22"/>
        </w:rPr>
      </w:pPr>
      <w:r>
        <w:rPr>
          <w:sz w:val="22"/>
          <w:szCs w:val="22"/>
        </w:rPr>
        <w:t xml:space="preserve">The summary of </w:t>
      </w:r>
      <w:r w:rsidR="00990FE5" w:rsidRPr="00990FE5">
        <w:rPr>
          <w:sz w:val="22"/>
          <w:szCs w:val="22"/>
        </w:rPr>
        <w:t>Op</w:t>
      </w:r>
      <w:r w:rsidR="00C67D91">
        <w:rPr>
          <w:sz w:val="22"/>
          <w:szCs w:val="22"/>
        </w:rPr>
        <w:t>eration and M</w:t>
      </w:r>
      <w:r w:rsidR="00990FE5" w:rsidRPr="00990FE5">
        <w:rPr>
          <w:sz w:val="22"/>
          <w:szCs w:val="22"/>
        </w:rPr>
        <w:t xml:space="preserve">aintenance expenditure </w:t>
      </w:r>
      <w:r>
        <w:rPr>
          <w:sz w:val="22"/>
          <w:szCs w:val="22"/>
        </w:rPr>
        <w:t xml:space="preserve">for </w:t>
      </w:r>
      <w:r w:rsidR="006244EC">
        <w:rPr>
          <w:sz w:val="22"/>
          <w:szCs w:val="22"/>
        </w:rPr>
        <w:t>FY FY 2012-13, 2013-14 &amp; 2014-15 as per actual and as estimated</w:t>
      </w:r>
      <w:r w:rsidR="00887AB7">
        <w:rPr>
          <w:sz w:val="22"/>
          <w:szCs w:val="22"/>
        </w:rPr>
        <w:t xml:space="preserve"> for FY 2015-16</w:t>
      </w:r>
      <w:r>
        <w:rPr>
          <w:sz w:val="22"/>
          <w:szCs w:val="22"/>
        </w:rPr>
        <w:t xml:space="preserve"> is as under:</w:t>
      </w:r>
      <w:r w:rsidR="00990FE5" w:rsidRPr="00990FE5">
        <w:rPr>
          <w:sz w:val="22"/>
          <w:szCs w:val="22"/>
        </w:rPr>
        <w:t xml:space="preserve"> </w:t>
      </w:r>
    </w:p>
    <w:p w:rsidR="00A06711" w:rsidRDefault="00385CCF" w:rsidP="00385CCF">
      <w:pPr>
        <w:pStyle w:val="Caption"/>
        <w:jc w:val="center"/>
      </w:pPr>
      <w:bookmarkStart w:id="39" w:name="_Toc411525189"/>
      <w:r>
        <w:t xml:space="preserve">Table </w:t>
      </w:r>
      <w:fldSimple w:instr=" SEQ Table \* ARABIC ">
        <w:r w:rsidR="000F406F">
          <w:rPr>
            <w:noProof/>
          </w:rPr>
          <w:t>14</w:t>
        </w:r>
      </w:fldSimple>
      <w:r>
        <w:t xml:space="preserve"> : O </w:t>
      </w:r>
      <w:r w:rsidR="00A06711" w:rsidRPr="00385CCF">
        <w:t>&amp;</w:t>
      </w:r>
      <w:r w:rsidR="006F7844">
        <w:t xml:space="preserve"> </w:t>
      </w:r>
      <w:r w:rsidR="00A06711" w:rsidRPr="00385CCF">
        <w:t>M Cost</w:t>
      </w:r>
      <w:bookmarkEnd w:id="39"/>
    </w:p>
    <w:tbl>
      <w:tblPr>
        <w:tblW w:w="8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2"/>
        <w:gridCol w:w="1782"/>
        <w:gridCol w:w="1782"/>
        <w:gridCol w:w="1782"/>
        <w:gridCol w:w="1783"/>
      </w:tblGrid>
      <w:tr w:rsidR="008E59C8" w:rsidRPr="003D1B7E" w:rsidTr="006C6ED1">
        <w:trPr>
          <w:trHeight w:val="460"/>
        </w:trPr>
        <w:tc>
          <w:tcPr>
            <w:tcW w:w="1782" w:type="dxa"/>
            <w:shd w:val="solid" w:color="000080" w:fill="auto"/>
          </w:tcPr>
          <w:p w:rsidR="008E59C8" w:rsidRPr="003D1B7E" w:rsidRDefault="008E59C8" w:rsidP="003D1B7E">
            <w:pPr>
              <w:autoSpaceDE w:val="0"/>
              <w:autoSpaceDN w:val="0"/>
              <w:adjustRightInd w:val="0"/>
              <w:spacing w:line="240" w:lineRule="auto"/>
              <w:jc w:val="left"/>
              <w:rPr>
                <w:rFonts w:cs="Century Gothic"/>
                <w:b/>
                <w:bCs/>
                <w:color w:val="FFFFFF"/>
                <w:sz w:val="22"/>
                <w:szCs w:val="22"/>
              </w:rPr>
            </w:pPr>
            <w:r w:rsidRPr="003D1B7E">
              <w:rPr>
                <w:rFonts w:cs="Century Gothic"/>
                <w:b/>
                <w:bCs/>
                <w:color w:val="FFFFFF"/>
                <w:sz w:val="22"/>
                <w:szCs w:val="22"/>
              </w:rPr>
              <w:t xml:space="preserve">Description </w:t>
            </w:r>
          </w:p>
          <w:p w:rsidR="008E59C8" w:rsidRPr="003D1B7E" w:rsidRDefault="008E59C8" w:rsidP="003D1B7E">
            <w:pPr>
              <w:autoSpaceDE w:val="0"/>
              <w:autoSpaceDN w:val="0"/>
              <w:adjustRightInd w:val="0"/>
              <w:spacing w:line="240" w:lineRule="auto"/>
              <w:jc w:val="left"/>
              <w:rPr>
                <w:rFonts w:cs="Century Gothic"/>
                <w:b/>
                <w:bCs/>
                <w:color w:val="FFFFFF"/>
                <w:sz w:val="22"/>
                <w:szCs w:val="22"/>
              </w:rPr>
            </w:pPr>
            <w:r w:rsidRPr="003D1B7E">
              <w:rPr>
                <w:rFonts w:cs="Century Gothic"/>
                <w:b/>
                <w:bCs/>
                <w:color w:val="FFFFFF"/>
                <w:sz w:val="22"/>
                <w:szCs w:val="22"/>
              </w:rPr>
              <w:t>(Rs. Crores)</w:t>
            </w:r>
          </w:p>
        </w:tc>
        <w:tc>
          <w:tcPr>
            <w:tcW w:w="1782" w:type="dxa"/>
            <w:shd w:val="solid" w:color="000080" w:fill="auto"/>
            <w:vAlign w:val="center"/>
          </w:tcPr>
          <w:p w:rsidR="008E59C8" w:rsidRPr="0056242A" w:rsidRDefault="008E59C8" w:rsidP="00545FB4">
            <w:pPr>
              <w:autoSpaceDE w:val="0"/>
              <w:autoSpaceDN w:val="0"/>
              <w:adjustRightInd w:val="0"/>
              <w:spacing w:line="240" w:lineRule="auto"/>
              <w:ind w:left="-108" w:right="-209"/>
              <w:jc w:val="center"/>
              <w:rPr>
                <w:rFonts w:cs="Century Gothic"/>
                <w:bCs/>
                <w:color w:val="FFFFFF"/>
                <w:sz w:val="22"/>
                <w:szCs w:val="22"/>
              </w:rPr>
            </w:pPr>
            <w:r w:rsidRPr="0056242A">
              <w:rPr>
                <w:rFonts w:cs="Century Gothic"/>
                <w:bCs/>
                <w:color w:val="FFFFFF"/>
                <w:sz w:val="22"/>
                <w:szCs w:val="22"/>
              </w:rPr>
              <w:t>12-13</w:t>
            </w:r>
          </w:p>
        </w:tc>
        <w:tc>
          <w:tcPr>
            <w:tcW w:w="1782" w:type="dxa"/>
            <w:shd w:val="solid" w:color="000080" w:fill="auto"/>
            <w:vAlign w:val="center"/>
          </w:tcPr>
          <w:p w:rsidR="008E59C8" w:rsidRPr="0056242A" w:rsidRDefault="008E59C8" w:rsidP="008E59C8">
            <w:pPr>
              <w:autoSpaceDE w:val="0"/>
              <w:autoSpaceDN w:val="0"/>
              <w:adjustRightInd w:val="0"/>
              <w:spacing w:line="240" w:lineRule="auto"/>
              <w:ind w:left="-108" w:right="-209"/>
              <w:jc w:val="center"/>
              <w:rPr>
                <w:rFonts w:cs="Century Gothic"/>
                <w:bCs/>
                <w:color w:val="FFFFFF"/>
                <w:sz w:val="22"/>
                <w:szCs w:val="22"/>
              </w:rPr>
            </w:pPr>
            <w:r w:rsidRPr="0056242A">
              <w:rPr>
                <w:rFonts w:cs="Century Gothic"/>
                <w:bCs/>
                <w:color w:val="FFFFFF"/>
                <w:sz w:val="22"/>
                <w:szCs w:val="22"/>
              </w:rPr>
              <w:t>13-14</w:t>
            </w:r>
          </w:p>
        </w:tc>
        <w:tc>
          <w:tcPr>
            <w:tcW w:w="1782" w:type="dxa"/>
            <w:shd w:val="solid" w:color="000080" w:fill="auto"/>
            <w:vAlign w:val="center"/>
          </w:tcPr>
          <w:p w:rsidR="008E59C8" w:rsidRPr="0056242A" w:rsidRDefault="008E59C8" w:rsidP="008E59C8">
            <w:pPr>
              <w:autoSpaceDE w:val="0"/>
              <w:autoSpaceDN w:val="0"/>
              <w:adjustRightInd w:val="0"/>
              <w:spacing w:line="240" w:lineRule="auto"/>
              <w:ind w:left="-108" w:right="-209"/>
              <w:jc w:val="center"/>
              <w:rPr>
                <w:rFonts w:cs="Century Gothic"/>
                <w:bCs/>
                <w:color w:val="FFFFFF"/>
                <w:sz w:val="22"/>
                <w:szCs w:val="22"/>
              </w:rPr>
            </w:pPr>
            <w:r w:rsidRPr="0056242A">
              <w:rPr>
                <w:rFonts w:cs="Century Gothic"/>
                <w:bCs/>
                <w:color w:val="FFFFFF"/>
                <w:sz w:val="22"/>
                <w:szCs w:val="22"/>
              </w:rPr>
              <w:t>14-15</w:t>
            </w:r>
          </w:p>
        </w:tc>
        <w:tc>
          <w:tcPr>
            <w:tcW w:w="1783" w:type="dxa"/>
            <w:shd w:val="solid" w:color="000080" w:fill="auto"/>
            <w:vAlign w:val="center"/>
          </w:tcPr>
          <w:p w:rsidR="008E59C8" w:rsidRPr="0056242A" w:rsidRDefault="0064724E" w:rsidP="003D1B7E">
            <w:pPr>
              <w:autoSpaceDE w:val="0"/>
              <w:autoSpaceDN w:val="0"/>
              <w:adjustRightInd w:val="0"/>
              <w:spacing w:line="240" w:lineRule="auto"/>
              <w:ind w:left="-108" w:right="-209"/>
              <w:jc w:val="center"/>
              <w:rPr>
                <w:rFonts w:cs="Century Gothic"/>
                <w:bCs/>
                <w:color w:val="FFFFFF"/>
                <w:sz w:val="22"/>
                <w:szCs w:val="22"/>
              </w:rPr>
            </w:pPr>
            <w:r>
              <w:rPr>
                <w:b/>
                <w:bCs/>
                <w:sz w:val="22"/>
                <w:szCs w:val="22"/>
              </w:rPr>
              <w:t>15-16  (Estimated)</w:t>
            </w:r>
          </w:p>
        </w:tc>
      </w:tr>
      <w:tr w:rsidR="00AA60EA" w:rsidRPr="003D1B7E" w:rsidTr="00787663">
        <w:trPr>
          <w:trHeight w:val="465"/>
        </w:trPr>
        <w:tc>
          <w:tcPr>
            <w:tcW w:w="1782" w:type="dxa"/>
            <w:vAlign w:val="center"/>
          </w:tcPr>
          <w:p w:rsidR="00AA60EA" w:rsidRPr="003D1B7E" w:rsidRDefault="00AA60EA" w:rsidP="003D1B7E">
            <w:pPr>
              <w:autoSpaceDE w:val="0"/>
              <w:autoSpaceDN w:val="0"/>
              <w:adjustRightInd w:val="0"/>
              <w:spacing w:line="240" w:lineRule="auto"/>
              <w:ind w:left="-108" w:right="-108"/>
              <w:jc w:val="left"/>
              <w:rPr>
                <w:rFonts w:cs="Century Gothic"/>
                <w:b/>
                <w:bCs/>
                <w:color w:val="000000"/>
                <w:sz w:val="22"/>
                <w:szCs w:val="22"/>
              </w:rPr>
            </w:pPr>
            <w:r w:rsidRPr="003D1B7E">
              <w:rPr>
                <w:rFonts w:cs="Century Gothic"/>
                <w:b/>
                <w:bCs/>
                <w:color w:val="000000"/>
                <w:sz w:val="22"/>
                <w:szCs w:val="22"/>
              </w:rPr>
              <w:t>O&amp;M expenses</w:t>
            </w:r>
          </w:p>
        </w:tc>
        <w:tc>
          <w:tcPr>
            <w:tcW w:w="1782" w:type="dxa"/>
            <w:vAlign w:val="center"/>
          </w:tcPr>
          <w:p w:rsidR="00AA60EA" w:rsidRPr="00AA60EA" w:rsidRDefault="00AA60EA" w:rsidP="00787663">
            <w:pPr>
              <w:jc w:val="center"/>
              <w:rPr>
                <w:rFonts w:ascii="Arial" w:hAnsi="Arial" w:cs="Arial"/>
                <w:b/>
                <w:sz w:val="20"/>
                <w:szCs w:val="20"/>
              </w:rPr>
            </w:pPr>
            <w:r w:rsidRPr="00AA60EA">
              <w:rPr>
                <w:rFonts w:ascii="Arial" w:hAnsi="Arial" w:cs="Arial"/>
                <w:b/>
                <w:sz w:val="20"/>
                <w:szCs w:val="20"/>
              </w:rPr>
              <w:t>75.74</w:t>
            </w:r>
          </w:p>
        </w:tc>
        <w:tc>
          <w:tcPr>
            <w:tcW w:w="1782" w:type="dxa"/>
            <w:vAlign w:val="center"/>
          </w:tcPr>
          <w:p w:rsidR="00AA60EA" w:rsidRPr="00AA60EA" w:rsidRDefault="00AA60EA" w:rsidP="00787663">
            <w:pPr>
              <w:jc w:val="center"/>
              <w:rPr>
                <w:rFonts w:ascii="Arial" w:hAnsi="Arial" w:cs="Arial"/>
                <w:b/>
                <w:sz w:val="20"/>
                <w:szCs w:val="20"/>
              </w:rPr>
            </w:pPr>
            <w:r w:rsidRPr="00AA60EA">
              <w:rPr>
                <w:rFonts w:ascii="Arial" w:hAnsi="Arial" w:cs="Arial"/>
                <w:b/>
                <w:sz w:val="20"/>
                <w:szCs w:val="20"/>
              </w:rPr>
              <w:t>55.03</w:t>
            </w:r>
          </w:p>
        </w:tc>
        <w:tc>
          <w:tcPr>
            <w:tcW w:w="1782" w:type="dxa"/>
            <w:vAlign w:val="center"/>
          </w:tcPr>
          <w:p w:rsidR="00AA60EA" w:rsidRPr="00AA60EA" w:rsidRDefault="00AA60EA" w:rsidP="00787663">
            <w:pPr>
              <w:jc w:val="center"/>
              <w:rPr>
                <w:rFonts w:ascii="Arial" w:hAnsi="Arial" w:cs="Arial"/>
                <w:b/>
                <w:sz w:val="20"/>
                <w:szCs w:val="20"/>
              </w:rPr>
            </w:pPr>
            <w:r w:rsidRPr="00AA60EA">
              <w:rPr>
                <w:rFonts w:ascii="Arial" w:hAnsi="Arial" w:cs="Arial"/>
                <w:b/>
                <w:sz w:val="20"/>
                <w:szCs w:val="20"/>
              </w:rPr>
              <w:t>93.97</w:t>
            </w:r>
          </w:p>
        </w:tc>
        <w:tc>
          <w:tcPr>
            <w:tcW w:w="1783" w:type="dxa"/>
            <w:vAlign w:val="center"/>
          </w:tcPr>
          <w:p w:rsidR="00AA60EA" w:rsidRPr="00AA60EA" w:rsidRDefault="00AA60EA" w:rsidP="00787663">
            <w:pPr>
              <w:jc w:val="center"/>
              <w:rPr>
                <w:rFonts w:ascii="Arial" w:hAnsi="Arial" w:cs="Arial"/>
                <w:b/>
                <w:sz w:val="20"/>
                <w:szCs w:val="20"/>
              </w:rPr>
            </w:pPr>
            <w:r w:rsidRPr="00AA60EA">
              <w:rPr>
                <w:rFonts w:ascii="Arial" w:hAnsi="Arial" w:cs="Arial"/>
                <w:b/>
                <w:sz w:val="20"/>
                <w:szCs w:val="20"/>
              </w:rPr>
              <w:t>106.91</w:t>
            </w:r>
          </w:p>
        </w:tc>
      </w:tr>
      <w:tr w:rsidR="00AA60EA" w:rsidRPr="003D1B7E" w:rsidTr="00787663">
        <w:trPr>
          <w:trHeight w:val="627"/>
        </w:trPr>
        <w:tc>
          <w:tcPr>
            <w:tcW w:w="1782" w:type="dxa"/>
            <w:vAlign w:val="center"/>
          </w:tcPr>
          <w:p w:rsidR="00AA60EA" w:rsidRPr="003D1B7E" w:rsidRDefault="00AA60EA" w:rsidP="003D1B7E">
            <w:pPr>
              <w:autoSpaceDE w:val="0"/>
              <w:autoSpaceDN w:val="0"/>
              <w:adjustRightInd w:val="0"/>
              <w:spacing w:line="240" w:lineRule="auto"/>
              <w:ind w:left="-108" w:right="-108"/>
              <w:jc w:val="left"/>
              <w:rPr>
                <w:rFonts w:cs="Century Gothic"/>
                <w:color w:val="000000"/>
                <w:sz w:val="22"/>
                <w:szCs w:val="22"/>
              </w:rPr>
            </w:pPr>
            <w:r w:rsidRPr="003D1B7E">
              <w:rPr>
                <w:rFonts w:cs="Century Gothic"/>
                <w:color w:val="000000"/>
                <w:sz w:val="22"/>
                <w:szCs w:val="22"/>
              </w:rPr>
              <w:t>Employee expenses</w:t>
            </w:r>
          </w:p>
        </w:tc>
        <w:tc>
          <w:tcPr>
            <w:tcW w:w="1782" w:type="dxa"/>
            <w:vAlign w:val="center"/>
          </w:tcPr>
          <w:p w:rsidR="00AA60EA" w:rsidRDefault="00AA60EA" w:rsidP="00787663">
            <w:pPr>
              <w:jc w:val="center"/>
              <w:rPr>
                <w:rFonts w:ascii="Arial" w:hAnsi="Arial" w:cs="Arial"/>
                <w:sz w:val="20"/>
                <w:szCs w:val="20"/>
              </w:rPr>
            </w:pPr>
            <w:r>
              <w:rPr>
                <w:rFonts w:ascii="Arial" w:hAnsi="Arial" w:cs="Arial"/>
                <w:sz w:val="20"/>
                <w:szCs w:val="20"/>
              </w:rPr>
              <w:t>18.03</w:t>
            </w:r>
          </w:p>
        </w:tc>
        <w:tc>
          <w:tcPr>
            <w:tcW w:w="1782" w:type="dxa"/>
            <w:vAlign w:val="center"/>
          </w:tcPr>
          <w:p w:rsidR="00AA60EA" w:rsidRDefault="00AA60EA" w:rsidP="00787663">
            <w:pPr>
              <w:jc w:val="center"/>
              <w:rPr>
                <w:rFonts w:ascii="Arial" w:hAnsi="Arial" w:cs="Arial"/>
                <w:sz w:val="20"/>
                <w:szCs w:val="20"/>
              </w:rPr>
            </w:pPr>
            <w:r>
              <w:rPr>
                <w:rFonts w:ascii="Arial" w:hAnsi="Arial" w:cs="Arial"/>
                <w:sz w:val="20"/>
                <w:szCs w:val="20"/>
              </w:rPr>
              <w:t>18.75</w:t>
            </w:r>
          </w:p>
        </w:tc>
        <w:tc>
          <w:tcPr>
            <w:tcW w:w="1782" w:type="dxa"/>
            <w:vAlign w:val="center"/>
          </w:tcPr>
          <w:p w:rsidR="00AA60EA" w:rsidRDefault="00AA60EA" w:rsidP="00787663">
            <w:pPr>
              <w:jc w:val="center"/>
              <w:rPr>
                <w:rFonts w:ascii="Arial" w:hAnsi="Arial" w:cs="Arial"/>
                <w:sz w:val="20"/>
                <w:szCs w:val="20"/>
              </w:rPr>
            </w:pPr>
            <w:r>
              <w:rPr>
                <w:rFonts w:ascii="Arial" w:hAnsi="Arial" w:cs="Arial"/>
                <w:sz w:val="20"/>
                <w:szCs w:val="20"/>
              </w:rPr>
              <w:t>20.41</w:t>
            </w:r>
          </w:p>
        </w:tc>
        <w:tc>
          <w:tcPr>
            <w:tcW w:w="1783" w:type="dxa"/>
            <w:vAlign w:val="center"/>
          </w:tcPr>
          <w:p w:rsidR="00AA60EA" w:rsidRDefault="00AA60EA" w:rsidP="00787663">
            <w:pPr>
              <w:jc w:val="center"/>
              <w:rPr>
                <w:rFonts w:ascii="Arial" w:hAnsi="Arial" w:cs="Arial"/>
                <w:sz w:val="20"/>
                <w:szCs w:val="20"/>
              </w:rPr>
            </w:pPr>
            <w:r>
              <w:rPr>
                <w:rFonts w:ascii="Arial" w:hAnsi="Arial" w:cs="Arial"/>
                <w:sz w:val="20"/>
                <w:szCs w:val="20"/>
              </w:rPr>
              <w:t>22.22</w:t>
            </w:r>
          </w:p>
        </w:tc>
      </w:tr>
      <w:tr w:rsidR="006C6ED1" w:rsidRPr="003D1B7E" w:rsidTr="00787663">
        <w:trPr>
          <w:trHeight w:val="465"/>
        </w:trPr>
        <w:tc>
          <w:tcPr>
            <w:tcW w:w="1782" w:type="dxa"/>
            <w:vAlign w:val="center"/>
          </w:tcPr>
          <w:p w:rsidR="006C6ED1" w:rsidRPr="003D1B7E" w:rsidRDefault="006C6ED1" w:rsidP="003D1B7E">
            <w:pPr>
              <w:autoSpaceDE w:val="0"/>
              <w:autoSpaceDN w:val="0"/>
              <w:adjustRightInd w:val="0"/>
              <w:spacing w:line="240" w:lineRule="auto"/>
              <w:ind w:left="-108" w:right="-108"/>
              <w:jc w:val="left"/>
              <w:rPr>
                <w:rFonts w:cs="Century Gothic"/>
                <w:color w:val="000000"/>
                <w:sz w:val="22"/>
                <w:szCs w:val="22"/>
              </w:rPr>
            </w:pPr>
            <w:r w:rsidRPr="003D1B7E">
              <w:rPr>
                <w:rFonts w:cs="Century Gothic"/>
                <w:color w:val="000000"/>
                <w:sz w:val="22"/>
                <w:szCs w:val="22"/>
              </w:rPr>
              <w:t>R&amp;M expenses</w:t>
            </w:r>
          </w:p>
        </w:tc>
        <w:tc>
          <w:tcPr>
            <w:tcW w:w="1782" w:type="dxa"/>
            <w:vAlign w:val="center"/>
          </w:tcPr>
          <w:p w:rsidR="006C6ED1" w:rsidRPr="006C6ED1" w:rsidRDefault="006C6ED1" w:rsidP="00787663">
            <w:pPr>
              <w:jc w:val="center"/>
              <w:rPr>
                <w:rFonts w:ascii="Arial" w:hAnsi="Arial" w:cs="Arial"/>
                <w:sz w:val="20"/>
                <w:szCs w:val="20"/>
              </w:rPr>
            </w:pPr>
            <w:r w:rsidRPr="006C6ED1">
              <w:rPr>
                <w:rFonts w:ascii="Arial" w:hAnsi="Arial" w:cs="Arial"/>
                <w:sz w:val="20"/>
                <w:szCs w:val="20"/>
              </w:rPr>
              <w:t>44.84</w:t>
            </w:r>
          </w:p>
        </w:tc>
        <w:tc>
          <w:tcPr>
            <w:tcW w:w="1782" w:type="dxa"/>
            <w:vAlign w:val="center"/>
          </w:tcPr>
          <w:p w:rsidR="006C6ED1" w:rsidRPr="006C6ED1" w:rsidRDefault="006C6ED1" w:rsidP="00787663">
            <w:pPr>
              <w:jc w:val="center"/>
              <w:rPr>
                <w:rFonts w:ascii="Arial" w:hAnsi="Arial" w:cs="Arial"/>
                <w:sz w:val="20"/>
                <w:szCs w:val="20"/>
              </w:rPr>
            </w:pPr>
            <w:r w:rsidRPr="006C6ED1">
              <w:rPr>
                <w:rFonts w:ascii="Arial" w:hAnsi="Arial" w:cs="Arial"/>
                <w:sz w:val="20"/>
                <w:szCs w:val="20"/>
              </w:rPr>
              <w:t>23.77</w:t>
            </w:r>
          </w:p>
        </w:tc>
        <w:tc>
          <w:tcPr>
            <w:tcW w:w="1782" w:type="dxa"/>
            <w:vAlign w:val="center"/>
          </w:tcPr>
          <w:p w:rsidR="006C6ED1" w:rsidRPr="006C6ED1" w:rsidRDefault="006C6ED1" w:rsidP="00787663">
            <w:pPr>
              <w:jc w:val="center"/>
              <w:rPr>
                <w:rFonts w:ascii="Arial" w:hAnsi="Arial" w:cs="Arial"/>
                <w:sz w:val="20"/>
                <w:szCs w:val="20"/>
              </w:rPr>
            </w:pPr>
            <w:r w:rsidRPr="006C6ED1">
              <w:rPr>
                <w:rFonts w:ascii="Arial" w:hAnsi="Arial" w:cs="Arial"/>
                <w:sz w:val="20"/>
                <w:szCs w:val="20"/>
              </w:rPr>
              <w:t>58.33</w:t>
            </w:r>
          </w:p>
        </w:tc>
        <w:tc>
          <w:tcPr>
            <w:tcW w:w="1783" w:type="dxa"/>
            <w:vAlign w:val="center"/>
          </w:tcPr>
          <w:p w:rsidR="006C6ED1" w:rsidRPr="006C6ED1" w:rsidRDefault="006C6ED1" w:rsidP="00787663">
            <w:pPr>
              <w:jc w:val="center"/>
              <w:rPr>
                <w:rFonts w:ascii="Arial" w:hAnsi="Arial" w:cs="Arial"/>
                <w:sz w:val="20"/>
                <w:szCs w:val="20"/>
              </w:rPr>
            </w:pPr>
            <w:r w:rsidRPr="006C6ED1">
              <w:rPr>
                <w:rFonts w:ascii="Arial" w:hAnsi="Arial" w:cs="Arial"/>
                <w:sz w:val="20"/>
                <w:szCs w:val="20"/>
              </w:rPr>
              <w:t>68.12</w:t>
            </w:r>
          </w:p>
        </w:tc>
      </w:tr>
      <w:tr w:rsidR="00AA60EA" w:rsidRPr="003D1B7E" w:rsidTr="005B54E0">
        <w:trPr>
          <w:trHeight w:val="465"/>
        </w:trPr>
        <w:tc>
          <w:tcPr>
            <w:tcW w:w="1782" w:type="dxa"/>
            <w:vAlign w:val="center"/>
          </w:tcPr>
          <w:p w:rsidR="00AA60EA" w:rsidRPr="003D1B7E" w:rsidRDefault="00AA60EA" w:rsidP="003D1B7E">
            <w:pPr>
              <w:autoSpaceDE w:val="0"/>
              <w:autoSpaceDN w:val="0"/>
              <w:adjustRightInd w:val="0"/>
              <w:spacing w:line="240" w:lineRule="auto"/>
              <w:ind w:left="-108" w:right="-108"/>
              <w:jc w:val="left"/>
              <w:rPr>
                <w:rFonts w:cs="Century Gothic"/>
                <w:color w:val="000000"/>
                <w:sz w:val="22"/>
                <w:szCs w:val="22"/>
              </w:rPr>
            </w:pPr>
            <w:r w:rsidRPr="003D1B7E">
              <w:rPr>
                <w:rFonts w:cs="Century Gothic"/>
                <w:color w:val="000000"/>
                <w:sz w:val="22"/>
                <w:szCs w:val="22"/>
              </w:rPr>
              <w:t>A&amp;G expenses</w:t>
            </w:r>
          </w:p>
        </w:tc>
        <w:tc>
          <w:tcPr>
            <w:tcW w:w="1782" w:type="dxa"/>
            <w:vAlign w:val="bottom"/>
          </w:tcPr>
          <w:p w:rsidR="00AA60EA" w:rsidRDefault="00AA60EA">
            <w:pPr>
              <w:jc w:val="right"/>
              <w:rPr>
                <w:rFonts w:ascii="Arial" w:hAnsi="Arial" w:cs="Arial"/>
                <w:sz w:val="20"/>
                <w:szCs w:val="20"/>
              </w:rPr>
            </w:pPr>
            <w:r>
              <w:rPr>
                <w:rFonts w:ascii="Arial" w:hAnsi="Arial" w:cs="Arial"/>
                <w:sz w:val="20"/>
                <w:szCs w:val="20"/>
              </w:rPr>
              <w:t>12.87</w:t>
            </w:r>
          </w:p>
        </w:tc>
        <w:tc>
          <w:tcPr>
            <w:tcW w:w="1782" w:type="dxa"/>
            <w:vAlign w:val="bottom"/>
          </w:tcPr>
          <w:p w:rsidR="00AA60EA" w:rsidRDefault="00AA60EA">
            <w:pPr>
              <w:jc w:val="right"/>
              <w:rPr>
                <w:rFonts w:ascii="Arial" w:hAnsi="Arial" w:cs="Arial"/>
                <w:sz w:val="20"/>
                <w:szCs w:val="20"/>
              </w:rPr>
            </w:pPr>
            <w:r>
              <w:rPr>
                <w:rFonts w:ascii="Arial" w:hAnsi="Arial" w:cs="Arial"/>
                <w:sz w:val="20"/>
                <w:szCs w:val="20"/>
              </w:rPr>
              <w:t>12.51</w:t>
            </w:r>
          </w:p>
        </w:tc>
        <w:tc>
          <w:tcPr>
            <w:tcW w:w="1782" w:type="dxa"/>
            <w:vAlign w:val="bottom"/>
          </w:tcPr>
          <w:p w:rsidR="00AA60EA" w:rsidRDefault="00AA60EA">
            <w:pPr>
              <w:jc w:val="right"/>
              <w:rPr>
                <w:rFonts w:ascii="Arial" w:hAnsi="Arial" w:cs="Arial"/>
                <w:sz w:val="20"/>
                <w:szCs w:val="20"/>
              </w:rPr>
            </w:pPr>
            <w:r>
              <w:rPr>
                <w:rFonts w:ascii="Arial" w:hAnsi="Arial" w:cs="Arial"/>
                <w:sz w:val="20"/>
                <w:szCs w:val="20"/>
              </w:rPr>
              <w:t>15.23</w:t>
            </w:r>
          </w:p>
        </w:tc>
        <w:tc>
          <w:tcPr>
            <w:tcW w:w="1783" w:type="dxa"/>
            <w:vAlign w:val="bottom"/>
          </w:tcPr>
          <w:p w:rsidR="00AA60EA" w:rsidRDefault="00AA60EA">
            <w:pPr>
              <w:jc w:val="right"/>
              <w:rPr>
                <w:rFonts w:ascii="Arial" w:hAnsi="Arial" w:cs="Arial"/>
                <w:sz w:val="20"/>
                <w:szCs w:val="20"/>
              </w:rPr>
            </w:pPr>
            <w:r>
              <w:rPr>
                <w:rFonts w:ascii="Arial" w:hAnsi="Arial" w:cs="Arial"/>
                <w:sz w:val="20"/>
                <w:szCs w:val="20"/>
              </w:rPr>
              <w:t>16.58</w:t>
            </w:r>
          </w:p>
        </w:tc>
      </w:tr>
    </w:tbl>
    <w:p w:rsidR="000F7069" w:rsidRDefault="000F7069" w:rsidP="001A3440">
      <w:pPr>
        <w:jc w:val="right"/>
        <w:rPr>
          <w:b/>
          <w:bCs/>
          <w:i/>
          <w:iCs/>
          <w:color w:val="000080"/>
        </w:rPr>
      </w:pPr>
    </w:p>
    <w:p w:rsidR="000F7069" w:rsidRDefault="00092A48" w:rsidP="00227BAC">
      <w:pPr>
        <w:ind w:left="540"/>
        <w:rPr>
          <w:sz w:val="22"/>
          <w:szCs w:val="22"/>
        </w:rPr>
      </w:pPr>
      <w:r>
        <w:rPr>
          <w:sz w:val="22"/>
          <w:szCs w:val="22"/>
        </w:rPr>
        <w:t xml:space="preserve">The Hon’ble commission is requested to allow </w:t>
      </w:r>
      <w:r w:rsidR="00675657">
        <w:rPr>
          <w:sz w:val="22"/>
          <w:szCs w:val="22"/>
        </w:rPr>
        <w:t xml:space="preserve">Operation &amp; Maintenance expenses as </w:t>
      </w:r>
      <w:r w:rsidR="00C67D91">
        <w:rPr>
          <w:sz w:val="22"/>
          <w:szCs w:val="22"/>
        </w:rPr>
        <w:t>presented</w:t>
      </w:r>
      <w:r w:rsidR="00675657">
        <w:rPr>
          <w:sz w:val="22"/>
          <w:szCs w:val="22"/>
        </w:rPr>
        <w:t xml:space="preserve"> above </w:t>
      </w:r>
      <w:r w:rsidR="00C4756A">
        <w:rPr>
          <w:sz w:val="22"/>
          <w:szCs w:val="22"/>
        </w:rPr>
        <w:t xml:space="preserve">as per actual </w:t>
      </w:r>
      <w:r w:rsidR="00675657">
        <w:rPr>
          <w:sz w:val="22"/>
          <w:szCs w:val="22"/>
        </w:rPr>
        <w:t>for FY 2012-13 to FY 2014-15</w:t>
      </w:r>
      <w:r w:rsidR="00C4756A">
        <w:rPr>
          <w:sz w:val="22"/>
          <w:szCs w:val="22"/>
        </w:rPr>
        <w:t xml:space="preserve"> and as projected for FY 2015-16</w:t>
      </w:r>
      <w:r>
        <w:rPr>
          <w:sz w:val="22"/>
          <w:szCs w:val="22"/>
        </w:rPr>
        <w:t xml:space="preserve">.  </w:t>
      </w:r>
    </w:p>
    <w:p w:rsidR="000F7069" w:rsidRPr="006F7844" w:rsidRDefault="000F7069">
      <w:pPr>
        <w:ind w:left="900"/>
        <w:rPr>
          <w:sz w:val="10"/>
          <w:szCs w:val="22"/>
        </w:rPr>
      </w:pPr>
    </w:p>
    <w:p w:rsidR="000F7069" w:rsidRDefault="000F7069">
      <w:pPr>
        <w:pStyle w:val="StyleHeading216ptJustifiedLinespacing15lines"/>
        <w:numPr>
          <w:ilvl w:val="0"/>
          <w:numId w:val="0"/>
        </w:numPr>
        <w:rPr>
          <w:sz w:val="22"/>
          <w:szCs w:val="22"/>
        </w:rPr>
      </w:pPr>
      <w:bookmarkStart w:id="40" w:name="_Toc411603923"/>
      <w:r>
        <w:rPr>
          <w:color w:val="000080"/>
        </w:rPr>
        <w:t>4.3      Interest on Loan</w:t>
      </w:r>
      <w:bookmarkEnd w:id="40"/>
      <w:r>
        <w:rPr>
          <w:sz w:val="22"/>
          <w:szCs w:val="22"/>
        </w:rPr>
        <w:t xml:space="preserve"> </w:t>
      </w:r>
    </w:p>
    <w:p w:rsidR="000F7069" w:rsidRPr="008045AD" w:rsidRDefault="0067047D" w:rsidP="004267DD">
      <w:pPr>
        <w:numPr>
          <w:ilvl w:val="2"/>
          <w:numId w:val="6"/>
        </w:numPr>
        <w:tabs>
          <w:tab w:val="clear" w:pos="2340"/>
        </w:tabs>
        <w:ind w:left="900"/>
        <w:rPr>
          <w:rFonts w:cs="Arial"/>
        </w:rPr>
      </w:pPr>
      <w:r>
        <w:rPr>
          <w:sz w:val="22"/>
          <w:szCs w:val="22"/>
        </w:rPr>
        <w:t>I</w:t>
      </w:r>
      <w:r w:rsidR="000F7069">
        <w:rPr>
          <w:sz w:val="22"/>
          <w:szCs w:val="22"/>
        </w:rPr>
        <w:t xml:space="preserve">nterest expenditure on account of long-term loans depends on the outstanding loan, repayments and </w:t>
      </w:r>
      <w:r w:rsidR="00F30E20">
        <w:rPr>
          <w:sz w:val="22"/>
          <w:szCs w:val="22"/>
        </w:rPr>
        <w:t>applicable</w:t>
      </w:r>
      <w:r w:rsidR="000F7069">
        <w:rPr>
          <w:sz w:val="22"/>
          <w:szCs w:val="22"/>
        </w:rPr>
        <w:t xml:space="preserve"> interest rates</w:t>
      </w:r>
      <w:r w:rsidR="00F30E20">
        <w:rPr>
          <w:sz w:val="22"/>
          <w:szCs w:val="22"/>
        </w:rPr>
        <w:t>.</w:t>
      </w:r>
      <w:r w:rsidR="000F7069">
        <w:rPr>
          <w:sz w:val="22"/>
          <w:szCs w:val="22"/>
        </w:rPr>
        <w:t xml:space="preserve"> </w:t>
      </w:r>
    </w:p>
    <w:p w:rsidR="008045AD" w:rsidRPr="009B22FA" w:rsidRDefault="008045AD" w:rsidP="004267DD">
      <w:pPr>
        <w:numPr>
          <w:ilvl w:val="2"/>
          <w:numId w:val="6"/>
        </w:numPr>
        <w:tabs>
          <w:tab w:val="clear" w:pos="2340"/>
        </w:tabs>
        <w:ind w:left="900"/>
        <w:rPr>
          <w:rFonts w:cs="Arial"/>
          <w:color w:val="FF0000"/>
        </w:rPr>
      </w:pPr>
      <w:r>
        <w:rPr>
          <w:sz w:val="22"/>
          <w:szCs w:val="22"/>
        </w:rPr>
        <w:t xml:space="preserve">PPS-I </w:t>
      </w:r>
      <w:r w:rsidR="00553912">
        <w:rPr>
          <w:sz w:val="22"/>
          <w:szCs w:val="22"/>
        </w:rPr>
        <w:t>had</w:t>
      </w:r>
      <w:r>
        <w:rPr>
          <w:sz w:val="22"/>
          <w:szCs w:val="22"/>
        </w:rPr>
        <w:t xml:space="preserve"> taken a loan of Rs.</w:t>
      </w:r>
      <w:r w:rsidR="00EC7A42">
        <w:rPr>
          <w:sz w:val="22"/>
          <w:szCs w:val="22"/>
        </w:rPr>
        <w:t xml:space="preserve"> </w:t>
      </w:r>
      <w:r w:rsidR="00586BBA" w:rsidRPr="001A5059">
        <w:rPr>
          <w:sz w:val="22"/>
          <w:szCs w:val="22"/>
        </w:rPr>
        <w:t xml:space="preserve">675.3 </w:t>
      </w:r>
      <w:r w:rsidRPr="001A5059">
        <w:rPr>
          <w:sz w:val="22"/>
          <w:szCs w:val="22"/>
        </w:rPr>
        <w:t>Crore</w:t>
      </w:r>
      <w:r>
        <w:rPr>
          <w:sz w:val="22"/>
          <w:szCs w:val="22"/>
        </w:rPr>
        <w:t xml:space="preserve"> from Power Finance Corporation Ltd. to fund the project. </w:t>
      </w:r>
      <w:r w:rsidR="00AD28ED">
        <w:rPr>
          <w:sz w:val="22"/>
          <w:szCs w:val="22"/>
        </w:rPr>
        <w:t>The l</w:t>
      </w:r>
      <w:r>
        <w:rPr>
          <w:sz w:val="22"/>
          <w:szCs w:val="22"/>
        </w:rPr>
        <w:t>oan is repayable over a period of 10 years</w:t>
      </w:r>
      <w:r w:rsidR="00AD28ED">
        <w:rPr>
          <w:sz w:val="22"/>
          <w:szCs w:val="22"/>
        </w:rPr>
        <w:t xml:space="preserve"> and the </w:t>
      </w:r>
      <w:r>
        <w:rPr>
          <w:sz w:val="22"/>
          <w:szCs w:val="22"/>
        </w:rPr>
        <w:t xml:space="preserve">interest rate on the loan </w:t>
      </w:r>
      <w:r w:rsidRPr="00843149">
        <w:rPr>
          <w:sz w:val="22"/>
          <w:szCs w:val="22"/>
        </w:rPr>
        <w:t>varies from</w:t>
      </w:r>
      <w:r w:rsidR="00843149" w:rsidRPr="00843149">
        <w:rPr>
          <w:sz w:val="22"/>
          <w:szCs w:val="22"/>
        </w:rPr>
        <w:t xml:space="preserve"> </w:t>
      </w:r>
      <w:r w:rsidR="00843149" w:rsidRPr="001A5059">
        <w:rPr>
          <w:sz w:val="22"/>
          <w:szCs w:val="22"/>
        </w:rPr>
        <w:t>6.25</w:t>
      </w:r>
      <w:r w:rsidRPr="001A5059">
        <w:rPr>
          <w:sz w:val="22"/>
          <w:szCs w:val="22"/>
        </w:rPr>
        <w:t>% to</w:t>
      </w:r>
      <w:r w:rsidR="00843149" w:rsidRPr="001A5059">
        <w:rPr>
          <w:sz w:val="22"/>
          <w:szCs w:val="22"/>
        </w:rPr>
        <w:t xml:space="preserve"> 12 </w:t>
      </w:r>
      <w:r w:rsidRPr="001A5059">
        <w:rPr>
          <w:sz w:val="22"/>
          <w:szCs w:val="22"/>
        </w:rPr>
        <w:t>% depending on the period of disbursement.</w:t>
      </w:r>
      <w:r w:rsidR="00BE4E9A" w:rsidRPr="001A5059">
        <w:rPr>
          <w:sz w:val="22"/>
          <w:szCs w:val="22"/>
        </w:rPr>
        <w:t xml:space="preserve">  The loan has been paid in FY 2013-14</w:t>
      </w:r>
      <w:r w:rsidR="00BE4E9A">
        <w:rPr>
          <w:color w:val="FF0000"/>
          <w:sz w:val="22"/>
          <w:szCs w:val="22"/>
        </w:rPr>
        <w:t>.</w:t>
      </w:r>
    </w:p>
    <w:p w:rsidR="000F7069" w:rsidRPr="005C255D" w:rsidRDefault="00C47AE3" w:rsidP="004267DD">
      <w:pPr>
        <w:numPr>
          <w:ilvl w:val="2"/>
          <w:numId w:val="6"/>
        </w:numPr>
        <w:tabs>
          <w:tab w:val="clear" w:pos="2340"/>
        </w:tabs>
        <w:ind w:left="900"/>
        <w:rPr>
          <w:rFonts w:cs="Arial"/>
        </w:rPr>
      </w:pPr>
      <w:r w:rsidRPr="00AB6807">
        <w:rPr>
          <w:sz w:val="22"/>
          <w:szCs w:val="22"/>
        </w:rPr>
        <w:t xml:space="preserve">Petitioner </w:t>
      </w:r>
      <w:r w:rsidR="000940B9">
        <w:rPr>
          <w:sz w:val="22"/>
          <w:szCs w:val="22"/>
        </w:rPr>
        <w:t xml:space="preserve">has made </w:t>
      </w:r>
      <w:r w:rsidR="003B7F69">
        <w:rPr>
          <w:sz w:val="22"/>
          <w:szCs w:val="22"/>
        </w:rPr>
        <w:t xml:space="preserve">certain </w:t>
      </w:r>
      <w:r w:rsidR="000940B9">
        <w:rPr>
          <w:sz w:val="22"/>
          <w:szCs w:val="22"/>
        </w:rPr>
        <w:t xml:space="preserve">capital additions </w:t>
      </w:r>
      <w:r w:rsidR="00A436F8">
        <w:rPr>
          <w:sz w:val="22"/>
          <w:szCs w:val="22"/>
        </w:rPr>
        <w:t xml:space="preserve">in PPS-I </w:t>
      </w:r>
      <w:r w:rsidR="000940B9">
        <w:rPr>
          <w:sz w:val="22"/>
          <w:szCs w:val="22"/>
        </w:rPr>
        <w:t>during the Control period</w:t>
      </w:r>
      <w:r w:rsidR="003B7F69">
        <w:rPr>
          <w:sz w:val="22"/>
          <w:szCs w:val="22"/>
        </w:rPr>
        <w:t xml:space="preserve"> FY </w:t>
      </w:r>
      <w:r w:rsidR="009B22FA">
        <w:rPr>
          <w:sz w:val="22"/>
          <w:szCs w:val="22"/>
        </w:rPr>
        <w:t>2012-13, 2013-14 &amp; FY 2014-15</w:t>
      </w:r>
      <w:r w:rsidR="005555B4">
        <w:rPr>
          <w:sz w:val="22"/>
          <w:szCs w:val="22"/>
        </w:rPr>
        <w:t xml:space="preserve">. The same has been funded through Reserve and surplus. </w:t>
      </w:r>
      <w:r w:rsidR="00CD44F8">
        <w:rPr>
          <w:sz w:val="22"/>
          <w:szCs w:val="22"/>
        </w:rPr>
        <w:t>As per Regulation</w:t>
      </w:r>
      <w:r w:rsidR="00B83846">
        <w:rPr>
          <w:sz w:val="22"/>
          <w:szCs w:val="22"/>
        </w:rPr>
        <w:t>s</w:t>
      </w:r>
      <w:r w:rsidR="00CD44F8">
        <w:rPr>
          <w:sz w:val="22"/>
          <w:szCs w:val="22"/>
        </w:rPr>
        <w:t xml:space="preserve">, 70% of the capital additions </w:t>
      </w:r>
      <w:r w:rsidR="00354DD7">
        <w:rPr>
          <w:sz w:val="22"/>
          <w:szCs w:val="22"/>
        </w:rPr>
        <w:t>have</w:t>
      </w:r>
      <w:r w:rsidR="00CD44F8">
        <w:rPr>
          <w:sz w:val="22"/>
          <w:szCs w:val="22"/>
        </w:rPr>
        <w:t xml:space="preserve"> been considered </w:t>
      </w:r>
      <w:r w:rsidR="00AD0587">
        <w:rPr>
          <w:sz w:val="22"/>
          <w:szCs w:val="22"/>
        </w:rPr>
        <w:t xml:space="preserve">to be funded </w:t>
      </w:r>
      <w:r w:rsidR="00CD44F8">
        <w:rPr>
          <w:sz w:val="22"/>
          <w:szCs w:val="22"/>
        </w:rPr>
        <w:t>through Loan</w:t>
      </w:r>
      <w:r w:rsidR="00AD0587">
        <w:rPr>
          <w:sz w:val="22"/>
          <w:szCs w:val="22"/>
        </w:rPr>
        <w:t>s.</w:t>
      </w:r>
      <w:r w:rsidR="003B7F69">
        <w:rPr>
          <w:sz w:val="22"/>
          <w:szCs w:val="22"/>
        </w:rPr>
        <w:t xml:space="preserve"> </w:t>
      </w:r>
      <w:r w:rsidR="000940B9">
        <w:rPr>
          <w:sz w:val="22"/>
          <w:szCs w:val="22"/>
        </w:rPr>
        <w:t xml:space="preserve"> </w:t>
      </w:r>
      <w:r w:rsidR="00C5413A" w:rsidRPr="005C255D">
        <w:rPr>
          <w:sz w:val="22"/>
          <w:szCs w:val="22"/>
        </w:rPr>
        <w:t xml:space="preserve">Accordingly, </w:t>
      </w:r>
      <w:r w:rsidR="009B7159" w:rsidRPr="005C255D">
        <w:rPr>
          <w:sz w:val="22"/>
          <w:szCs w:val="22"/>
        </w:rPr>
        <w:t xml:space="preserve">interest on this loan has been </w:t>
      </w:r>
      <w:r w:rsidR="00D25499" w:rsidRPr="005C255D">
        <w:rPr>
          <w:sz w:val="22"/>
          <w:szCs w:val="22"/>
        </w:rPr>
        <w:t xml:space="preserve">taken </w:t>
      </w:r>
      <w:r w:rsidR="005147C1" w:rsidRPr="005C255D">
        <w:rPr>
          <w:sz w:val="22"/>
          <w:szCs w:val="22"/>
        </w:rPr>
        <w:t>@ 11.00%</w:t>
      </w:r>
      <w:r w:rsidR="000F7069" w:rsidRPr="005C255D">
        <w:rPr>
          <w:sz w:val="22"/>
          <w:szCs w:val="22"/>
        </w:rPr>
        <w:t xml:space="preserve">. </w:t>
      </w:r>
    </w:p>
    <w:p w:rsidR="000F7069" w:rsidRDefault="000F7069" w:rsidP="004267DD">
      <w:pPr>
        <w:numPr>
          <w:ilvl w:val="2"/>
          <w:numId w:val="6"/>
        </w:numPr>
        <w:tabs>
          <w:tab w:val="clear" w:pos="2340"/>
        </w:tabs>
        <w:ind w:left="900"/>
        <w:rPr>
          <w:sz w:val="22"/>
          <w:szCs w:val="22"/>
        </w:rPr>
      </w:pPr>
      <w:r>
        <w:rPr>
          <w:sz w:val="22"/>
          <w:szCs w:val="22"/>
        </w:rPr>
        <w:t xml:space="preserve">The Interest Charges </w:t>
      </w:r>
      <w:r w:rsidR="00D25499">
        <w:rPr>
          <w:sz w:val="22"/>
          <w:szCs w:val="22"/>
        </w:rPr>
        <w:t>during the</w:t>
      </w:r>
      <w:r>
        <w:rPr>
          <w:sz w:val="22"/>
          <w:szCs w:val="22"/>
        </w:rPr>
        <w:t xml:space="preserve"> Control period </w:t>
      </w:r>
      <w:r w:rsidR="004A6C90">
        <w:rPr>
          <w:sz w:val="22"/>
          <w:szCs w:val="22"/>
        </w:rPr>
        <w:t>FY</w:t>
      </w:r>
      <w:r w:rsidR="00EC7A42">
        <w:rPr>
          <w:sz w:val="22"/>
          <w:szCs w:val="22"/>
        </w:rPr>
        <w:t xml:space="preserve"> </w:t>
      </w:r>
      <w:r w:rsidR="004A6C90">
        <w:rPr>
          <w:sz w:val="22"/>
          <w:szCs w:val="22"/>
        </w:rPr>
        <w:t>201</w:t>
      </w:r>
      <w:r w:rsidR="004F07FE">
        <w:rPr>
          <w:sz w:val="22"/>
          <w:szCs w:val="22"/>
        </w:rPr>
        <w:t>2</w:t>
      </w:r>
      <w:r w:rsidR="004A6C90">
        <w:rPr>
          <w:sz w:val="22"/>
          <w:szCs w:val="22"/>
        </w:rPr>
        <w:t>-</w:t>
      </w:r>
      <w:r w:rsidR="00D25499">
        <w:rPr>
          <w:sz w:val="22"/>
          <w:szCs w:val="22"/>
        </w:rPr>
        <w:t>1</w:t>
      </w:r>
      <w:r w:rsidR="004F07FE">
        <w:rPr>
          <w:sz w:val="22"/>
          <w:szCs w:val="22"/>
        </w:rPr>
        <w:t>3 to FY 2014-15</w:t>
      </w:r>
      <w:r w:rsidR="00D25499">
        <w:rPr>
          <w:sz w:val="22"/>
          <w:szCs w:val="22"/>
        </w:rPr>
        <w:t xml:space="preserve"> </w:t>
      </w:r>
      <w:r w:rsidR="007E336C">
        <w:rPr>
          <w:sz w:val="22"/>
          <w:szCs w:val="22"/>
        </w:rPr>
        <w:t xml:space="preserve">and extended period of FY 2015-16 </w:t>
      </w:r>
      <w:r w:rsidR="00D25499">
        <w:rPr>
          <w:sz w:val="22"/>
          <w:szCs w:val="22"/>
        </w:rPr>
        <w:t>has</w:t>
      </w:r>
      <w:r>
        <w:rPr>
          <w:sz w:val="22"/>
          <w:szCs w:val="22"/>
        </w:rPr>
        <w:t xml:space="preserve"> been shown in Table</w:t>
      </w:r>
      <w:r w:rsidR="00EC7A42">
        <w:rPr>
          <w:sz w:val="22"/>
          <w:szCs w:val="22"/>
        </w:rPr>
        <w:t xml:space="preserve"> </w:t>
      </w:r>
      <w:r w:rsidR="00645958">
        <w:rPr>
          <w:sz w:val="22"/>
          <w:szCs w:val="22"/>
        </w:rPr>
        <w:t>15</w:t>
      </w:r>
      <w:r w:rsidR="00D263D2">
        <w:rPr>
          <w:sz w:val="22"/>
          <w:szCs w:val="22"/>
        </w:rPr>
        <w:t xml:space="preserve">. Hon’ble </w:t>
      </w:r>
      <w:r>
        <w:rPr>
          <w:sz w:val="22"/>
          <w:szCs w:val="22"/>
        </w:rPr>
        <w:t xml:space="preserve">Commission </w:t>
      </w:r>
      <w:r w:rsidR="00E309B5">
        <w:rPr>
          <w:sz w:val="22"/>
          <w:szCs w:val="22"/>
        </w:rPr>
        <w:t xml:space="preserve">is requested to approve the </w:t>
      </w:r>
      <w:r>
        <w:rPr>
          <w:sz w:val="22"/>
          <w:szCs w:val="22"/>
        </w:rPr>
        <w:t xml:space="preserve">Interest and finance charges.  </w:t>
      </w:r>
    </w:p>
    <w:p w:rsidR="00B42CE4" w:rsidRPr="00B42CE4" w:rsidRDefault="00B42CE4" w:rsidP="00B42CE4">
      <w:pPr>
        <w:rPr>
          <w:sz w:val="10"/>
          <w:szCs w:val="22"/>
        </w:rPr>
      </w:pPr>
    </w:p>
    <w:p w:rsidR="00A06711" w:rsidRDefault="00E1615C" w:rsidP="007C61C9">
      <w:pPr>
        <w:pStyle w:val="Caption"/>
        <w:jc w:val="center"/>
      </w:pPr>
      <w:bookmarkStart w:id="41" w:name="_Toc411525190"/>
      <w:r>
        <w:t xml:space="preserve">Table </w:t>
      </w:r>
      <w:fldSimple w:instr=" SEQ Table \* ARABIC ">
        <w:r w:rsidR="000F406F">
          <w:rPr>
            <w:noProof/>
          </w:rPr>
          <w:t>15</w:t>
        </w:r>
      </w:fldSimple>
      <w:r>
        <w:t xml:space="preserve"> :</w:t>
      </w:r>
      <w:r w:rsidR="00A06711" w:rsidRPr="007C61C9">
        <w:t xml:space="preserve"> Interest Charges</w:t>
      </w:r>
      <w:bookmarkEnd w:id="41"/>
    </w:p>
    <w:tbl>
      <w:tblPr>
        <w:tblW w:w="886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24"/>
        <w:gridCol w:w="1611"/>
        <w:gridCol w:w="1611"/>
        <w:gridCol w:w="1611"/>
        <w:gridCol w:w="1611"/>
      </w:tblGrid>
      <w:tr w:rsidR="00AE3351" w:rsidRPr="00E1615C" w:rsidTr="00671A1A">
        <w:trPr>
          <w:trHeight w:val="356"/>
        </w:trPr>
        <w:tc>
          <w:tcPr>
            <w:tcW w:w="2424" w:type="dxa"/>
            <w:shd w:val="clear" w:color="auto" w:fill="000080"/>
            <w:noWrap/>
            <w:vAlign w:val="center"/>
          </w:tcPr>
          <w:p w:rsidR="00AE3351" w:rsidRPr="00E1615C" w:rsidRDefault="00AE3351">
            <w:pPr>
              <w:spacing w:line="240" w:lineRule="auto"/>
              <w:jc w:val="left"/>
              <w:rPr>
                <w:b/>
                <w:bCs/>
                <w:sz w:val="22"/>
                <w:szCs w:val="22"/>
                <w:lang w:bidi="gu-IN"/>
              </w:rPr>
            </w:pPr>
            <w:r w:rsidRPr="00E1615C">
              <w:rPr>
                <w:b/>
                <w:bCs/>
                <w:sz w:val="22"/>
                <w:szCs w:val="22"/>
                <w:lang w:bidi="gu-IN"/>
              </w:rPr>
              <w:t xml:space="preserve">Particulars </w:t>
            </w:r>
          </w:p>
          <w:p w:rsidR="00AE3351" w:rsidRPr="00E1615C" w:rsidRDefault="00AE3351">
            <w:pPr>
              <w:spacing w:line="240" w:lineRule="auto"/>
              <w:jc w:val="left"/>
              <w:rPr>
                <w:b/>
                <w:bCs/>
                <w:sz w:val="22"/>
                <w:szCs w:val="22"/>
                <w:lang w:bidi="gu-IN"/>
              </w:rPr>
            </w:pPr>
            <w:r w:rsidRPr="00E1615C">
              <w:rPr>
                <w:b/>
                <w:bCs/>
                <w:sz w:val="22"/>
                <w:szCs w:val="22"/>
                <w:lang w:bidi="gu-IN"/>
              </w:rPr>
              <w:t>(Rs Crores)</w:t>
            </w:r>
          </w:p>
        </w:tc>
        <w:tc>
          <w:tcPr>
            <w:tcW w:w="1611" w:type="dxa"/>
            <w:shd w:val="clear" w:color="auto" w:fill="000080"/>
            <w:vAlign w:val="center"/>
          </w:tcPr>
          <w:p w:rsidR="00AE3351" w:rsidRPr="00E1615C" w:rsidRDefault="00AE3351" w:rsidP="00545FB4">
            <w:pPr>
              <w:spacing w:line="240" w:lineRule="auto"/>
              <w:ind w:left="-108" w:right="-207"/>
              <w:jc w:val="center"/>
              <w:rPr>
                <w:b/>
                <w:bCs/>
                <w:sz w:val="22"/>
                <w:szCs w:val="22"/>
                <w:lang w:bidi="gu-IN"/>
              </w:rPr>
            </w:pPr>
            <w:r w:rsidRPr="00E1615C">
              <w:rPr>
                <w:b/>
                <w:bCs/>
                <w:sz w:val="22"/>
                <w:szCs w:val="22"/>
                <w:lang w:bidi="gu-IN"/>
              </w:rPr>
              <w:t>12-13</w:t>
            </w:r>
          </w:p>
        </w:tc>
        <w:tc>
          <w:tcPr>
            <w:tcW w:w="1611" w:type="dxa"/>
            <w:shd w:val="clear" w:color="auto" w:fill="000080"/>
            <w:vAlign w:val="center"/>
          </w:tcPr>
          <w:p w:rsidR="00AE3351" w:rsidRPr="00E1615C" w:rsidRDefault="00AE3351" w:rsidP="00545FB4">
            <w:pPr>
              <w:spacing w:line="240" w:lineRule="auto"/>
              <w:ind w:left="-108" w:right="-207"/>
              <w:jc w:val="center"/>
              <w:rPr>
                <w:b/>
                <w:bCs/>
                <w:sz w:val="22"/>
                <w:szCs w:val="22"/>
                <w:lang w:bidi="gu-IN"/>
              </w:rPr>
            </w:pPr>
            <w:r w:rsidRPr="00E1615C">
              <w:rPr>
                <w:b/>
                <w:bCs/>
                <w:sz w:val="22"/>
                <w:szCs w:val="22"/>
                <w:lang w:bidi="gu-IN"/>
              </w:rPr>
              <w:t>13-14</w:t>
            </w:r>
          </w:p>
        </w:tc>
        <w:tc>
          <w:tcPr>
            <w:tcW w:w="1611" w:type="dxa"/>
            <w:shd w:val="clear" w:color="auto" w:fill="000080"/>
            <w:vAlign w:val="center"/>
          </w:tcPr>
          <w:p w:rsidR="00AE3351" w:rsidRPr="00E1615C" w:rsidRDefault="00AE3351" w:rsidP="00545FB4">
            <w:pPr>
              <w:spacing w:line="240" w:lineRule="auto"/>
              <w:ind w:left="-108" w:right="-207"/>
              <w:jc w:val="center"/>
              <w:rPr>
                <w:b/>
                <w:bCs/>
                <w:sz w:val="22"/>
                <w:szCs w:val="22"/>
                <w:lang w:bidi="gu-IN"/>
              </w:rPr>
            </w:pPr>
            <w:r w:rsidRPr="00E1615C">
              <w:rPr>
                <w:b/>
                <w:bCs/>
                <w:sz w:val="22"/>
                <w:szCs w:val="22"/>
                <w:lang w:bidi="gu-IN"/>
              </w:rPr>
              <w:t>14-15</w:t>
            </w:r>
          </w:p>
        </w:tc>
        <w:tc>
          <w:tcPr>
            <w:tcW w:w="1611" w:type="dxa"/>
            <w:shd w:val="clear" w:color="auto" w:fill="000080"/>
            <w:noWrap/>
            <w:vAlign w:val="center"/>
          </w:tcPr>
          <w:p w:rsidR="00AE3351" w:rsidRPr="00E1615C" w:rsidRDefault="0064724E" w:rsidP="006C4DF4">
            <w:pPr>
              <w:spacing w:line="240" w:lineRule="auto"/>
              <w:jc w:val="center"/>
              <w:rPr>
                <w:b/>
                <w:bCs/>
                <w:sz w:val="22"/>
                <w:szCs w:val="22"/>
                <w:lang w:bidi="gu-IN"/>
              </w:rPr>
            </w:pPr>
            <w:r>
              <w:rPr>
                <w:b/>
                <w:bCs/>
                <w:sz w:val="22"/>
                <w:szCs w:val="22"/>
              </w:rPr>
              <w:t>15-16 (Estimated)</w:t>
            </w:r>
          </w:p>
        </w:tc>
      </w:tr>
      <w:tr w:rsidR="00BC6544" w:rsidRPr="00B40AF0" w:rsidTr="009967B9">
        <w:trPr>
          <w:trHeight w:val="480"/>
        </w:trPr>
        <w:tc>
          <w:tcPr>
            <w:tcW w:w="2424" w:type="dxa"/>
            <w:noWrap/>
            <w:vAlign w:val="center"/>
          </w:tcPr>
          <w:p w:rsidR="00BC6544" w:rsidRPr="00B40AF0" w:rsidRDefault="00BC6544" w:rsidP="00651067">
            <w:pPr>
              <w:spacing w:line="240" w:lineRule="auto"/>
              <w:ind w:left="-108" w:right="-108"/>
              <w:jc w:val="center"/>
              <w:rPr>
                <w:b/>
                <w:sz w:val="22"/>
                <w:szCs w:val="22"/>
                <w:lang w:bidi="gu-IN"/>
              </w:rPr>
            </w:pPr>
            <w:r w:rsidRPr="00B40AF0">
              <w:rPr>
                <w:b/>
                <w:sz w:val="22"/>
                <w:szCs w:val="22"/>
                <w:lang w:bidi="gu-IN"/>
              </w:rPr>
              <w:t>Interest  Charges</w:t>
            </w:r>
          </w:p>
        </w:tc>
        <w:tc>
          <w:tcPr>
            <w:tcW w:w="1611" w:type="dxa"/>
            <w:vAlign w:val="bottom"/>
          </w:tcPr>
          <w:p w:rsidR="00BC6544" w:rsidRPr="004D281A" w:rsidRDefault="00BC6544">
            <w:pPr>
              <w:jc w:val="right"/>
              <w:rPr>
                <w:rFonts w:ascii="Arial" w:hAnsi="Arial" w:cs="Arial"/>
                <w:b/>
                <w:sz w:val="20"/>
                <w:szCs w:val="20"/>
              </w:rPr>
            </w:pPr>
            <w:r w:rsidRPr="004D281A">
              <w:rPr>
                <w:rFonts w:ascii="Arial" w:hAnsi="Arial" w:cs="Arial"/>
                <w:b/>
                <w:sz w:val="20"/>
                <w:szCs w:val="20"/>
              </w:rPr>
              <w:t>8.93</w:t>
            </w:r>
          </w:p>
        </w:tc>
        <w:tc>
          <w:tcPr>
            <w:tcW w:w="1611" w:type="dxa"/>
            <w:vAlign w:val="bottom"/>
          </w:tcPr>
          <w:p w:rsidR="00BC6544" w:rsidRPr="004D281A" w:rsidRDefault="00BC6544">
            <w:pPr>
              <w:jc w:val="right"/>
              <w:rPr>
                <w:rFonts w:ascii="Arial" w:hAnsi="Arial" w:cs="Arial"/>
                <w:b/>
                <w:sz w:val="20"/>
                <w:szCs w:val="20"/>
              </w:rPr>
            </w:pPr>
            <w:r w:rsidRPr="004D281A">
              <w:rPr>
                <w:rFonts w:ascii="Arial" w:hAnsi="Arial" w:cs="Arial"/>
                <w:b/>
                <w:sz w:val="20"/>
                <w:szCs w:val="20"/>
              </w:rPr>
              <w:t>2.65</w:t>
            </w:r>
          </w:p>
        </w:tc>
        <w:tc>
          <w:tcPr>
            <w:tcW w:w="1611" w:type="dxa"/>
            <w:vAlign w:val="bottom"/>
          </w:tcPr>
          <w:p w:rsidR="00BC6544" w:rsidRPr="004D281A" w:rsidRDefault="00BC6544">
            <w:pPr>
              <w:jc w:val="right"/>
              <w:rPr>
                <w:rFonts w:ascii="Arial" w:hAnsi="Arial" w:cs="Arial"/>
                <w:b/>
                <w:sz w:val="20"/>
                <w:szCs w:val="20"/>
              </w:rPr>
            </w:pPr>
            <w:r w:rsidRPr="004D281A">
              <w:rPr>
                <w:rFonts w:ascii="Arial" w:hAnsi="Arial" w:cs="Arial"/>
                <w:b/>
                <w:sz w:val="20"/>
                <w:szCs w:val="20"/>
              </w:rPr>
              <w:t>1.15</w:t>
            </w:r>
          </w:p>
        </w:tc>
        <w:tc>
          <w:tcPr>
            <w:tcW w:w="1611" w:type="dxa"/>
            <w:noWrap/>
            <w:vAlign w:val="bottom"/>
          </w:tcPr>
          <w:p w:rsidR="00BC6544" w:rsidRPr="004D281A" w:rsidRDefault="00BC6544">
            <w:pPr>
              <w:jc w:val="right"/>
              <w:rPr>
                <w:rFonts w:ascii="Arial" w:hAnsi="Arial" w:cs="Arial"/>
                <w:b/>
                <w:sz w:val="20"/>
                <w:szCs w:val="20"/>
              </w:rPr>
            </w:pPr>
            <w:r w:rsidRPr="004D281A">
              <w:rPr>
                <w:rFonts w:ascii="Arial" w:hAnsi="Arial" w:cs="Arial"/>
                <w:b/>
                <w:sz w:val="20"/>
                <w:szCs w:val="20"/>
              </w:rPr>
              <w:t>1.08</w:t>
            </w:r>
          </w:p>
        </w:tc>
      </w:tr>
    </w:tbl>
    <w:p w:rsidR="000F7069" w:rsidRPr="007E4B21" w:rsidRDefault="007E4B21" w:rsidP="007E4B21">
      <w:pPr>
        <w:pStyle w:val="StyleHeading216ptJustifiedLinespacing15lines"/>
        <w:numPr>
          <w:ilvl w:val="0"/>
          <w:numId w:val="0"/>
        </w:numPr>
        <w:rPr>
          <w:color w:val="000080"/>
        </w:rPr>
      </w:pPr>
      <w:r w:rsidRPr="007E4B21">
        <w:rPr>
          <w:color w:val="000080"/>
        </w:rPr>
        <w:t xml:space="preserve"> </w:t>
      </w:r>
      <w:bookmarkStart w:id="42" w:name="_Toc411603924"/>
      <w:r w:rsidR="000F7069" w:rsidRPr="007E4B21">
        <w:rPr>
          <w:color w:val="000080"/>
        </w:rPr>
        <w:t xml:space="preserve">4.4     </w:t>
      </w:r>
      <w:r w:rsidRPr="007E4B21">
        <w:rPr>
          <w:color w:val="000080"/>
        </w:rPr>
        <w:t xml:space="preserve">   </w:t>
      </w:r>
      <w:r w:rsidR="000F7069" w:rsidRPr="007E4B21">
        <w:rPr>
          <w:color w:val="000080"/>
        </w:rPr>
        <w:t>Depreciation</w:t>
      </w:r>
      <w:bookmarkEnd w:id="42"/>
    </w:p>
    <w:p w:rsidR="00967190" w:rsidRDefault="00636288" w:rsidP="00636288">
      <w:pPr>
        <w:ind w:left="900" w:hanging="360"/>
        <w:rPr>
          <w:sz w:val="22"/>
          <w:szCs w:val="22"/>
        </w:rPr>
      </w:pPr>
      <w:r>
        <w:t xml:space="preserve">1. </w:t>
      </w:r>
      <w:r w:rsidR="00C76600">
        <w:tab/>
      </w:r>
      <w:r w:rsidRPr="00C76600">
        <w:rPr>
          <w:sz w:val="22"/>
          <w:szCs w:val="22"/>
        </w:rPr>
        <w:t xml:space="preserve">The Hon’ble </w:t>
      </w:r>
      <w:r w:rsidR="00ED745C" w:rsidRPr="00C76600">
        <w:rPr>
          <w:sz w:val="22"/>
          <w:szCs w:val="22"/>
        </w:rPr>
        <w:t>Commission</w:t>
      </w:r>
      <w:r w:rsidRPr="00C76600">
        <w:rPr>
          <w:sz w:val="22"/>
          <w:szCs w:val="22"/>
        </w:rPr>
        <w:t xml:space="preserve"> has </w:t>
      </w:r>
      <w:r w:rsidR="00C76600">
        <w:rPr>
          <w:sz w:val="22"/>
          <w:szCs w:val="22"/>
        </w:rPr>
        <w:t xml:space="preserve">approved </w:t>
      </w:r>
      <w:r w:rsidRPr="00C76600">
        <w:rPr>
          <w:sz w:val="22"/>
          <w:szCs w:val="22"/>
        </w:rPr>
        <w:t>the Opening Gross Fixed Asset of Rs. 1031.57 Crores in the beginning of FY 2007-08</w:t>
      </w:r>
      <w:r w:rsidR="00A436F8">
        <w:rPr>
          <w:sz w:val="22"/>
          <w:szCs w:val="22"/>
        </w:rPr>
        <w:t xml:space="preserve"> </w:t>
      </w:r>
      <w:r w:rsidR="00AA3370">
        <w:rPr>
          <w:sz w:val="22"/>
          <w:szCs w:val="22"/>
        </w:rPr>
        <w:t xml:space="preserve">and </w:t>
      </w:r>
      <w:r w:rsidR="00AA3370" w:rsidRPr="00C76600">
        <w:rPr>
          <w:sz w:val="22"/>
          <w:szCs w:val="22"/>
        </w:rPr>
        <w:t>accorded</w:t>
      </w:r>
      <w:r w:rsidR="00202968" w:rsidRPr="00C76600">
        <w:rPr>
          <w:sz w:val="22"/>
          <w:szCs w:val="22"/>
        </w:rPr>
        <w:t xml:space="preserve"> in–principle approval for implementation of Enterprise Resource Planning system in the company. The </w:t>
      </w:r>
      <w:r w:rsidR="00802EFD">
        <w:rPr>
          <w:sz w:val="22"/>
          <w:szCs w:val="22"/>
        </w:rPr>
        <w:t xml:space="preserve">share of </w:t>
      </w:r>
      <w:r w:rsidR="00202968" w:rsidRPr="00C76600">
        <w:rPr>
          <w:sz w:val="22"/>
          <w:szCs w:val="22"/>
        </w:rPr>
        <w:t>cost of ERP</w:t>
      </w:r>
      <w:r w:rsidR="001F4297">
        <w:rPr>
          <w:sz w:val="22"/>
          <w:szCs w:val="22"/>
        </w:rPr>
        <w:t xml:space="preserve"> implementation </w:t>
      </w:r>
      <w:r w:rsidR="00802EFD">
        <w:rPr>
          <w:sz w:val="22"/>
          <w:szCs w:val="22"/>
        </w:rPr>
        <w:t xml:space="preserve">in PPS-I </w:t>
      </w:r>
      <w:r w:rsidR="001F4297">
        <w:rPr>
          <w:sz w:val="22"/>
          <w:szCs w:val="22"/>
        </w:rPr>
        <w:t xml:space="preserve">was </w:t>
      </w:r>
      <w:r w:rsidR="00202968" w:rsidRPr="00C76600">
        <w:rPr>
          <w:sz w:val="22"/>
          <w:szCs w:val="22"/>
        </w:rPr>
        <w:t xml:space="preserve">Rs. </w:t>
      </w:r>
      <w:r w:rsidR="004B6BEE">
        <w:rPr>
          <w:sz w:val="22"/>
          <w:szCs w:val="22"/>
        </w:rPr>
        <w:t>2.48</w:t>
      </w:r>
      <w:r w:rsidR="00967190" w:rsidRPr="00A968B4">
        <w:rPr>
          <w:sz w:val="22"/>
          <w:szCs w:val="22"/>
        </w:rPr>
        <w:t xml:space="preserve"> </w:t>
      </w:r>
      <w:r w:rsidR="00202968" w:rsidRPr="00AB6807">
        <w:rPr>
          <w:sz w:val="22"/>
          <w:szCs w:val="22"/>
        </w:rPr>
        <w:t>Crore i</w:t>
      </w:r>
      <w:r w:rsidR="00202968" w:rsidRPr="00C76600">
        <w:rPr>
          <w:sz w:val="22"/>
          <w:szCs w:val="22"/>
        </w:rPr>
        <w:t xml:space="preserve">n FY 2009-10. </w:t>
      </w:r>
      <w:r w:rsidR="00967190">
        <w:rPr>
          <w:sz w:val="22"/>
          <w:szCs w:val="22"/>
        </w:rPr>
        <w:t xml:space="preserve">Beside ERP, certain </w:t>
      </w:r>
      <w:r w:rsidR="00A14FAD">
        <w:rPr>
          <w:sz w:val="22"/>
          <w:szCs w:val="22"/>
        </w:rPr>
        <w:t xml:space="preserve">other </w:t>
      </w:r>
      <w:r w:rsidR="00967190">
        <w:rPr>
          <w:sz w:val="22"/>
          <w:szCs w:val="22"/>
        </w:rPr>
        <w:t>capital additions were made during the control period</w:t>
      </w:r>
      <w:r w:rsidR="00495523">
        <w:rPr>
          <w:sz w:val="22"/>
          <w:szCs w:val="22"/>
        </w:rPr>
        <w:t xml:space="preserve"> of previous MYT and in year 2012-13, 2013-14 and 2014-15 of current MYT</w:t>
      </w:r>
      <w:r w:rsidR="00967190">
        <w:rPr>
          <w:sz w:val="22"/>
          <w:szCs w:val="22"/>
        </w:rPr>
        <w:t xml:space="preserve">. </w:t>
      </w:r>
    </w:p>
    <w:p w:rsidR="00636288" w:rsidRPr="00636288" w:rsidRDefault="00202968" w:rsidP="00B50C89">
      <w:pPr>
        <w:spacing w:line="240" w:lineRule="auto"/>
        <w:ind w:left="900" w:hanging="360"/>
      </w:pPr>
      <w:r>
        <w:t xml:space="preserve">  </w:t>
      </w:r>
      <w:r w:rsidR="00636288">
        <w:t xml:space="preserve">  </w:t>
      </w:r>
    </w:p>
    <w:p w:rsidR="000F7069" w:rsidRPr="00E112F7" w:rsidRDefault="00202968">
      <w:pPr>
        <w:tabs>
          <w:tab w:val="left" w:pos="720"/>
        </w:tabs>
        <w:ind w:left="900" w:hanging="360"/>
        <w:rPr>
          <w:sz w:val="22"/>
          <w:szCs w:val="22"/>
        </w:rPr>
      </w:pPr>
      <w:r>
        <w:rPr>
          <w:sz w:val="22"/>
          <w:szCs w:val="22"/>
        </w:rPr>
        <w:lastRenderedPageBreak/>
        <w:t>2</w:t>
      </w:r>
      <w:r w:rsidR="000F7069">
        <w:rPr>
          <w:sz w:val="22"/>
          <w:szCs w:val="22"/>
        </w:rPr>
        <w:t xml:space="preserve">.  </w:t>
      </w:r>
      <w:r w:rsidR="000F7069" w:rsidRPr="00E112F7">
        <w:rPr>
          <w:sz w:val="22"/>
          <w:szCs w:val="22"/>
        </w:rPr>
        <w:t xml:space="preserve">Depreciation is charged on the basis of straight-line method, on the fixed assets in use at the beginning of the year. The depreciation is based on the original cost, estimated life and residual life. </w:t>
      </w:r>
    </w:p>
    <w:p w:rsidR="000F7069" w:rsidRPr="00E112F7" w:rsidRDefault="00787663">
      <w:pPr>
        <w:tabs>
          <w:tab w:val="left" w:pos="720"/>
        </w:tabs>
        <w:ind w:left="900" w:hanging="360"/>
        <w:rPr>
          <w:sz w:val="22"/>
          <w:szCs w:val="22"/>
        </w:rPr>
      </w:pPr>
      <w:r>
        <w:rPr>
          <w:sz w:val="22"/>
          <w:szCs w:val="22"/>
        </w:rPr>
        <w:t xml:space="preserve"> </w:t>
      </w:r>
    </w:p>
    <w:p w:rsidR="009A6BA8" w:rsidRDefault="002C4F40" w:rsidP="00787663">
      <w:pPr>
        <w:pStyle w:val="ListParagraph"/>
        <w:numPr>
          <w:ilvl w:val="0"/>
          <w:numId w:val="13"/>
        </w:numPr>
        <w:tabs>
          <w:tab w:val="left" w:pos="720"/>
        </w:tabs>
        <w:rPr>
          <w:sz w:val="22"/>
          <w:szCs w:val="22"/>
        </w:rPr>
      </w:pPr>
      <w:r w:rsidRPr="009A6BA8">
        <w:rPr>
          <w:sz w:val="22"/>
          <w:szCs w:val="22"/>
        </w:rPr>
        <w:t xml:space="preserve">Depreciation amount during </w:t>
      </w:r>
      <w:r w:rsidR="003E2BFE" w:rsidRPr="009A6BA8">
        <w:rPr>
          <w:sz w:val="22"/>
          <w:szCs w:val="22"/>
        </w:rPr>
        <w:t>the control</w:t>
      </w:r>
      <w:r w:rsidR="000F7069" w:rsidRPr="009A6BA8">
        <w:rPr>
          <w:sz w:val="22"/>
          <w:szCs w:val="22"/>
        </w:rPr>
        <w:t xml:space="preserve"> period </w:t>
      </w:r>
      <w:r w:rsidR="00570188" w:rsidRPr="009A6BA8">
        <w:rPr>
          <w:sz w:val="22"/>
          <w:szCs w:val="22"/>
        </w:rPr>
        <w:t>from FY</w:t>
      </w:r>
      <w:r w:rsidRPr="009A6BA8">
        <w:rPr>
          <w:sz w:val="22"/>
          <w:szCs w:val="22"/>
        </w:rPr>
        <w:t xml:space="preserve"> </w:t>
      </w:r>
      <w:r w:rsidR="00854EEA" w:rsidRPr="009A6BA8">
        <w:rPr>
          <w:sz w:val="22"/>
          <w:szCs w:val="22"/>
        </w:rPr>
        <w:t>2012-13, 2013-14 and 2014-15</w:t>
      </w:r>
      <w:r w:rsidRPr="009A6BA8">
        <w:rPr>
          <w:sz w:val="22"/>
          <w:szCs w:val="22"/>
        </w:rPr>
        <w:t xml:space="preserve"> </w:t>
      </w:r>
      <w:r w:rsidR="003E2BFE" w:rsidRPr="009A6BA8">
        <w:rPr>
          <w:sz w:val="22"/>
          <w:szCs w:val="22"/>
        </w:rPr>
        <w:t>has been</w:t>
      </w:r>
      <w:r w:rsidR="000F7069" w:rsidRPr="009A6BA8">
        <w:rPr>
          <w:sz w:val="22"/>
          <w:szCs w:val="22"/>
        </w:rPr>
        <w:t xml:space="preserve"> </w:t>
      </w:r>
      <w:r w:rsidR="00367CE5" w:rsidRPr="009A6BA8">
        <w:rPr>
          <w:sz w:val="22"/>
          <w:szCs w:val="22"/>
        </w:rPr>
        <w:t>as per the Depr</w:t>
      </w:r>
      <w:r w:rsidR="00570188" w:rsidRPr="009A6BA8">
        <w:rPr>
          <w:sz w:val="22"/>
          <w:szCs w:val="22"/>
        </w:rPr>
        <w:t>eciation Rates specified under G</w:t>
      </w:r>
      <w:r w:rsidR="00367CE5" w:rsidRPr="009A6BA8">
        <w:rPr>
          <w:sz w:val="22"/>
          <w:szCs w:val="22"/>
        </w:rPr>
        <w:t>eneration Tariff Regulations</w:t>
      </w:r>
      <w:r w:rsidR="003E2BFE" w:rsidRPr="009A6BA8">
        <w:rPr>
          <w:sz w:val="22"/>
          <w:szCs w:val="22"/>
        </w:rPr>
        <w:t>, 20</w:t>
      </w:r>
      <w:r w:rsidR="00AD2A4C" w:rsidRPr="009A6BA8">
        <w:rPr>
          <w:sz w:val="22"/>
          <w:szCs w:val="22"/>
        </w:rPr>
        <w:t>11</w:t>
      </w:r>
      <w:r w:rsidR="00367CE5" w:rsidRPr="009A6BA8">
        <w:rPr>
          <w:sz w:val="22"/>
          <w:szCs w:val="22"/>
        </w:rPr>
        <w:t xml:space="preserve"> </w:t>
      </w:r>
      <w:r w:rsidR="00C22A27" w:rsidRPr="009A6BA8">
        <w:rPr>
          <w:sz w:val="22"/>
          <w:szCs w:val="22"/>
        </w:rPr>
        <w:t>issued</w:t>
      </w:r>
      <w:r w:rsidR="003E2BFE" w:rsidRPr="009A6BA8">
        <w:rPr>
          <w:sz w:val="22"/>
          <w:szCs w:val="22"/>
        </w:rPr>
        <w:t xml:space="preserve"> by the Hon’ble Commission</w:t>
      </w:r>
      <w:r w:rsidR="00367CE5" w:rsidRPr="009A6BA8">
        <w:rPr>
          <w:sz w:val="22"/>
          <w:szCs w:val="22"/>
        </w:rPr>
        <w:t>.</w:t>
      </w:r>
      <w:r w:rsidR="003B59D2" w:rsidRPr="009A6BA8">
        <w:rPr>
          <w:sz w:val="22"/>
          <w:szCs w:val="22"/>
        </w:rPr>
        <w:t xml:space="preserve"> The depreciation </w:t>
      </w:r>
      <w:r w:rsidR="007C35F1">
        <w:rPr>
          <w:sz w:val="22"/>
          <w:szCs w:val="22"/>
        </w:rPr>
        <w:t>allowed by Hon’</w:t>
      </w:r>
      <w:r w:rsidR="003B59D2" w:rsidRPr="009A6BA8">
        <w:rPr>
          <w:sz w:val="22"/>
          <w:szCs w:val="22"/>
        </w:rPr>
        <w:t xml:space="preserve">ble Commission since 2002-03 till 2014-15 along with  </w:t>
      </w:r>
      <w:r w:rsidR="00EA3171" w:rsidRPr="009A6BA8">
        <w:rPr>
          <w:sz w:val="22"/>
          <w:szCs w:val="22"/>
        </w:rPr>
        <w:t>advance</w:t>
      </w:r>
      <w:r w:rsidR="003B59D2" w:rsidRPr="009A6BA8">
        <w:rPr>
          <w:sz w:val="22"/>
          <w:szCs w:val="22"/>
        </w:rPr>
        <w:t xml:space="preserve"> against depreciation </w:t>
      </w:r>
      <w:r w:rsidR="00EA3171">
        <w:rPr>
          <w:sz w:val="22"/>
          <w:szCs w:val="22"/>
        </w:rPr>
        <w:t xml:space="preserve">is </w:t>
      </w:r>
      <w:r w:rsidR="003B59D2" w:rsidRPr="009A6BA8">
        <w:rPr>
          <w:sz w:val="22"/>
          <w:szCs w:val="22"/>
        </w:rPr>
        <w:t xml:space="preserve">as per table below: </w:t>
      </w:r>
    </w:p>
    <w:p w:rsidR="00811B9C" w:rsidRDefault="00811B9C" w:rsidP="00254789">
      <w:pPr>
        <w:pStyle w:val="Caption"/>
        <w:jc w:val="center"/>
      </w:pPr>
      <w:bookmarkStart w:id="43" w:name="_Toc411525191"/>
      <w:r>
        <w:t xml:space="preserve">Table </w:t>
      </w:r>
      <w:fldSimple w:instr=" SEQ Table \* ARABIC ">
        <w:r w:rsidR="000F406F">
          <w:rPr>
            <w:noProof/>
          </w:rPr>
          <w:t>16</w:t>
        </w:r>
      </w:fldSimple>
      <w:r>
        <w:t xml:space="preserve"> :Details of accumulated  </w:t>
      </w:r>
      <w:r w:rsidRPr="005C57DE">
        <w:t>Depreciation</w:t>
      </w:r>
      <w:bookmarkEnd w:id="43"/>
    </w:p>
    <w:p w:rsidR="00811B9C" w:rsidRPr="00811B9C" w:rsidRDefault="00811B9C" w:rsidP="00811B9C">
      <w:pPr>
        <w:tabs>
          <w:tab w:val="left" w:pos="720"/>
        </w:tabs>
        <w:rPr>
          <w:sz w:val="22"/>
          <w:szCs w:val="22"/>
        </w:rPr>
      </w:pPr>
    </w:p>
    <w:tbl>
      <w:tblPr>
        <w:tblW w:w="8704" w:type="dxa"/>
        <w:tblInd w:w="94" w:type="dxa"/>
        <w:tblLook w:val="04A0"/>
      </w:tblPr>
      <w:tblGrid>
        <w:gridCol w:w="3984"/>
        <w:gridCol w:w="2627"/>
        <w:gridCol w:w="2093"/>
      </w:tblGrid>
      <w:tr w:rsidR="009A6BA8" w:rsidRPr="009A6BA8" w:rsidTr="00787663">
        <w:trPr>
          <w:trHeight w:val="590"/>
        </w:trPr>
        <w:tc>
          <w:tcPr>
            <w:tcW w:w="3984" w:type="dxa"/>
            <w:tcBorders>
              <w:top w:val="single" w:sz="4" w:space="0" w:color="auto"/>
              <w:left w:val="single" w:sz="4" w:space="0" w:color="auto"/>
              <w:bottom w:val="single" w:sz="4" w:space="0" w:color="auto"/>
              <w:right w:val="single" w:sz="4" w:space="0" w:color="auto"/>
            </w:tcBorders>
            <w:shd w:val="clear" w:color="auto" w:fill="00B0F0"/>
            <w:noWrap/>
            <w:vAlign w:val="center"/>
            <w:hideMark/>
          </w:tcPr>
          <w:p w:rsidR="009A6BA8" w:rsidRPr="009A6BA8" w:rsidRDefault="009A6BA8" w:rsidP="0033715F">
            <w:pPr>
              <w:spacing w:line="240" w:lineRule="auto"/>
              <w:jc w:val="center"/>
              <w:rPr>
                <w:rFonts w:ascii="Arial" w:hAnsi="Arial" w:cs="Arial"/>
                <w:b/>
                <w:bCs/>
                <w:sz w:val="20"/>
                <w:szCs w:val="20"/>
              </w:rPr>
            </w:pPr>
            <w:r w:rsidRPr="009A6BA8">
              <w:rPr>
                <w:rFonts w:ascii="Arial" w:hAnsi="Arial" w:cs="Arial"/>
                <w:b/>
                <w:bCs/>
                <w:sz w:val="20"/>
                <w:szCs w:val="20"/>
              </w:rPr>
              <w:t>Year</w:t>
            </w:r>
          </w:p>
        </w:tc>
        <w:tc>
          <w:tcPr>
            <w:tcW w:w="2627" w:type="dxa"/>
            <w:tcBorders>
              <w:top w:val="single" w:sz="4" w:space="0" w:color="auto"/>
              <w:left w:val="nil"/>
              <w:bottom w:val="single" w:sz="4" w:space="0" w:color="auto"/>
              <w:right w:val="single" w:sz="4" w:space="0" w:color="auto"/>
            </w:tcBorders>
            <w:shd w:val="clear" w:color="auto" w:fill="00B0F0"/>
            <w:vAlign w:val="bottom"/>
            <w:hideMark/>
          </w:tcPr>
          <w:p w:rsidR="009A6BA8" w:rsidRPr="009A6BA8" w:rsidRDefault="009A6BA8" w:rsidP="009A6BA8">
            <w:pPr>
              <w:spacing w:line="240" w:lineRule="auto"/>
              <w:jc w:val="left"/>
              <w:rPr>
                <w:rFonts w:ascii="Arial" w:hAnsi="Arial" w:cs="Arial"/>
                <w:b/>
                <w:bCs/>
                <w:sz w:val="20"/>
                <w:szCs w:val="20"/>
              </w:rPr>
            </w:pPr>
            <w:r w:rsidRPr="009A6BA8">
              <w:rPr>
                <w:rFonts w:ascii="Arial" w:hAnsi="Arial" w:cs="Arial"/>
                <w:b/>
                <w:bCs/>
                <w:sz w:val="20"/>
                <w:szCs w:val="20"/>
              </w:rPr>
              <w:t>Depreciation allowed by DERC</w:t>
            </w:r>
          </w:p>
        </w:tc>
        <w:tc>
          <w:tcPr>
            <w:tcW w:w="2093" w:type="dxa"/>
            <w:tcBorders>
              <w:top w:val="single" w:sz="4" w:space="0" w:color="auto"/>
              <w:left w:val="nil"/>
              <w:bottom w:val="single" w:sz="4" w:space="0" w:color="auto"/>
              <w:right w:val="single" w:sz="4" w:space="0" w:color="auto"/>
            </w:tcBorders>
            <w:shd w:val="clear" w:color="auto" w:fill="00B0F0"/>
            <w:vAlign w:val="bottom"/>
            <w:hideMark/>
          </w:tcPr>
          <w:p w:rsidR="009A6BA8" w:rsidRPr="009A6BA8" w:rsidRDefault="009A6BA8" w:rsidP="009A6BA8">
            <w:pPr>
              <w:spacing w:line="240" w:lineRule="auto"/>
              <w:jc w:val="left"/>
              <w:rPr>
                <w:rFonts w:ascii="Arial" w:hAnsi="Arial" w:cs="Arial"/>
                <w:b/>
                <w:bCs/>
                <w:sz w:val="20"/>
                <w:szCs w:val="20"/>
              </w:rPr>
            </w:pPr>
            <w:r w:rsidRPr="009A6BA8">
              <w:rPr>
                <w:rFonts w:ascii="Arial" w:hAnsi="Arial" w:cs="Arial"/>
                <w:b/>
                <w:bCs/>
                <w:sz w:val="20"/>
                <w:szCs w:val="20"/>
              </w:rPr>
              <w:t>AAD allowed by DERC</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2002-03</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35.55</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0</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2003-04</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53.87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0</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2004-05</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53.87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13.70</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2005-06</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59.23</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1.48</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2006-07</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59.23</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7.82</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2007-08</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59.63</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7.15</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2008-09</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59.76</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7.02</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2009-10</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59.97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6.81</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2010-11</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60.06</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6.72</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2011-12</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60.14</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6.64</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2012-13</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52.97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 </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2013-14</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52.97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 </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2014-15</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52.97</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 </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sz w:val="20"/>
                <w:szCs w:val="20"/>
              </w:rPr>
            </w:pPr>
            <w:r w:rsidRPr="009A6BA8">
              <w:rPr>
                <w:rFonts w:ascii="Arial" w:hAnsi="Arial" w:cs="Arial"/>
                <w:sz w:val="20"/>
                <w:szCs w:val="20"/>
              </w:rPr>
              <w:t>2015-16</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 </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0"/>
                <w:szCs w:val="20"/>
              </w:rPr>
            </w:pPr>
            <w:r w:rsidRPr="009A6BA8">
              <w:rPr>
                <w:rFonts w:ascii="Arial" w:hAnsi="Arial" w:cs="Arial"/>
                <w:b/>
                <w:bCs/>
                <w:sz w:val="20"/>
                <w:szCs w:val="20"/>
              </w:rPr>
              <w:t> </w:t>
            </w:r>
          </w:p>
        </w:tc>
      </w:tr>
      <w:tr w:rsidR="009A6BA8" w:rsidRPr="009A6BA8" w:rsidTr="0033715F">
        <w:trPr>
          <w:trHeight w:val="493"/>
        </w:trPr>
        <w:tc>
          <w:tcPr>
            <w:tcW w:w="3984" w:type="dxa"/>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b/>
                <w:bCs/>
                <w:sz w:val="20"/>
                <w:szCs w:val="20"/>
              </w:rPr>
            </w:pPr>
            <w:r w:rsidRPr="009A6BA8">
              <w:rPr>
                <w:rFonts w:ascii="Arial" w:hAnsi="Arial" w:cs="Arial"/>
                <w:b/>
                <w:bCs/>
                <w:sz w:val="20"/>
                <w:szCs w:val="20"/>
              </w:rPr>
              <w:t>Total</w:t>
            </w:r>
          </w:p>
        </w:tc>
        <w:tc>
          <w:tcPr>
            <w:tcW w:w="2627"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36"/>
                <w:szCs w:val="36"/>
              </w:rPr>
            </w:pPr>
            <w:r w:rsidRPr="009A6BA8">
              <w:rPr>
                <w:rFonts w:ascii="Arial" w:hAnsi="Arial" w:cs="Arial"/>
                <w:b/>
                <w:bCs/>
                <w:sz w:val="36"/>
                <w:szCs w:val="36"/>
              </w:rPr>
              <w:t>720.22</w:t>
            </w: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center"/>
              <w:rPr>
                <w:rFonts w:ascii="Arial" w:hAnsi="Arial" w:cs="Arial"/>
                <w:b/>
                <w:bCs/>
                <w:sz w:val="28"/>
                <w:szCs w:val="28"/>
              </w:rPr>
            </w:pPr>
            <w:r w:rsidRPr="009A6BA8">
              <w:rPr>
                <w:rFonts w:ascii="Arial" w:hAnsi="Arial" w:cs="Arial"/>
                <w:b/>
                <w:bCs/>
                <w:sz w:val="28"/>
                <w:szCs w:val="28"/>
              </w:rPr>
              <w:t>57.34</w:t>
            </w:r>
          </w:p>
        </w:tc>
      </w:tr>
      <w:tr w:rsidR="009A6BA8" w:rsidRPr="009A6BA8" w:rsidTr="0033715F">
        <w:trPr>
          <w:trHeight w:val="255"/>
        </w:trPr>
        <w:tc>
          <w:tcPr>
            <w:tcW w:w="6611" w:type="dxa"/>
            <w:gridSpan w:val="2"/>
            <w:tcBorders>
              <w:top w:val="nil"/>
              <w:left w:val="single" w:sz="4" w:space="0" w:color="auto"/>
              <w:bottom w:val="single" w:sz="4" w:space="0" w:color="auto"/>
              <w:right w:val="single" w:sz="4" w:space="0" w:color="auto"/>
            </w:tcBorders>
            <w:shd w:val="clear" w:color="auto" w:fill="auto"/>
            <w:noWrap/>
            <w:vAlign w:val="center"/>
            <w:hideMark/>
          </w:tcPr>
          <w:p w:rsidR="009A6BA8" w:rsidRPr="009A6BA8" w:rsidRDefault="009A6BA8" w:rsidP="0033715F">
            <w:pPr>
              <w:spacing w:line="240" w:lineRule="auto"/>
              <w:jc w:val="center"/>
              <w:rPr>
                <w:rFonts w:ascii="Arial" w:hAnsi="Arial" w:cs="Arial"/>
                <w:b/>
                <w:sz w:val="20"/>
                <w:szCs w:val="20"/>
              </w:rPr>
            </w:pPr>
            <w:r w:rsidRPr="009A6BA8">
              <w:rPr>
                <w:rFonts w:ascii="Arial" w:hAnsi="Arial" w:cs="Arial"/>
                <w:b/>
                <w:sz w:val="20"/>
                <w:szCs w:val="20"/>
              </w:rPr>
              <w:t>Total Depreciation &amp; AAD</w:t>
            </w:r>
          </w:p>
          <w:p w:rsidR="009A6BA8" w:rsidRPr="009A6BA8" w:rsidRDefault="009A6BA8" w:rsidP="0033715F">
            <w:pPr>
              <w:spacing w:line="240" w:lineRule="auto"/>
              <w:jc w:val="center"/>
              <w:rPr>
                <w:rFonts w:ascii="Arial" w:hAnsi="Arial" w:cs="Arial"/>
                <w:sz w:val="20"/>
                <w:szCs w:val="20"/>
              </w:rPr>
            </w:pPr>
          </w:p>
        </w:tc>
        <w:tc>
          <w:tcPr>
            <w:tcW w:w="2093" w:type="dxa"/>
            <w:tcBorders>
              <w:top w:val="nil"/>
              <w:left w:val="nil"/>
              <w:bottom w:val="single" w:sz="4" w:space="0" w:color="auto"/>
              <w:right w:val="single" w:sz="4" w:space="0" w:color="auto"/>
            </w:tcBorders>
            <w:shd w:val="clear" w:color="auto" w:fill="auto"/>
            <w:noWrap/>
            <w:vAlign w:val="bottom"/>
            <w:hideMark/>
          </w:tcPr>
          <w:p w:rsidR="009A6BA8" w:rsidRPr="009A6BA8" w:rsidRDefault="009A6BA8" w:rsidP="009A6BA8">
            <w:pPr>
              <w:spacing w:line="240" w:lineRule="auto"/>
              <w:jc w:val="right"/>
              <w:rPr>
                <w:rFonts w:ascii="Arial" w:hAnsi="Arial" w:cs="Arial"/>
                <w:b/>
                <w:sz w:val="20"/>
                <w:szCs w:val="20"/>
              </w:rPr>
            </w:pPr>
            <w:r w:rsidRPr="009A6BA8">
              <w:rPr>
                <w:rFonts w:ascii="Arial" w:hAnsi="Arial" w:cs="Arial"/>
                <w:b/>
                <w:sz w:val="20"/>
                <w:szCs w:val="20"/>
              </w:rPr>
              <w:t>777.56</w:t>
            </w:r>
          </w:p>
        </w:tc>
      </w:tr>
    </w:tbl>
    <w:p w:rsidR="009A6BA8" w:rsidRDefault="009A6BA8" w:rsidP="009A6BA8">
      <w:pPr>
        <w:pStyle w:val="ListParagraph"/>
        <w:tabs>
          <w:tab w:val="left" w:pos="720"/>
        </w:tabs>
        <w:ind w:left="900"/>
        <w:rPr>
          <w:sz w:val="22"/>
          <w:szCs w:val="22"/>
        </w:rPr>
      </w:pPr>
    </w:p>
    <w:p w:rsidR="009A6BA8" w:rsidRDefault="00EA3171" w:rsidP="009A6BA8">
      <w:pPr>
        <w:pStyle w:val="ListParagraph"/>
        <w:tabs>
          <w:tab w:val="left" w:pos="720"/>
        </w:tabs>
        <w:ind w:left="900"/>
        <w:rPr>
          <w:sz w:val="22"/>
          <w:szCs w:val="22"/>
        </w:rPr>
      </w:pPr>
      <w:r>
        <w:rPr>
          <w:sz w:val="22"/>
          <w:szCs w:val="22"/>
        </w:rPr>
        <w:lastRenderedPageBreak/>
        <w:t xml:space="preserve">Thus, total accumulated depreciation (including advance against depreciation) upto FY 2014-15 is Rs. 777.56 crores. Further, total gross block for FY 2014-15 as per books is Rs. 1053.66 Crores. Accordingly, allowed depreciation upto 90% is Rs. 948.29 Crores. Thus, balance depreciation Rs. 170.73 crores is to be recovered in </w:t>
      </w:r>
      <w:r w:rsidR="007C35F1">
        <w:rPr>
          <w:sz w:val="22"/>
          <w:szCs w:val="22"/>
        </w:rPr>
        <w:t xml:space="preserve">balance life of </w:t>
      </w:r>
      <w:r>
        <w:rPr>
          <w:sz w:val="22"/>
          <w:szCs w:val="22"/>
        </w:rPr>
        <w:t xml:space="preserve">twelve years at rate of Rs. 14.23 crores per years. </w:t>
      </w:r>
    </w:p>
    <w:p w:rsidR="009A6BA8" w:rsidRDefault="009A6BA8" w:rsidP="009A6BA8">
      <w:pPr>
        <w:pStyle w:val="ListParagraph"/>
        <w:tabs>
          <w:tab w:val="left" w:pos="720"/>
        </w:tabs>
        <w:ind w:left="900"/>
        <w:rPr>
          <w:sz w:val="22"/>
          <w:szCs w:val="22"/>
        </w:rPr>
      </w:pPr>
    </w:p>
    <w:p w:rsidR="000F7069" w:rsidRPr="00E112F7" w:rsidRDefault="0091611A">
      <w:pPr>
        <w:tabs>
          <w:tab w:val="left" w:pos="720"/>
        </w:tabs>
        <w:ind w:left="900" w:hanging="360"/>
        <w:rPr>
          <w:sz w:val="22"/>
          <w:szCs w:val="22"/>
        </w:rPr>
      </w:pPr>
      <w:r>
        <w:rPr>
          <w:sz w:val="22"/>
          <w:szCs w:val="22"/>
        </w:rPr>
        <w:t>4</w:t>
      </w:r>
      <w:r w:rsidR="000F7069" w:rsidRPr="00E112F7">
        <w:rPr>
          <w:sz w:val="22"/>
          <w:szCs w:val="22"/>
        </w:rPr>
        <w:t xml:space="preserve">.  </w:t>
      </w:r>
      <w:r w:rsidR="00E92405">
        <w:rPr>
          <w:sz w:val="22"/>
          <w:szCs w:val="22"/>
        </w:rPr>
        <w:t>T</w:t>
      </w:r>
      <w:r w:rsidR="000F7069" w:rsidRPr="00E112F7">
        <w:rPr>
          <w:sz w:val="22"/>
          <w:szCs w:val="22"/>
        </w:rPr>
        <w:t xml:space="preserve">he </w:t>
      </w:r>
      <w:r w:rsidR="00D2388F">
        <w:rPr>
          <w:sz w:val="22"/>
          <w:szCs w:val="22"/>
        </w:rPr>
        <w:t xml:space="preserve">Hon’ble </w:t>
      </w:r>
      <w:r w:rsidR="000F7069" w:rsidRPr="00E112F7">
        <w:rPr>
          <w:sz w:val="22"/>
          <w:szCs w:val="22"/>
        </w:rPr>
        <w:t xml:space="preserve">Commission </w:t>
      </w:r>
      <w:r w:rsidR="00E92405">
        <w:rPr>
          <w:sz w:val="22"/>
          <w:szCs w:val="22"/>
        </w:rPr>
        <w:t xml:space="preserve">is requested </w:t>
      </w:r>
      <w:r w:rsidR="000F7069" w:rsidRPr="00E112F7">
        <w:rPr>
          <w:sz w:val="22"/>
          <w:szCs w:val="22"/>
        </w:rPr>
        <w:t>to approve the</w:t>
      </w:r>
      <w:r w:rsidR="009E5B49">
        <w:rPr>
          <w:sz w:val="22"/>
          <w:szCs w:val="22"/>
        </w:rPr>
        <w:t xml:space="preserve"> actual </w:t>
      </w:r>
      <w:r w:rsidR="000F7069" w:rsidRPr="00E112F7">
        <w:rPr>
          <w:sz w:val="22"/>
          <w:szCs w:val="22"/>
        </w:rPr>
        <w:t xml:space="preserve"> Depreciation </w:t>
      </w:r>
      <w:r w:rsidR="00C37B39" w:rsidRPr="00E112F7">
        <w:rPr>
          <w:sz w:val="22"/>
          <w:szCs w:val="22"/>
        </w:rPr>
        <w:t xml:space="preserve">for </w:t>
      </w:r>
      <w:r w:rsidR="00C37B39">
        <w:rPr>
          <w:sz w:val="22"/>
          <w:szCs w:val="22"/>
        </w:rPr>
        <w:t>FY</w:t>
      </w:r>
      <w:r w:rsidR="00D2388F">
        <w:rPr>
          <w:sz w:val="22"/>
          <w:szCs w:val="22"/>
        </w:rPr>
        <w:t xml:space="preserve"> 201</w:t>
      </w:r>
      <w:r w:rsidR="00740E0D">
        <w:rPr>
          <w:sz w:val="22"/>
          <w:szCs w:val="22"/>
        </w:rPr>
        <w:t>2</w:t>
      </w:r>
      <w:r w:rsidR="00D2388F">
        <w:rPr>
          <w:sz w:val="22"/>
          <w:szCs w:val="22"/>
        </w:rPr>
        <w:t>-1</w:t>
      </w:r>
      <w:r w:rsidR="00740E0D">
        <w:rPr>
          <w:sz w:val="22"/>
          <w:szCs w:val="22"/>
        </w:rPr>
        <w:t>3 to FY 2014-15</w:t>
      </w:r>
      <w:r w:rsidR="00D2388F">
        <w:rPr>
          <w:sz w:val="22"/>
          <w:szCs w:val="22"/>
        </w:rPr>
        <w:t xml:space="preserve"> </w:t>
      </w:r>
      <w:r w:rsidR="009E5B49">
        <w:rPr>
          <w:sz w:val="22"/>
          <w:szCs w:val="22"/>
        </w:rPr>
        <w:t>and as projected for extended period 2015-16 of current MYT Regulation.</w:t>
      </w:r>
      <w:r w:rsidR="000F7069" w:rsidRPr="00E112F7">
        <w:rPr>
          <w:sz w:val="22"/>
          <w:szCs w:val="22"/>
        </w:rPr>
        <w:t xml:space="preserve"> </w:t>
      </w:r>
    </w:p>
    <w:p w:rsidR="00A06711" w:rsidRDefault="005C57DE" w:rsidP="00EB40F3">
      <w:pPr>
        <w:pStyle w:val="Caption"/>
        <w:jc w:val="center"/>
      </w:pPr>
      <w:bookmarkStart w:id="44" w:name="_Toc411525192"/>
      <w:r>
        <w:t xml:space="preserve">Table </w:t>
      </w:r>
      <w:fldSimple w:instr=" SEQ Table \* ARABIC ">
        <w:r w:rsidR="000F406F">
          <w:rPr>
            <w:noProof/>
          </w:rPr>
          <w:t>17</w:t>
        </w:r>
      </w:fldSimple>
      <w:r>
        <w:t xml:space="preserve"> : </w:t>
      </w:r>
      <w:r w:rsidR="00A06711" w:rsidRPr="005C57DE">
        <w:t>Depreciation</w:t>
      </w:r>
      <w:bookmarkEnd w:id="44"/>
    </w:p>
    <w:tbl>
      <w:tblPr>
        <w:tblW w:w="8243" w:type="dxa"/>
        <w:jc w:val="center"/>
        <w:tblInd w:w="1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629"/>
        <w:gridCol w:w="1652"/>
        <w:gridCol w:w="1654"/>
        <w:gridCol w:w="1654"/>
        <w:gridCol w:w="1654"/>
      </w:tblGrid>
      <w:tr w:rsidR="003E67F8" w:rsidRPr="005C57DE" w:rsidTr="00EC7A42">
        <w:trPr>
          <w:trHeight w:val="496"/>
          <w:jc w:val="center"/>
        </w:trPr>
        <w:tc>
          <w:tcPr>
            <w:tcW w:w="1629" w:type="dxa"/>
            <w:shd w:val="clear" w:color="auto" w:fill="000080"/>
            <w:noWrap/>
            <w:tcMar>
              <w:top w:w="17" w:type="dxa"/>
              <w:left w:w="17" w:type="dxa"/>
              <w:bottom w:w="0" w:type="dxa"/>
              <w:right w:w="17" w:type="dxa"/>
            </w:tcMar>
            <w:vAlign w:val="center"/>
          </w:tcPr>
          <w:p w:rsidR="003E67F8" w:rsidRPr="005C57DE" w:rsidRDefault="003E67F8" w:rsidP="00B6485A">
            <w:pPr>
              <w:spacing w:line="240" w:lineRule="auto"/>
              <w:jc w:val="center"/>
              <w:rPr>
                <w:rFonts w:cs="Arial"/>
                <w:b/>
                <w:bCs/>
                <w:sz w:val="22"/>
                <w:szCs w:val="22"/>
              </w:rPr>
            </w:pPr>
            <w:r w:rsidRPr="005C57DE">
              <w:rPr>
                <w:b/>
                <w:bCs/>
                <w:sz w:val="22"/>
                <w:szCs w:val="22"/>
                <w:lang w:bidi="gu-IN"/>
              </w:rPr>
              <w:t>Particulars (Rs Crores)</w:t>
            </w:r>
          </w:p>
        </w:tc>
        <w:tc>
          <w:tcPr>
            <w:tcW w:w="1652" w:type="dxa"/>
            <w:shd w:val="clear" w:color="auto" w:fill="000080"/>
            <w:tcMar>
              <w:top w:w="17" w:type="dxa"/>
              <w:left w:w="17" w:type="dxa"/>
              <w:bottom w:w="0" w:type="dxa"/>
              <w:right w:w="17" w:type="dxa"/>
            </w:tcMar>
            <w:vAlign w:val="center"/>
          </w:tcPr>
          <w:p w:rsidR="003E67F8" w:rsidRPr="005C57DE" w:rsidRDefault="003E67F8" w:rsidP="00545FB4">
            <w:pPr>
              <w:spacing w:line="240" w:lineRule="auto"/>
              <w:jc w:val="center"/>
              <w:rPr>
                <w:rFonts w:cs="Arial"/>
                <w:b/>
                <w:sz w:val="22"/>
                <w:szCs w:val="22"/>
              </w:rPr>
            </w:pPr>
            <w:r w:rsidRPr="005C57DE">
              <w:rPr>
                <w:rFonts w:cs="Arial"/>
                <w:b/>
                <w:sz w:val="22"/>
                <w:szCs w:val="22"/>
              </w:rPr>
              <w:t>12-13</w:t>
            </w:r>
          </w:p>
        </w:tc>
        <w:tc>
          <w:tcPr>
            <w:tcW w:w="1654" w:type="dxa"/>
            <w:shd w:val="clear" w:color="auto" w:fill="000080"/>
            <w:tcMar>
              <w:top w:w="17" w:type="dxa"/>
              <w:left w:w="17" w:type="dxa"/>
              <w:bottom w:w="0" w:type="dxa"/>
              <w:right w:w="17" w:type="dxa"/>
            </w:tcMar>
            <w:vAlign w:val="center"/>
          </w:tcPr>
          <w:p w:rsidR="003E67F8" w:rsidRPr="005C57DE" w:rsidRDefault="003E67F8" w:rsidP="00545FB4">
            <w:pPr>
              <w:spacing w:line="240" w:lineRule="auto"/>
              <w:jc w:val="center"/>
              <w:rPr>
                <w:rFonts w:cs="Arial"/>
                <w:b/>
                <w:sz w:val="22"/>
                <w:szCs w:val="22"/>
              </w:rPr>
            </w:pPr>
            <w:r w:rsidRPr="005C57DE">
              <w:rPr>
                <w:rFonts w:cs="Arial"/>
                <w:b/>
                <w:sz w:val="22"/>
                <w:szCs w:val="22"/>
              </w:rPr>
              <w:t>13-14</w:t>
            </w:r>
          </w:p>
        </w:tc>
        <w:tc>
          <w:tcPr>
            <w:tcW w:w="1654" w:type="dxa"/>
            <w:shd w:val="clear" w:color="auto" w:fill="000080"/>
            <w:tcMar>
              <w:top w:w="17" w:type="dxa"/>
              <w:left w:w="17" w:type="dxa"/>
              <w:bottom w:w="0" w:type="dxa"/>
              <w:right w:w="17" w:type="dxa"/>
            </w:tcMar>
            <w:vAlign w:val="center"/>
          </w:tcPr>
          <w:p w:rsidR="003E67F8" w:rsidRPr="005C57DE" w:rsidRDefault="003E67F8" w:rsidP="00545FB4">
            <w:pPr>
              <w:spacing w:line="240" w:lineRule="auto"/>
              <w:jc w:val="center"/>
              <w:rPr>
                <w:rFonts w:cs="Arial"/>
                <w:b/>
                <w:sz w:val="22"/>
                <w:szCs w:val="22"/>
              </w:rPr>
            </w:pPr>
            <w:r w:rsidRPr="005C57DE">
              <w:rPr>
                <w:rFonts w:cs="Arial"/>
                <w:b/>
                <w:sz w:val="22"/>
                <w:szCs w:val="22"/>
              </w:rPr>
              <w:t>14-15</w:t>
            </w:r>
          </w:p>
        </w:tc>
        <w:tc>
          <w:tcPr>
            <w:tcW w:w="1654" w:type="dxa"/>
            <w:shd w:val="clear" w:color="auto" w:fill="000080"/>
            <w:tcMar>
              <w:top w:w="17" w:type="dxa"/>
              <w:left w:w="17" w:type="dxa"/>
              <w:bottom w:w="0" w:type="dxa"/>
              <w:right w:w="17" w:type="dxa"/>
            </w:tcMar>
            <w:vAlign w:val="center"/>
          </w:tcPr>
          <w:p w:rsidR="003E67F8" w:rsidRPr="005C57DE" w:rsidRDefault="0064724E" w:rsidP="005C57DE">
            <w:pPr>
              <w:spacing w:line="240" w:lineRule="auto"/>
              <w:jc w:val="center"/>
              <w:rPr>
                <w:rFonts w:cs="Arial"/>
                <w:b/>
                <w:sz w:val="22"/>
                <w:szCs w:val="22"/>
              </w:rPr>
            </w:pPr>
            <w:r>
              <w:rPr>
                <w:b/>
                <w:bCs/>
                <w:sz w:val="22"/>
                <w:szCs w:val="22"/>
              </w:rPr>
              <w:t>15-16 (Estimated)</w:t>
            </w:r>
          </w:p>
        </w:tc>
      </w:tr>
      <w:tr w:rsidR="00FB7DD3" w:rsidRPr="005C57DE" w:rsidTr="00787663">
        <w:trPr>
          <w:trHeight w:val="496"/>
          <w:jc w:val="center"/>
        </w:trPr>
        <w:tc>
          <w:tcPr>
            <w:tcW w:w="1629" w:type="dxa"/>
            <w:tcMar>
              <w:top w:w="17" w:type="dxa"/>
              <w:left w:w="17" w:type="dxa"/>
              <w:bottom w:w="0" w:type="dxa"/>
              <w:right w:w="17" w:type="dxa"/>
            </w:tcMar>
            <w:vAlign w:val="center"/>
          </w:tcPr>
          <w:p w:rsidR="00FB7DD3" w:rsidRPr="005C57DE" w:rsidRDefault="00FB7DD3" w:rsidP="00787663">
            <w:pPr>
              <w:spacing w:line="240" w:lineRule="auto"/>
              <w:jc w:val="center"/>
              <w:rPr>
                <w:rFonts w:cs="Arial"/>
                <w:b/>
                <w:bCs/>
                <w:sz w:val="22"/>
                <w:szCs w:val="22"/>
              </w:rPr>
            </w:pPr>
            <w:r w:rsidRPr="005C57DE">
              <w:rPr>
                <w:rFonts w:cs="Arial"/>
                <w:b/>
                <w:bCs/>
                <w:sz w:val="22"/>
                <w:szCs w:val="22"/>
              </w:rPr>
              <w:t>Depreciation</w:t>
            </w:r>
          </w:p>
        </w:tc>
        <w:tc>
          <w:tcPr>
            <w:tcW w:w="1652" w:type="dxa"/>
            <w:tcMar>
              <w:top w:w="17" w:type="dxa"/>
              <w:left w:w="17" w:type="dxa"/>
              <w:bottom w:w="0" w:type="dxa"/>
              <w:right w:w="17" w:type="dxa"/>
            </w:tcMar>
            <w:vAlign w:val="center"/>
          </w:tcPr>
          <w:p w:rsidR="00FB7DD3" w:rsidRPr="00FB7DD3" w:rsidRDefault="00FB7DD3" w:rsidP="00787663">
            <w:pPr>
              <w:jc w:val="center"/>
              <w:rPr>
                <w:rFonts w:ascii="Arial" w:hAnsi="Arial" w:cs="Arial"/>
                <w:b/>
                <w:sz w:val="20"/>
                <w:szCs w:val="20"/>
              </w:rPr>
            </w:pPr>
            <w:r w:rsidRPr="00FB7DD3">
              <w:rPr>
                <w:rFonts w:ascii="Arial" w:hAnsi="Arial" w:cs="Arial"/>
                <w:b/>
                <w:sz w:val="20"/>
                <w:szCs w:val="20"/>
              </w:rPr>
              <w:t>55.76</w:t>
            </w:r>
          </w:p>
        </w:tc>
        <w:tc>
          <w:tcPr>
            <w:tcW w:w="1654" w:type="dxa"/>
            <w:tcMar>
              <w:top w:w="17" w:type="dxa"/>
              <w:left w:w="17" w:type="dxa"/>
              <w:bottom w:w="0" w:type="dxa"/>
              <w:right w:w="17" w:type="dxa"/>
            </w:tcMar>
            <w:vAlign w:val="center"/>
          </w:tcPr>
          <w:p w:rsidR="00FB7DD3" w:rsidRPr="00FB7DD3" w:rsidRDefault="00FB7DD3" w:rsidP="00787663">
            <w:pPr>
              <w:jc w:val="center"/>
              <w:rPr>
                <w:rFonts w:ascii="Arial" w:hAnsi="Arial" w:cs="Arial"/>
                <w:b/>
                <w:sz w:val="20"/>
                <w:szCs w:val="20"/>
              </w:rPr>
            </w:pPr>
            <w:r w:rsidRPr="00FB7DD3">
              <w:rPr>
                <w:rFonts w:ascii="Arial" w:hAnsi="Arial" w:cs="Arial"/>
                <w:b/>
                <w:sz w:val="20"/>
                <w:szCs w:val="20"/>
              </w:rPr>
              <w:t>55.17</w:t>
            </w:r>
          </w:p>
        </w:tc>
        <w:tc>
          <w:tcPr>
            <w:tcW w:w="1654" w:type="dxa"/>
            <w:tcMar>
              <w:top w:w="17" w:type="dxa"/>
              <w:left w:w="17" w:type="dxa"/>
              <w:bottom w:w="0" w:type="dxa"/>
              <w:right w:w="17" w:type="dxa"/>
            </w:tcMar>
            <w:vAlign w:val="center"/>
          </w:tcPr>
          <w:p w:rsidR="00FB7DD3" w:rsidRPr="00FB7DD3" w:rsidRDefault="00FB7DD3" w:rsidP="00787663">
            <w:pPr>
              <w:jc w:val="center"/>
              <w:rPr>
                <w:rFonts w:ascii="Arial" w:hAnsi="Arial" w:cs="Arial"/>
                <w:b/>
                <w:sz w:val="20"/>
                <w:szCs w:val="20"/>
              </w:rPr>
            </w:pPr>
            <w:r w:rsidRPr="00FB7DD3">
              <w:rPr>
                <w:rFonts w:ascii="Arial" w:hAnsi="Arial" w:cs="Arial"/>
                <w:b/>
                <w:sz w:val="20"/>
                <w:szCs w:val="20"/>
              </w:rPr>
              <w:t>53.83</w:t>
            </w:r>
          </w:p>
        </w:tc>
        <w:tc>
          <w:tcPr>
            <w:tcW w:w="1654" w:type="dxa"/>
            <w:noWrap/>
            <w:tcMar>
              <w:top w:w="17" w:type="dxa"/>
              <w:left w:w="17" w:type="dxa"/>
              <w:bottom w:w="0" w:type="dxa"/>
              <w:right w:w="17" w:type="dxa"/>
            </w:tcMar>
            <w:vAlign w:val="center"/>
          </w:tcPr>
          <w:p w:rsidR="00FB7DD3" w:rsidRPr="00FB7DD3" w:rsidRDefault="00FB7DD3" w:rsidP="00787663">
            <w:pPr>
              <w:jc w:val="center"/>
              <w:rPr>
                <w:rFonts w:ascii="Arial" w:hAnsi="Arial" w:cs="Arial"/>
                <w:b/>
                <w:sz w:val="20"/>
                <w:szCs w:val="20"/>
              </w:rPr>
            </w:pPr>
            <w:r w:rsidRPr="00FB7DD3">
              <w:rPr>
                <w:rFonts w:ascii="Arial" w:hAnsi="Arial" w:cs="Arial"/>
                <w:b/>
                <w:sz w:val="20"/>
                <w:szCs w:val="20"/>
              </w:rPr>
              <w:t>14.23</w:t>
            </w:r>
          </w:p>
        </w:tc>
      </w:tr>
    </w:tbl>
    <w:p w:rsidR="000F7069" w:rsidRDefault="000F7069">
      <w:pPr>
        <w:rPr>
          <w:sz w:val="22"/>
          <w:szCs w:val="22"/>
        </w:rPr>
      </w:pPr>
    </w:p>
    <w:p w:rsidR="000F7069" w:rsidRDefault="000F7069">
      <w:pPr>
        <w:pStyle w:val="StyleHeading216ptJustifiedLinespacing15lines"/>
        <w:numPr>
          <w:ilvl w:val="0"/>
          <w:numId w:val="0"/>
        </w:numPr>
        <w:rPr>
          <w:sz w:val="22"/>
          <w:szCs w:val="22"/>
        </w:rPr>
      </w:pPr>
      <w:bookmarkStart w:id="45" w:name="_Toc411603925"/>
      <w:r>
        <w:rPr>
          <w:color w:val="000080"/>
        </w:rPr>
        <w:t>4.5      Return on Equity</w:t>
      </w:r>
      <w:bookmarkEnd w:id="45"/>
    </w:p>
    <w:p w:rsidR="008B1EA8" w:rsidRDefault="008B1EA8" w:rsidP="008B1EA8">
      <w:pPr>
        <w:pStyle w:val="BodyText"/>
        <w:numPr>
          <w:ilvl w:val="0"/>
          <w:numId w:val="14"/>
        </w:numPr>
        <w:rPr>
          <w:rFonts w:ascii="Century Gothic" w:hAnsi="Century Gothic"/>
          <w:szCs w:val="22"/>
        </w:rPr>
      </w:pPr>
      <w:r>
        <w:rPr>
          <w:rFonts w:ascii="Century Gothic" w:hAnsi="Century Gothic"/>
          <w:szCs w:val="22"/>
        </w:rPr>
        <w:t xml:space="preserve">The Return on equity </w:t>
      </w:r>
      <w:r w:rsidR="00CF448F">
        <w:rPr>
          <w:rFonts w:ascii="Century Gothic" w:hAnsi="Century Gothic"/>
          <w:szCs w:val="22"/>
        </w:rPr>
        <w:t>has been computed on approved equity of Rs. 323.19 Crores of the project and the 30% equivalent amount of the capital additions made during the Control period.</w:t>
      </w:r>
      <w:r>
        <w:rPr>
          <w:rFonts w:ascii="Century Gothic" w:hAnsi="Century Gothic"/>
          <w:szCs w:val="22"/>
        </w:rPr>
        <w:t xml:space="preserve"> </w:t>
      </w:r>
    </w:p>
    <w:p w:rsidR="00A70A57" w:rsidRPr="000C07C3" w:rsidRDefault="000A14D0" w:rsidP="00A70A57">
      <w:pPr>
        <w:pStyle w:val="BodyText"/>
        <w:numPr>
          <w:ilvl w:val="0"/>
          <w:numId w:val="14"/>
        </w:numPr>
        <w:rPr>
          <w:rFonts w:ascii="Century Gothic" w:hAnsi="Century Gothic"/>
          <w:szCs w:val="22"/>
        </w:rPr>
      </w:pPr>
      <w:r w:rsidRPr="000C07C3">
        <w:rPr>
          <w:rFonts w:ascii="Century Gothic" w:hAnsi="Century Gothic"/>
          <w:szCs w:val="22"/>
        </w:rPr>
        <w:t xml:space="preserve">The Hon’ble Commission has fixed the pretax base rate of 15.5% in draft Generation Tariff Regulation in line with </w:t>
      </w:r>
      <w:r w:rsidRPr="000C07C3">
        <w:rPr>
          <w:rFonts w:ascii="Century Gothic" w:hAnsi="Century Gothic"/>
          <w:color w:val="000000"/>
          <w:szCs w:val="22"/>
        </w:rPr>
        <w:t>Central Electricity Regulatory Commission (Terms and Conditions of Tariff) Regulations, 2009 for the period FY 2009-14</w:t>
      </w:r>
      <w:r w:rsidR="00C95521" w:rsidRPr="000C07C3">
        <w:rPr>
          <w:rFonts w:ascii="Century Gothic" w:hAnsi="Century Gothic"/>
          <w:color w:val="000000"/>
          <w:szCs w:val="22"/>
        </w:rPr>
        <w:t>.</w:t>
      </w:r>
      <w:r w:rsidR="00F236BC" w:rsidRPr="000C07C3">
        <w:rPr>
          <w:rFonts w:ascii="Century Gothic" w:hAnsi="Century Gothic"/>
          <w:color w:val="000000"/>
          <w:szCs w:val="22"/>
        </w:rPr>
        <w:t xml:space="preserve"> However, the Hon’ble Commission has further reduced the rate of return on equity to 14% in the final “Delhi Electricity Regulatory Commission (Terms and Conditions </w:t>
      </w:r>
      <w:r w:rsidR="009836CE" w:rsidRPr="000C07C3">
        <w:rPr>
          <w:rFonts w:ascii="Century Gothic" w:hAnsi="Century Gothic"/>
          <w:color w:val="000000"/>
          <w:szCs w:val="22"/>
        </w:rPr>
        <w:t>for Determination of</w:t>
      </w:r>
      <w:r w:rsidR="00F236BC" w:rsidRPr="000C07C3">
        <w:rPr>
          <w:rFonts w:ascii="Century Gothic" w:hAnsi="Century Gothic"/>
          <w:color w:val="000000"/>
          <w:szCs w:val="22"/>
        </w:rPr>
        <w:t xml:space="preserve"> Generation </w:t>
      </w:r>
      <w:r w:rsidR="009836CE" w:rsidRPr="000C07C3">
        <w:rPr>
          <w:rFonts w:ascii="Century Gothic" w:hAnsi="Century Gothic"/>
          <w:color w:val="000000"/>
          <w:szCs w:val="22"/>
        </w:rPr>
        <w:t>Tariff)</w:t>
      </w:r>
      <w:r w:rsidR="00F236BC" w:rsidRPr="000C07C3">
        <w:rPr>
          <w:rFonts w:ascii="Century Gothic" w:hAnsi="Century Gothic"/>
          <w:color w:val="000000"/>
          <w:szCs w:val="22"/>
        </w:rPr>
        <w:t xml:space="preserve"> Regulations, </w:t>
      </w:r>
      <w:smartTag w:uri="urn:schemas-microsoft-com:office:smarttags" w:element="metricconverter">
        <w:smartTagPr>
          <w:attr w:name="ProductID" w:val="2011”"/>
        </w:smartTagPr>
        <w:r w:rsidR="00F236BC" w:rsidRPr="000C07C3">
          <w:rPr>
            <w:rFonts w:ascii="Century Gothic" w:hAnsi="Century Gothic"/>
            <w:color w:val="000000"/>
            <w:szCs w:val="22"/>
          </w:rPr>
          <w:t>2011”</w:t>
        </w:r>
      </w:smartTag>
      <w:r w:rsidR="00F236BC" w:rsidRPr="000C07C3">
        <w:rPr>
          <w:rFonts w:ascii="Century Gothic" w:hAnsi="Century Gothic"/>
          <w:color w:val="000000"/>
          <w:szCs w:val="22"/>
        </w:rPr>
        <w:t>.</w:t>
      </w:r>
      <w:r w:rsidR="00A70A57" w:rsidRPr="000C07C3">
        <w:rPr>
          <w:rFonts w:ascii="Century Gothic" w:hAnsi="Century Gothic"/>
          <w:szCs w:val="22"/>
        </w:rPr>
        <w:t xml:space="preserve"> </w:t>
      </w:r>
    </w:p>
    <w:p w:rsidR="00B860CB" w:rsidRPr="00B860CB" w:rsidRDefault="003B0228" w:rsidP="008B1EA8">
      <w:pPr>
        <w:pStyle w:val="BodyText"/>
        <w:numPr>
          <w:ilvl w:val="0"/>
          <w:numId w:val="14"/>
        </w:numPr>
        <w:rPr>
          <w:rFonts w:ascii="Century Gothic" w:hAnsi="Century Gothic"/>
          <w:szCs w:val="22"/>
        </w:rPr>
      </w:pPr>
      <w:r w:rsidRPr="00D672F7">
        <w:rPr>
          <w:rFonts w:ascii="Century Gothic" w:hAnsi="Century Gothic"/>
          <w:szCs w:val="22"/>
        </w:rPr>
        <w:t xml:space="preserve">It is submitted that </w:t>
      </w:r>
      <w:r w:rsidR="00BE48C5" w:rsidRPr="00D672F7">
        <w:rPr>
          <w:rFonts w:ascii="Century Gothic" w:hAnsi="Century Gothic"/>
          <w:szCs w:val="22"/>
        </w:rPr>
        <w:t>t</w:t>
      </w:r>
      <w:r w:rsidR="00D634FF" w:rsidRPr="00D672F7">
        <w:rPr>
          <w:rFonts w:ascii="Century Gothic" w:hAnsi="Century Gothic"/>
          <w:szCs w:val="22"/>
        </w:rPr>
        <w:t xml:space="preserve">he Hon’ble Commission </w:t>
      </w:r>
      <w:r w:rsidR="00975348" w:rsidRPr="00D672F7">
        <w:rPr>
          <w:rFonts w:ascii="Century Gothic" w:hAnsi="Century Gothic"/>
          <w:szCs w:val="22"/>
        </w:rPr>
        <w:t xml:space="preserve">has not appreciated </w:t>
      </w:r>
      <w:r w:rsidR="00D634FF" w:rsidRPr="00D672F7">
        <w:rPr>
          <w:rFonts w:ascii="Century Gothic" w:hAnsi="Century Gothic"/>
          <w:szCs w:val="22"/>
        </w:rPr>
        <w:t xml:space="preserve">the principles enumerated by Hon’ble </w:t>
      </w:r>
      <w:r w:rsidR="00455373" w:rsidRPr="00D672F7">
        <w:rPr>
          <w:rFonts w:ascii="Century Gothic" w:hAnsi="Century Gothic"/>
          <w:szCs w:val="22"/>
        </w:rPr>
        <w:t>Central Electricity Regulatory Commission</w:t>
      </w:r>
      <w:r w:rsidR="00D634FF" w:rsidRPr="00D672F7">
        <w:rPr>
          <w:rFonts w:ascii="Century Gothic" w:hAnsi="Century Gothic"/>
          <w:szCs w:val="22"/>
        </w:rPr>
        <w:t xml:space="preserve"> for increasing rate of return on equity to 15.5% from existing14%.</w:t>
      </w:r>
      <w:r w:rsidR="0089498C" w:rsidRPr="00D672F7">
        <w:rPr>
          <w:rFonts w:ascii="Century Gothic" w:hAnsi="Century Gothic"/>
          <w:szCs w:val="22"/>
        </w:rPr>
        <w:t xml:space="preserve"> Honorable Commission has fixed the pretax base rate of 15.5% in draft Generation Tariff Regulation in line with Central Electricity Regulatory Commission (Terms and Conditions of Tariff) Regulations, 2014 for the MYT period from 01.04.2014 to 31.03.2019. However, the Honorable Commission has reduced the rate of </w:t>
      </w:r>
      <w:r w:rsidR="0089498C" w:rsidRPr="00D672F7">
        <w:rPr>
          <w:rFonts w:ascii="Century Gothic" w:hAnsi="Century Gothic"/>
          <w:szCs w:val="22"/>
        </w:rPr>
        <w:lastRenderedPageBreak/>
        <w:t xml:space="preserve">return on equity to 14% in the final “Delhi Electricity Regulatory Commission (Terms and Conditions for Determination of Generation Tariff) Regulations, </w:t>
      </w:r>
      <w:smartTag w:uri="urn:schemas-microsoft-com:office:smarttags" w:element="metricconverter">
        <w:smartTagPr>
          <w:attr w:name="ProductID" w:val="2011”"/>
        </w:smartTagPr>
        <w:r w:rsidR="0089498C" w:rsidRPr="00D672F7">
          <w:rPr>
            <w:rFonts w:ascii="Century Gothic" w:hAnsi="Century Gothic"/>
            <w:szCs w:val="22"/>
          </w:rPr>
          <w:t>2011”</w:t>
        </w:r>
      </w:smartTag>
      <w:r w:rsidR="0089498C" w:rsidRPr="00D672F7">
        <w:rPr>
          <w:rFonts w:ascii="Century Gothic" w:hAnsi="Century Gothic"/>
          <w:szCs w:val="22"/>
        </w:rPr>
        <w:t>. Even other state Commissions such as Maharashtra Electricity Regulatory Commission has kept the rate of return on equity at 15.5% for generation. It is prayed that the norm of rate of return on equity may kindly be relaxed and increased to 15.5% from 14% in line with the CERC Regulations, 2009 and 2014.  Further, Hon’ble Commission while issuing the tariff order for previous years of current MYT period has not grossed up the recoverable Income-tax though the recovery of income-tax from the beneficiary becomes the part of the sales hence the further income-tax is also levied on the base income-tax.  Based on the same input Central Electricity Regulatory Commission has also allowed grossing up of Income-tax  in its generation tariff regulation, 2009 for the period FY 2009-10 to 2013-14 and also in its generation tariff regulation 2014 for the period FY 2014-15 to 2018-19.</w:t>
      </w:r>
    </w:p>
    <w:p w:rsidR="00455373" w:rsidRPr="00EC07B3" w:rsidRDefault="00B860CB" w:rsidP="008B1EA8">
      <w:pPr>
        <w:pStyle w:val="BodyText"/>
        <w:numPr>
          <w:ilvl w:val="0"/>
          <w:numId w:val="14"/>
        </w:numPr>
        <w:rPr>
          <w:rFonts w:ascii="Century Gothic" w:hAnsi="Century Gothic"/>
          <w:szCs w:val="22"/>
        </w:rPr>
      </w:pPr>
      <w:r>
        <w:rPr>
          <w:rFonts w:ascii="Century Gothic" w:hAnsi="Century Gothic"/>
          <w:color w:val="000000"/>
          <w:szCs w:val="22"/>
        </w:rPr>
        <w:t xml:space="preserve">The petitioner has requested the Hon’ble Commission </w:t>
      </w:r>
      <w:r w:rsidR="0096391F">
        <w:rPr>
          <w:rFonts w:ascii="Century Gothic" w:hAnsi="Century Gothic"/>
          <w:color w:val="000000"/>
          <w:szCs w:val="22"/>
        </w:rPr>
        <w:t xml:space="preserve">to retain the norm of 15.5% based upon the principles followed by CERC. The extract of the submission of the petitioner is reproduced as </w:t>
      </w:r>
      <w:r w:rsidR="005C29B8">
        <w:rPr>
          <w:rFonts w:ascii="Century Gothic" w:hAnsi="Century Gothic"/>
          <w:color w:val="000000"/>
          <w:szCs w:val="22"/>
        </w:rPr>
        <w:t>submitted during the finalization of MYT Regulation, 2011</w:t>
      </w:r>
      <w:r w:rsidR="00455373">
        <w:rPr>
          <w:rFonts w:ascii="Century Gothic" w:hAnsi="Century Gothic"/>
          <w:color w:val="000000"/>
          <w:szCs w:val="22"/>
        </w:rPr>
        <w:t>:</w:t>
      </w:r>
    </w:p>
    <w:p w:rsidR="00EC07B3" w:rsidRPr="00676A49" w:rsidRDefault="00EC07B3" w:rsidP="00EC07B3">
      <w:pPr>
        <w:autoSpaceDE w:val="0"/>
        <w:autoSpaceDN w:val="0"/>
        <w:adjustRightInd w:val="0"/>
        <w:ind w:left="720" w:right="-154"/>
        <w:rPr>
          <w:rFonts w:ascii="Trebuchet MS" w:hAnsi="Trebuchet MS"/>
          <w:b/>
          <w:i/>
          <w:color w:val="000000"/>
          <w:sz w:val="22"/>
          <w:szCs w:val="22"/>
        </w:rPr>
      </w:pPr>
      <w:r w:rsidRPr="00676A49">
        <w:rPr>
          <w:rFonts w:ascii="Trebuchet MS" w:hAnsi="Trebuchet MS"/>
          <w:b/>
          <w:i/>
          <w:color w:val="000000"/>
          <w:sz w:val="22"/>
          <w:szCs w:val="22"/>
        </w:rPr>
        <w:t xml:space="preserve">“This is in reference to the meeting held in the office of Hon’ble Commission on 22.11.2011 in respect of draft MYT Regulations. The Hon’ble Commission has given the rate of return on equity at 15.5% in line with the CERC Regulations in draft MYT Generation Tariff Regulations. During the meeting, a comparison was made between the rate of return on equity of generating companies and distribution companies. </w:t>
      </w:r>
    </w:p>
    <w:p w:rsidR="00EC07B3" w:rsidRPr="00676A49" w:rsidRDefault="00EC07B3" w:rsidP="00EC07B3">
      <w:pPr>
        <w:autoSpaceDE w:val="0"/>
        <w:autoSpaceDN w:val="0"/>
        <w:adjustRightInd w:val="0"/>
        <w:ind w:left="720" w:right="-154"/>
        <w:rPr>
          <w:rFonts w:ascii="Trebuchet MS" w:hAnsi="Trebuchet MS"/>
          <w:b/>
          <w:i/>
          <w:color w:val="000000"/>
          <w:sz w:val="22"/>
          <w:szCs w:val="22"/>
        </w:rPr>
      </w:pPr>
      <w:r w:rsidRPr="00676A49">
        <w:rPr>
          <w:rFonts w:ascii="Trebuchet MS" w:hAnsi="Trebuchet MS"/>
          <w:b/>
          <w:i/>
          <w:color w:val="000000"/>
          <w:sz w:val="22"/>
          <w:szCs w:val="22"/>
        </w:rPr>
        <w:t xml:space="preserve">It is submitted that rate of return on equity as fixed by Hon’ble Commission in past were in line with the rate of return on equity fixed by CERC. Every business has its own risk and there can not be any comparison between the risks of two businesses. The generating companies are having much bigger risk as compared to distribution companies as any break-down affects the whole station while in distribution companies, there operation risk is limited to particular area/locality only. </w:t>
      </w:r>
    </w:p>
    <w:p w:rsidR="00EC07B3" w:rsidRPr="00676A49" w:rsidRDefault="00EC07B3" w:rsidP="00EC07B3">
      <w:pPr>
        <w:autoSpaceDE w:val="0"/>
        <w:autoSpaceDN w:val="0"/>
        <w:adjustRightInd w:val="0"/>
        <w:ind w:left="720" w:right="-154"/>
        <w:rPr>
          <w:rFonts w:ascii="Trebuchet MS" w:hAnsi="Trebuchet MS"/>
          <w:b/>
          <w:i/>
          <w:color w:val="000000"/>
          <w:sz w:val="22"/>
          <w:szCs w:val="22"/>
        </w:rPr>
      </w:pPr>
      <w:r w:rsidRPr="00676A49">
        <w:rPr>
          <w:rFonts w:ascii="Trebuchet MS" w:hAnsi="Trebuchet MS"/>
          <w:b/>
          <w:i/>
          <w:color w:val="000000"/>
          <w:sz w:val="22"/>
          <w:szCs w:val="22"/>
        </w:rPr>
        <w:t xml:space="preserve"> In this regard, the attention of the Hon’ble Commission is drawn to the reasons stated by CERC for increase in return on equity. CERC in its statement of reasons for terms and conditions, Regulations, 2009. The reasons are reproduces as under:-</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lastRenderedPageBreak/>
        <w:t>13.4</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Section 61 (d) of the Electricity Act, 2003 provides that the Commission, while specifying the terms and conditions for the determination of tariff, shall be guided by the principle of ‘safeguarding of consumers interest and at the same time, recovery of cost of electricity in a reasonable manner’. </w:t>
      </w:r>
      <w:smartTag w:uri="urn:schemas-microsoft-com:office:smarttags" w:element="place">
        <w:r w:rsidRPr="00676A49">
          <w:rPr>
            <w:rFonts w:ascii="Trebuchet MS" w:hAnsi="Trebuchet MS"/>
            <w:b/>
            <w:i/>
            <w:color w:val="000000"/>
            <w:sz w:val="22"/>
            <w:szCs w:val="22"/>
          </w:rPr>
          <w:t>Para</w:t>
        </w:r>
      </w:smartTag>
      <w:r w:rsidRPr="00676A49">
        <w:rPr>
          <w:rFonts w:ascii="Trebuchet MS" w:hAnsi="Trebuchet MS"/>
          <w:b/>
          <w:i/>
          <w:color w:val="000000"/>
          <w:sz w:val="22"/>
          <w:szCs w:val="22"/>
        </w:rPr>
        <w:t xml:space="preserve"> 5(3)(a) of the Tariff Policy stipulates that:</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‘Balance needs to be maintained between the interests of consumers and the need for investments while laying down rate of return. Return should attract investments at par with, if not in preference to, other sectors so that the electricity sector is able to create adequate capacity. The rate of return should be such that it allows generation of reasonable surplus for growth of the sector’</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13.5</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The Commission has thus the mandate to fix a rate of return for equity that will not only attract investment and generate sufficient resources for further growth in the sector but also to take care of the consumers’ interest. The interests of the consumers are taken care of in real sense only when quality power is made available for twenty four hours a day throughout the year. This could be achieved only through large capacity addition which in turn will require huge investment in the power sector. Considering the investment pattern of 70:30 debt-equity ratio, the utilities are required to build up sufficient internal accruals so that they are able to meet the target of investing at least 30% of capital cost in the form of equity. A higher investment in the form of equity also helps the entities in negotiating and availing loan at competitive terms and conditions.</w:t>
      </w:r>
    </w:p>
    <w:p w:rsidR="00EC07B3" w:rsidRPr="00676A49" w:rsidRDefault="00EC07B3" w:rsidP="006E31BA">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13.6</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The power sector in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xml:space="preserve"> during last few years has been able create a lot of</w:t>
      </w:r>
      <w:r w:rsidR="006E31BA" w:rsidRPr="00676A49">
        <w:rPr>
          <w:rFonts w:ascii="Trebuchet MS" w:hAnsi="Trebuchet MS"/>
          <w:b/>
          <w:i/>
          <w:color w:val="000000"/>
          <w:sz w:val="22"/>
          <w:szCs w:val="22"/>
        </w:rPr>
        <w:t xml:space="preserve"> </w:t>
      </w:r>
      <w:r w:rsidRPr="00676A49">
        <w:rPr>
          <w:rFonts w:ascii="Trebuchet MS" w:hAnsi="Trebuchet MS"/>
          <w:b/>
          <w:i/>
          <w:color w:val="000000"/>
          <w:sz w:val="22"/>
          <w:szCs w:val="22"/>
        </w:rPr>
        <w:t xml:space="preserve">enthusiasm amongst the investors and attract investment. In the last five years, there have been rapid developments in the equity market and debt market related to power sector in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Various CPSUs and private entities working in power sector have entered into primary market to raise funds. The sector is at the take off stage at present and there is a need to ensure that the confidence evinced is sustained.</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13.7</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The rate of return on equity can be fixed by using any of the scientific model like dividend growth model, price/earning ratio, capital asset pricing model, risk premium model, etc or by linking to an appropriate benchmark with a mark up. As on date only few entities working in power sector in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xml:space="preserve"> have entered into primary market and that too, very recently. To calculate the rate of return by using a scientific model, one needs sufficient volume of related data for calculation of beta value, expected rate of return, P/E ratio, etc. Except a </w:t>
      </w:r>
      <w:r w:rsidRPr="00676A49">
        <w:rPr>
          <w:rFonts w:ascii="Trebuchet MS" w:hAnsi="Trebuchet MS"/>
          <w:b/>
          <w:i/>
          <w:color w:val="000000"/>
          <w:sz w:val="22"/>
          <w:szCs w:val="22"/>
        </w:rPr>
        <w:lastRenderedPageBreak/>
        <w:t>few companies such as NTPC, Reliance Energy, PGCIL etc, not many generating companies and transmission licensees particularly in the State Sector are listed in the Stock Exchange. As sufficient data in regard to the power sector, particularly scripts traded in the secondary market, are not available, the Commission does not favour to estimate the rate of return by using any of the scientific models.</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13.8</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The Commission also discussed the option of linking rate of return on equity to an appropriate benchmark with a mark up. The rate of return on equity may be linked to an appropriate benchmark like RBI Bank Rate, SBI PLR, Average PLR, 10 yr G</w:t>
      </w:r>
      <w:r w:rsidR="00676A49">
        <w:rPr>
          <w:rFonts w:ascii="Trebuchet MS" w:hAnsi="Trebuchet MS"/>
          <w:b/>
          <w:i/>
          <w:color w:val="000000"/>
          <w:sz w:val="22"/>
          <w:szCs w:val="22"/>
        </w:rPr>
        <w:t>-</w:t>
      </w:r>
      <w:r w:rsidRPr="00676A49">
        <w:rPr>
          <w:rFonts w:ascii="Trebuchet MS" w:hAnsi="Trebuchet MS"/>
          <w:b/>
          <w:i/>
          <w:color w:val="000000"/>
          <w:sz w:val="22"/>
          <w:szCs w:val="22"/>
        </w:rPr>
        <w:t xml:space="preserve">Securities Rate, etc. However, the Commission cannot remain oblivious of the realities of the debt market, more so of the fluctuations in interest rates as witnessed in recent past. The debt market in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xml:space="preserve"> is not yet stable. The Commission feels that unless the debt market stabilizes, it may not be feasible to arrive at an appropriate benchmark rate. This leads to difficulty in linking the rate of return to a benchmark with a mark up.</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13.9</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It may be noted that in the last five years there has been a rise in the interest rate. The Prime Lending Rate (PLR) of the public sector banks have increased during this period, as is seen from the table given below:</w:t>
      </w:r>
    </w:p>
    <w:p w:rsidR="00EC07B3" w:rsidRPr="00676A49" w:rsidRDefault="00EC07B3" w:rsidP="00EC07B3">
      <w:pPr>
        <w:autoSpaceDE w:val="0"/>
        <w:autoSpaceDN w:val="0"/>
        <w:adjustRightInd w:val="0"/>
        <w:spacing w:before="19" w:line="200" w:lineRule="exact"/>
        <w:rPr>
          <w:rFonts w:ascii="Trebuchet MS" w:hAnsi="Trebuchet MS"/>
          <w:b/>
          <w:i/>
          <w:color w:val="000000"/>
          <w:sz w:val="22"/>
          <w:szCs w:val="22"/>
        </w:rPr>
      </w:pPr>
      <w:r w:rsidRPr="00676A49">
        <w:rPr>
          <w:rFonts w:ascii="Trebuchet MS" w:hAnsi="Trebuchet MS"/>
          <w:b/>
          <w:i/>
          <w:color w:val="000000"/>
          <w:sz w:val="22"/>
          <w:szCs w:val="22"/>
        </w:rPr>
        <w:tab/>
      </w:r>
    </w:p>
    <w:tbl>
      <w:tblPr>
        <w:tblW w:w="8673" w:type="dxa"/>
        <w:tblInd w:w="185" w:type="dxa"/>
        <w:tblLayout w:type="fixed"/>
        <w:tblCellMar>
          <w:left w:w="0" w:type="dxa"/>
          <w:right w:w="0" w:type="dxa"/>
        </w:tblCellMar>
        <w:tblLook w:val="0000"/>
      </w:tblPr>
      <w:tblGrid>
        <w:gridCol w:w="4261"/>
        <w:gridCol w:w="4412"/>
      </w:tblGrid>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shd w:val="clear" w:color="auto" w:fill="000080"/>
          </w:tcPr>
          <w:p w:rsidR="00EC07B3" w:rsidRPr="00676A49" w:rsidRDefault="00EC07B3" w:rsidP="008C3F4D">
            <w:pPr>
              <w:autoSpaceDE w:val="0"/>
              <w:autoSpaceDN w:val="0"/>
              <w:adjustRightInd w:val="0"/>
              <w:spacing w:line="240" w:lineRule="auto"/>
              <w:ind w:right="-20"/>
              <w:jc w:val="center"/>
              <w:rPr>
                <w:rFonts w:ascii="Trebuchet MS" w:hAnsi="Trebuchet MS"/>
                <w:b/>
                <w:i/>
                <w:color w:val="FFFFFF"/>
                <w:sz w:val="22"/>
                <w:szCs w:val="22"/>
              </w:rPr>
            </w:pPr>
            <w:r w:rsidRPr="00676A49">
              <w:rPr>
                <w:rFonts w:ascii="Trebuchet MS" w:hAnsi="Trebuchet MS"/>
                <w:b/>
                <w:i/>
                <w:color w:val="FFFFFF"/>
                <w:sz w:val="22"/>
                <w:szCs w:val="22"/>
              </w:rPr>
              <w:t>Year</w:t>
            </w:r>
          </w:p>
        </w:tc>
        <w:tc>
          <w:tcPr>
            <w:tcW w:w="4412" w:type="dxa"/>
            <w:tcBorders>
              <w:top w:val="single" w:sz="4" w:space="0" w:color="000000"/>
              <w:left w:val="single" w:sz="4" w:space="0" w:color="000000"/>
              <w:bottom w:val="single" w:sz="4" w:space="0" w:color="000000"/>
              <w:right w:val="single" w:sz="4" w:space="0" w:color="000000"/>
            </w:tcBorders>
            <w:shd w:val="clear" w:color="auto" w:fill="000080"/>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FFFFFF"/>
                <w:sz w:val="22"/>
                <w:szCs w:val="22"/>
              </w:rPr>
            </w:pPr>
            <w:r w:rsidRPr="00676A49">
              <w:rPr>
                <w:rFonts w:ascii="Trebuchet MS" w:hAnsi="Trebuchet MS"/>
                <w:b/>
                <w:i/>
                <w:color w:val="FFFFFF"/>
                <w:sz w:val="22"/>
                <w:szCs w:val="22"/>
              </w:rPr>
              <w:t>PLR    of    Public    Sector</w:t>
            </w:r>
            <w:r w:rsidR="00D816E4" w:rsidRPr="00676A49">
              <w:rPr>
                <w:rFonts w:ascii="Trebuchet MS" w:hAnsi="Trebuchet MS"/>
                <w:b/>
                <w:i/>
                <w:color w:val="FFFFFF"/>
                <w:sz w:val="22"/>
                <w:szCs w:val="22"/>
              </w:rPr>
              <w:t xml:space="preserve"> </w:t>
            </w:r>
            <w:r w:rsidRPr="00676A49">
              <w:rPr>
                <w:rFonts w:ascii="Trebuchet MS" w:hAnsi="Trebuchet MS"/>
                <w:b/>
                <w:i/>
                <w:color w:val="FFFFFF"/>
                <w:sz w:val="22"/>
                <w:szCs w:val="22"/>
              </w:rPr>
              <w:t>Banks (%)</w:t>
            </w:r>
          </w:p>
        </w:tc>
      </w:tr>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March 2004</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10.25-11.50</w:t>
            </w:r>
          </w:p>
        </w:tc>
      </w:tr>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March 2005</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10.25-11.25</w:t>
            </w:r>
          </w:p>
        </w:tc>
      </w:tr>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March 2006</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10.25-11.25</w:t>
            </w:r>
          </w:p>
        </w:tc>
      </w:tr>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March 2007</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12.25-12.75</w:t>
            </w:r>
          </w:p>
        </w:tc>
      </w:tr>
      <w:tr w:rsidR="00EC07B3" w:rsidRPr="00676A49">
        <w:trPr>
          <w:trHeight w:val="363"/>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March 2008</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12.25-13.50</w:t>
            </w:r>
          </w:p>
        </w:tc>
      </w:tr>
      <w:tr w:rsidR="00EC07B3" w:rsidRPr="00676A49">
        <w:trPr>
          <w:trHeight w:val="364"/>
        </w:trPr>
        <w:tc>
          <w:tcPr>
            <w:tcW w:w="4261"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right="-20"/>
              <w:jc w:val="center"/>
              <w:rPr>
                <w:rFonts w:ascii="Trebuchet MS" w:hAnsi="Trebuchet MS"/>
                <w:b/>
                <w:i/>
                <w:color w:val="000000"/>
                <w:sz w:val="22"/>
                <w:szCs w:val="22"/>
              </w:rPr>
            </w:pPr>
            <w:r w:rsidRPr="00676A49">
              <w:rPr>
                <w:rFonts w:ascii="Trebuchet MS" w:hAnsi="Trebuchet MS"/>
                <w:b/>
                <w:i/>
                <w:color w:val="000000"/>
                <w:sz w:val="22"/>
                <w:szCs w:val="22"/>
              </w:rPr>
              <w:t>January 2009</w:t>
            </w:r>
          </w:p>
        </w:tc>
        <w:tc>
          <w:tcPr>
            <w:tcW w:w="4412" w:type="dxa"/>
            <w:tcBorders>
              <w:top w:val="single" w:sz="4" w:space="0" w:color="000000"/>
              <w:left w:val="single" w:sz="4" w:space="0" w:color="000000"/>
              <w:bottom w:val="single" w:sz="4" w:space="0" w:color="000000"/>
              <w:right w:val="single" w:sz="4" w:space="0" w:color="000000"/>
            </w:tcBorders>
          </w:tcPr>
          <w:p w:rsidR="00EC07B3" w:rsidRPr="00676A49" w:rsidRDefault="00EC07B3" w:rsidP="008C3F4D">
            <w:pPr>
              <w:autoSpaceDE w:val="0"/>
              <w:autoSpaceDN w:val="0"/>
              <w:adjustRightInd w:val="0"/>
              <w:spacing w:line="240" w:lineRule="auto"/>
              <w:ind w:left="59" w:right="-20"/>
              <w:jc w:val="center"/>
              <w:rPr>
                <w:rFonts w:ascii="Trebuchet MS" w:hAnsi="Trebuchet MS"/>
                <w:b/>
                <w:i/>
                <w:color w:val="000000"/>
                <w:sz w:val="22"/>
                <w:szCs w:val="22"/>
              </w:rPr>
            </w:pPr>
            <w:r w:rsidRPr="00676A49">
              <w:rPr>
                <w:rFonts w:ascii="Trebuchet MS" w:hAnsi="Trebuchet MS"/>
                <w:b/>
                <w:i/>
                <w:color w:val="000000"/>
                <w:sz w:val="22"/>
                <w:szCs w:val="22"/>
              </w:rPr>
              <w:t>12.00-14.00</w:t>
            </w:r>
          </w:p>
        </w:tc>
      </w:tr>
    </w:tbl>
    <w:p w:rsidR="00EC07B3" w:rsidRPr="00676A49" w:rsidRDefault="00EC07B3" w:rsidP="00EC07B3">
      <w:pPr>
        <w:autoSpaceDE w:val="0"/>
        <w:autoSpaceDN w:val="0"/>
        <w:adjustRightInd w:val="0"/>
        <w:ind w:left="720" w:right="-154"/>
        <w:rPr>
          <w:rFonts w:ascii="Trebuchet MS" w:hAnsi="Trebuchet MS"/>
          <w:b/>
          <w:i/>
          <w:color w:val="000000"/>
          <w:sz w:val="22"/>
          <w:szCs w:val="22"/>
        </w:rPr>
      </w:pPr>
    </w:p>
    <w:p w:rsidR="00EC07B3" w:rsidRPr="00676A49" w:rsidRDefault="00EC07B3" w:rsidP="001D2D65">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The interest rate of 10-year Government securities has also increased from</w:t>
      </w:r>
      <w:r w:rsidR="00676A49">
        <w:rPr>
          <w:rFonts w:ascii="Trebuchet MS" w:hAnsi="Trebuchet MS"/>
          <w:b/>
          <w:i/>
          <w:color w:val="000000"/>
          <w:sz w:val="22"/>
          <w:szCs w:val="22"/>
        </w:rPr>
        <w:t xml:space="preserve"> </w:t>
      </w:r>
      <w:r w:rsidRPr="00676A49">
        <w:rPr>
          <w:rFonts w:ascii="Trebuchet MS" w:hAnsi="Trebuchet MS"/>
          <w:b/>
          <w:i/>
          <w:color w:val="000000"/>
          <w:sz w:val="22"/>
          <w:szCs w:val="22"/>
        </w:rPr>
        <w:t xml:space="preserve">5.1461% as on March 2004 to 7.1197% as on November 2008. </w:t>
      </w:r>
    </w:p>
    <w:p w:rsidR="00EC07B3" w:rsidRPr="00676A49" w:rsidRDefault="00EC07B3" w:rsidP="00EC07B3">
      <w:pPr>
        <w:autoSpaceDE w:val="0"/>
        <w:autoSpaceDN w:val="0"/>
        <w:adjustRightInd w:val="0"/>
        <w:ind w:left="720"/>
        <w:rPr>
          <w:rFonts w:ascii="Trebuchet MS" w:hAnsi="Trebuchet MS"/>
          <w:b/>
          <w:i/>
          <w:color w:val="000000"/>
          <w:sz w:val="22"/>
          <w:szCs w:val="22"/>
        </w:rPr>
      </w:pPr>
      <w:r w:rsidRPr="00676A49">
        <w:rPr>
          <w:rFonts w:ascii="Trebuchet MS" w:hAnsi="Trebuchet MS"/>
          <w:b/>
          <w:i/>
          <w:color w:val="000000"/>
          <w:sz w:val="22"/>
          <w:szCs w:val="22"/>
        </w:rPr>
        <w:t>13.10</w:t>
      </w:r>
      <w:r w:rsidR="001D2D65" w:rsidRPr="00676A49">
        <w:rPr>
          <w:rFonts w:ascii="Trebuchet MS" w:hAnsi="Trebuchet MS"/>
          <w:b/>
          <w:i/>
          <w:color w:val="000000"/>
          <w:sz w:val="22"/>
          <w:szCs w:val="22"/>
        </w:rPr>
        <w:tab/>
      </w:r>
      <w:r w:rsidRPr="00676A49">
        <w:rPr>
          <w:rFonts w:ascii="Trebuchet MS" w:hAnsi="Trebuchet MS"/>
          <w:b/>
          <w:i/>
          <w:color w:val="000000"/>
          <w:sz w:val="22"/>
          <w:szCs w:val="22"/>
        </w:rPr>
        <w:t xml:space="preserve"> The Commission allowed rate of return on equity of 16% and 14% for the tariff period 2001-04 and 2004-09 respectively. The PLRs of State Bank of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xml:space="preserve"> during 2001 and 2004 were 11.50% and 10.25% respectively. But as on 1st January 2009, the PLR of State Bank of </w:t>
      </w:r>
      <w:smartTag w:uri="urn:schemas-microsoft-com:office:smarttags" w:element="place">
        <w:smartTag w:uri="urn:schemas-microsoft-com:office:smarttags" w:element="country-region">
          <w:r w:rsidRPr="00676A49">
            <w:rPr>
              <w:rFonts w:ascii="Trebuchet MS" w:hAnsi="Trebuchet MS"/>
              <w:b/>
              <w:i/>
              <w:color w:val="000000"/>
              <w:sz w:val="22"/>
              <w:szCs w:val="22"/>
            </w:rPr>
            <w:t>India</w:t>
          </w:r>
        </w:smartTag>
      </w:smartTag>
      <w:r w:rsidRPr="00676A49">
        <w:rPr>
          <w:rFonts w:ascii="Trebuchet MS" w:hAnsi="Trebuchet MS"/>
          <w:b/>
          <w:i/>
          <w:color w:val="000000"/>
          <w:sz w:val="22"/>
          <w:szCs w:val="22"/>
        </w:rPr>
        <w:t xml:space="preserve"> is 12.25%. After considering the rise in the PLR of the public sector banks, 10-year G-Sec, etc and also in order to help the entities to build up sufficient internal accruals for the purpose of investment in capacity addition and to ensure better cash flow, the Commission considered &amp; deliberated to restore the rate of return at 16% as was existing </w:t>
      </w:r>
      <w:r w:rsidRPr="00676A49">
        <w:rPr>
          <w:rFonts w:ascii="Trebuchet MS" w:hAnsi="Trebuchet MS"/>
          <w:b/>
          <w:i/>
          <w:color w:val="000000"/>
          <w:sz w:val="22"/>
          <w:szCs w:val="22"/>
        </w:rPr>
        <w:lastRenderedPageBreak/>
        <w:t>prior to 1.4.2004. After consultations &amp; deliberations it was decided to increase the base rate from 14% to 15.5% and an additional 0.5% for timely competition as explained below.</w:t>
      </w:r>
    </w:p>
    <w:p w:rsidR="001D2D65" w:rsidRPr="001D2D65" w:rsidRDefault="001D2D65" w:rsidP="00EC07B3">
      <w:pPr>
        <w:autoSpaceDE w:val="0"/>
        <w:autoSpaceDN w:val="0"/>
        <w:adjustRightInd w:val="0"/>
        <w:ind w:left="720"/>
        <w:rPr>
          <w:i/>
          <w:color w:val="000000"/>
          <w:sz w:val="8"/>
          <w:szCs w:val="22"/>
        </w:rPr>
      </w:pPr>
    </w:p>
    <w:p w:rsidR="00FA3A1C" w:rsidRPr="00FA3A1C" w:rsidRDefault="00377537" w:rsidP="00FD202F">
      <w:pPr>
        <w:numPr>
          <w:ilvl w:val="0"/>
          <w:numId w:val="14"/>
        </w:numPr>
        <w:autoSpaceDE w:val="0"/>
        <w:autoSpaceDN w:val="0"/>
        <w:adjustRightInd w:val="0"/>
        <w:rPr>
          <w:color w:val="000000"/>
          <w:sz w:val="16"/>
          <w:szCs w:val="22"/>
        </w:rPr>
      </w:pPr>
      <w:r>
        <w:rPr>
          <w:color w:val="000000"/>
          <w:sz w:val="22"/>
          <w:szCs w:val="22"/>
        </w:rPr>
        <w:t xml:space="preserve">The petitioner </w:t>
      </w:r>
      <w:r w:rsidR="00BC1DAC">
        <w:rPr>
          <w:color w:val="000000"/>
          <w:sz w:val="22"/>
          <w:szCs w:val="22"/>
        </w:rPr>
        <w:t>further submits that disparity in return on equity puts the augmentation of capacity in Delhi state at higher risk than at Center and other states.</w:t>
      </w:r>
      <w:r w:rsidR="008B1676">
        <w:rPr>
          <w:color w:val="000000"/>
          <w:sz w:val="22"/>
          <w:szCs w:val="22"/>
        </w:rPr>
        <w:t xml:space="preserve"> </w:t>
      </w:r>
    </w:p>
    <w:p w:rsidR="00F046E2" w:rsidRDefault="007809F3" w:rsidP="008B1EA8">
      <w:pPr>
        <w:pStyle w:val="BodyText"/>
        <w:numPr>
          <w:ilvl w:val="0"/>
          <w:numId w:val="14"/>
        </w:numPr>
        <w:rPr>
          <w:rFonts w:ascii="Century Gothic" w:hAnsi="Century Gothic"/>
          <w:szCs w:val="22"/>
        </w:rPr>
      </w:pPr>
      <w:r>
        <w:rPr>
          <w:rFonts w:ascii="Century Gothic" w:hAnsi="Century Gothic"/>
          <w:szCs w:val="22"/>
        </w:rPr>
        <w:t xml:space="preserve">The petitioner has considered the Return on Equity @ 14% in the present petition </w:t>
      </w:r>
      <w:r w:rsidR="00AB6807">
        <w:rPr>
          <w:rFonts w:ascii="Century Gothic" w:hAnsi="Century Gothic"/>
          <w:szCs w:val="22"/>
        </w:rPr>
        <w:t>as</w:t>
      </w:r>
      <w:r w:rsidR="00383F3B">
        <w:rPr>
          <w:rFonts w:ascii="Century Gothic" w:hAnsi="Century Gothic"/>
          <w:szCs w:val="22"/>
        </w:rPr>
        <w:t xml:space="preserve"> </w:t>
      </w:r>
      <w:r w:rsidR="00AB6807">
        <w:rPr>
          <w:rFonts w:ascii="Century Gothic" w:hAnsi="Century Gothic"/>
          <w:szCs w:val="22"/>
        </w:rPr>
        <w:t xml:space="preserve">per </w:t>
      </w:r>
      <w:r w:rsidR="00F7134B">
        <w:rPr>
          <w:rFonts w:ascii="Century Gothic" w:hAnsi="Century Gothic"/>
          <w:szCs w:val="22"/>
        </w:rPr>
        <w:t xml:space="preserve">the rate specified </w:t>
      </w:r>
      <w:r w:rsidR="00F261D4">
        <w:rPr>
          <w:rFonts w:ascii="Century Gothic" w:hAnsi="Century Gothic"/>
          <w:szCs w:val="22"/>
        </w:rPr>
        <w:t>by Hon’ble Commission in its Generation Regulations for the respective period.</w:t>
      </w:r>
      <w:r w:rsidR="00F7134B">
        <w:rPr>
          <w:rFonts w:ascii="Century Gothic" w:hAnsi="Century Gothic"/>
          <w:szCs w:val="22"/>
        </w:rPr>
        <w:t xml:space="preserve"> The tax</w:t>
      </w:r>
      <w:r w:rsidR="00732DA0">
        <w:rPr>
          <w:rFonts w:ascii="Century Gothic" w:hAnsi="Century Gothic"/>
          <w:szCs w:val="22"/>
        </w:rPr>
        <w:t>es</w:t>
      </w:r>
      <w:r w:rsidR="00F7134B">
        <w:rPr>
          <w:rFonts w:ascii="Century Gothic" w:hAnsi="Century Gothic"/>
          <w:szCs w:val="22"/>
        </w:rPr>
        <w:t xml:space="preserve"> on Income shall </w:t>
      </w:r>
      <w:r w:rsidR="00EB616E">
        <w:rPr>
          <w:rFonts w:ascii="Century Gothic" w:hAnsi="Century Gothic"/>
          <w:szCs w:val="22"/>
        </w:rPr>
        <w:t xml:space="preserve">continue to </w:t>
      </w:r>
      <w:r w:rsidR="00F7134B">
        <w:rPr>
          <w:rFonts w:ascii="Century Gothic" w:hAnsi="Century Gothic"/>
          <w:szCs w:val="22"/>
        </w:rPr>
        <w:t>be reimbursed as per the existing norms of DERC Regulation</w:t>
      </w:r>
      <w:r w:rsidR="00383F3B">
        <w:rPr>
          <w:rFonts w:ascii="Century Gothic" w:hAnsi="Century Gothic"/>
          <w:szCs w:val="22"/>
        </w:rPr>
        <w:t>s</w:t>
      </w:r>
      <w:r>
        <w:rPr>
          <w:rFonts w:ascii="Century Gothic" w:hAnsi="Century Gothic"/>
          <w:szCs w:val="22"/>
        </w:rPr>
        <w:t>,</w:t>
      </w:r>
      <w:r w:rsidR="00525198">
        <w:rPr>
          <w:rFonts w:ascii="Century Gothic" w:hAnsi="Century Gothic"/>
          <w:szCs w:val="22"/>
        </w:rPr>
        <w:t xml:space="preserve"> </w:t>
      </w:r>
      <w:r>
        <w:rPr>
          <w:rFonts w:ascii="Century Gothic" w:hAnsi="Century Gothic"/>
          <w:szCs w:val="22"/>
        </w:rPr>
        <w:t>2011</w:t>
      </w:r>
      <w:r w:rsidR="00F046E2">
        <w:rPr>
          <w:rFonts w:ascii="Century Gothic" w:hAnsi="Century Gothic"/>
          <w:szCs w:val="22"/>
        </w:rPr>
        <w:t>.</w:t>
      </w:r>
      <w:r w:rsidR="0089498C" w:rsidRPr="0089498C">
        <w:rPr>
          <w:szCs w:val="22"/>
        </w:rPr>
        <w:t xml:space="preserve"> </w:t>
      </w:r>
      <w:r w:rsidR="0089498C">
        <w:rPr>
          <w:szCs w:val="22"/>
        </w:rPr>
        <w:t xml:space="preserve"> However, </w:t>
      </w:r>
      <w:r w:rsidR="0089498C" w:rsidRPr="006D217A">
        <w:rPr>
          <w:szCs w:val="22"/>
        </w:rPr>
        <w:t>Hon’ble Commission while issuing the tariff order for previous years of current MYT period has not grossed up the recoverable Income-tax though the recovery of income-tax from the beneficiary becomes the part of the sales hence the further income-tax is also levied on the base income-tax.</w:t>
      </w:r>
    </w:p>
    <w:p w:rsidR="00B05FEC" w:rsidRPr="00E47D63" w:rsidRDefault="00F046E2" w:rsidP="00E47D63">
      <w:pPr>
        <w:pStyle w:val="BodyText"/>
        <w:numPr>
          <w:ilvl w:val="0"/>
          <w:numId w:val="14"/>
        </w:numPr>
        <w:rPr>
          <w:rFonts w:ascii="Century Gothic" w:hAnsi="Century Gothic"/>
          <w:sz w:val="20"/>
        </w:rPr>
      </w:pPr>
      <w:r w:rsidRPr="00E47D63">
        <w:rPr>
          <w:rFonts w:ascii="Century Gothic" w:hAnsi="Century Gothic"/>
        </w:rPr>
        <w:t xml:space="preserve">The details of return on equity are </w:t>
      </w:r>
      <w:r w:rsidR="008B1EA8" w:rsidRPr="00E47D63">
        <w:rPr>
          <w:rFonts w:ascii="Century Gothic" w:hAnsi="Century Gothic"/>
        </w:rPr>
        <w:t>given in table 1</w:t>
      </w:r>
      <w:r w:rsidR="00C10934">
        <w:rPr>
          <w:rFonts w:ascii="Century Gothic" w:hAnsi="Century Gothic"/>
        </w:rPr>
        <w:t>8</w:t>
      </w:r>
      <w:r w:rsidR="008B1EA8" w:rsidRPr="00E47D63">
        <w:rPr>
          <w:rFonts w:ascii="Century Gothic" w:hAnsi="Century Gothic"/>
        </w:rPr>
        <w:t xml:space="preserve">. </w:t>
      </w:r>
    </w:p>
    <w:p w:rsidR="0089498C" w:rsidRDefault="0089498C" w:rsidP="0089498C">
      <w:pPr>
        <w:pStyle w:val="Caption"/>
        <w:spacing w:line="240" w:lineRule="auto"/>
        <w:ind w:left="1620" w:firstLine="540"/>
      </w:pPr>
      <w:bookmarkStart w:id="46" w:name="_Toc411525193"/>
      <w:r>
        <w:t xml:space="preserve">Table </w:t>
      </w:r>
      <w:fldSimple w:instr=" SEQ Table \* ARABIC ">
        <w:r w:rsidR="000F406F">
          <w:rPr>
            <w:noProof/>
          </w:rPr>
          <w:t>18</w:t>
        </w:r>
      </w:fldSimple>
      <w:r>
        <w:t xml:space="preserve"> : </w:t>
      </w:r>
      <w:r w:rsidRPr="002316B5">
        <w:t>Return on Equity</w:t>
      </w:r>
      <w:bookmarkEnd w:id="46"/>
      <w:r w:rsidRPr="005C57DE">
        <w:t xml:space="preserve"> </w:t>
      </w:r>
    </w:p>
    <w:p w:rsidR="00850D5B" w:rsidRPr="00850D5B" w:rsidRDefault="0089498C" w:rsidP="00850D5B">
      <w:pPr>
        <w:spacing w:line="240" w:lineRule="auto"/>
        <w:jc w:val="right"/>
        <w:rPr>
          <w:b/>
        </w:rPr>
      </w:pPr>
      <w:r w:rsidRPr="00850D5B">
        <w:rPr>
          <w:b/>
        </w:rPr>
        <w:t xml:space="preserve"> </w:t>
      </w:r>
      <w:r w:rsidR="00850D5B" w:rsidRPr="00850D5B">
        <w:rPr>
          <w:b/>
        </w:rPr>
        <w:t>(Rs. Crore)</w:t>
      </w:r>
    </w:p>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13"/>
        <w:gridCol w:w="3824"/>
        <w:gridCol w:w="1260"/>
        <w:gridCol w:w="1080"/>
        <w:gridCol w:w="1080"/>
        <w:gridCol w:w="1260"/>
      </w:tblGrid>
      <w:tr w:rsidR="00AF1815" w:rsidRPr="00A25629" w:rsidTr="0064724E">
        <w:trPr>
          <w:trHeight w:val="403"/>
        </w:trPr>
        <w:tc>
          <w:tcPr>
            <w:tcW w:w="513" w:type="dxa"/>
            <w:shd w:val="clear" w:color="auto" w:fill="000080"/>
            <w:noWrap/>
            <w:tcMar>
              <w:top w:w="17" w:type="dxa"/>
              <w:left w:w="17" w:type="dxa"/>
              <w:bottom w:w="0" w:type="dxa"/>
              <w:right w:w="17" w:type="dxa"/>
            </w:tcMar>
            <w:vAlign w:val="center"/>
          </w:tcPr>
          <w:p w:rsidR="00AF1815" w:rsidRPr="00A25629" w:rsidRDefault="00AF1815" w:rsidP="007D1415">
            <w:pPr>
              <w:spacing w:line="240" w:lineRule="auto"/>
              <w:ind w:left="-30"/>
              <w:jc w:val="right"/>
              <w:rPr>
                <w:rFonts w:cs="Arial"/>
                <w:b/>
                <w:bCs/>
                <w:sz w:val="22"/>
                <w:szCs w:val="22"/>
              </w:rPr>
            </w:pPr>
            <w:r w:rsidRPr="00A25629">
              <w:rPr>
                <w:rFonts w:cs="Arial"/>
                <w:b/>
                <w:bCs/>
                <w:sz w:val="22"/>
                <w:szCs w:val="22"/>
              </w:rPr>
              <w:t>S No</w:t>
            </w:r>
          </w:p>
        </w:tc>
        <w:tc>
          <w:tcPr>
            <w:tcW w:w="3824" w:type="dxa"/>
            <w:shd w:val="clear" w:color="auto" w:fill="000080"/>
            <w:tcMar>
              <w:top w:w="17" w:type="dxa"/>
              <w:left w:w="17" w:type="dxa"/>
              <w:bottom w:w="0" w:type="dxa"/>
              <w:right w:w="17" w:type="dxa"/>
            </w:tcMar>
            <w:vAlign w:val="center"/>
          </w:tcPr>
          <w:p w:rsidR="00AF1815" w:rsidRPr="00A25629" w:rsidRDefault="00AF1815" w:rsidP="00140B86">
            <w:pPr>
              <w:spacing w:line="240" w:lineRule="auto"/>
              <w:jc w:val="center"/>
              <w:rPr>
                <w:rFonts w:cs="Arial"/>
                <w:b/>
                <w:bCs/>
                <w:sz w:val="22"/>
                <w:szCs w:val="22"/>
              </w:rPr>
            </w:pPr>
            <w:r w:rsidRPr="00A25629">
              <w:rPr>
                <w:rFonts w:cs="Arial"/>
                <w:b/>
                <w:bCs/>
                <w:sz w:val="22"/>
                <w:szCs w:val="22"/>
              </w:rPr>
              <w:t>Particulars</w:t>
            </w:r>
          </w:p>
        </w:tc>
        <w:tc>
          <w:tcPr>
            <w:tcW w:w="1260" w:type="dxa"/>
            <w:shd w:val="clear" w:color="auto" w:fill="000080"/>
            <w:vAlign w:val="center"/>
          </w:tcPr>
          <w:p w:rsidR="00AF1815" w:rsidRPr="00A25629" w:rsidRDefault="00AF1815" w:rsidP="00850D5B">
            <w:pPr>
              <w:spacing w:line="240" w:lineRule="auto"/>
              <w:jc w:val="center"/>
              <w:rPr>
                <w:rFonts w:cs="Arial"/>
                <w:b/>
                <w:bCs/>
                <w:sz w:val="22"/>
                <w:szCs w:val="22"/>
              </w:rPr>
            </w:pPr>
            <w:r w:rsidRPr="00A25629">
              <w:rPr>
                <w:rFonts w:cs="Arial"/>
                <w:b/>
                <w:bCs/>
                <w:sz w:val="22"/>
                <w:szCs w:val="22"/>
              </w:rPr>
              <w:t>12-13</w:t>
            </w:r>
          </w:p>
        </w:tc>
        <w:tc>
          <w:tcPr>
            <w:tcW w:w="1080" w:type="dxa"/>
            <w:shd w:val="clear" w:color="auto" w:fill="000080"/>
            <w:vAlign w:val="center"/>
          </w:tcPr>
          <w:p w:rsidR="00AF1815" w:rsidRPr="00A25629" w:rsidRDefault="00AF1815" w:rsidP="00850D5B">
            <w:pPr>
              <w:spacing w:line="240" w:lineRule="auto"/>
              <w:jc w:val="center"/>
              <w:rPr>
                <w:rFonts w:cs="Arial"/>
                <w:b/>
                <w:bCs/>
                <w:sz w:val="22"/>
                <w:szCs w:val="22"/>
              </w:rPr>
            </w:pPr>
            <w:r w:rsidRPr="00A25629">
              <w:rPr>
                <w:rFonts w:cs="Arial"/>
                <w:b/>
                <w:bCs/>
                <w:sz w:val="22"/>
                <w:szCs w:val="22"/>
              </w:rPr>
              <w:t>13-14</w:t>
            </w:r>
          </w:p>
        </w:tc>
        <w:tc>
          <w:tcPr>
            <w:tcW w:w="1080" w:type="dxa"/>
            <w:shd w:val="clear" w:color="auto" w:fill="000080"/>
            <w:vAlign w:val="center"/>
          </w:tcPr>
          <w:p w:rsidR="00AF1815" w:rsidRPr="00A25629" w:rsidRDefault="00AF1815" w:rsidP="00850D5B">
            <w:pPr>
              <w:spacing w:line="240" w:lineRule="auto"/>
              <w:jc w:val="center"/>
              <w:rPr>
                <w:rFonts w:cs="Arial"/>
                <w:b/>
                <w:bCs/>
                <w:sz w:val="22"/>
                <w:szCs w:val="22"/>
              </w:rPr>
            </w:pPr>
            <w:r w:rsidRPr="00A25629">
              <w:rPr>
                <w:rFonts w:cs="Arial"/>
                <w:b/>
                <w:bCs/>
                <w:sz w:val="22"/>
                <w:szCs w:val="22"/>
              </w:rPr>
              <w:t>14-15</w:t>
            </w:r>
          </w:p>
        </w:tc>
        <w:tc>
          <w:tcPr>
            <w:tcW w:w="1260" w:type="dxa"/>
            <w:shd w:val="clear" w:color="auto" w:fill="000080"/>
          </w:tcPr>
          <w:p w:rsidR="00AF1815" w:rsidRPr="00A25629" w:rsidRDefault="0064724E" w:rsidP="00850D5B">
            <w:pPr>
              <w:spacing w:line="240" w:lineRule="auto"/>
              <w:jc w:val="center"/>
              <w:rPr>
                <w:rFonts w:cs="Arial"/>
                <w:b/>
                <w:bCs/>
                <w:sz w:val="22"/>
                <w:szCs w:val="22"/>
              </w:rPr>
            </w:pPr>
            <w:r>
              <w:rPr>
                <w:b/>
                <w:bCs/>
                <w:sz w:val="22"/>
                <w:szCs w:val="22"/>
              </w:rPr>
              <w:t>15-16 (Estimated)</w:t>
            </w:r>
          </w:p>
        </w:tc>
      </w:tr>
      <w:tr w:rsidR="00651140" w:rsidRPr="00A25629" w:rsidTr="0064724E">
        <w:trPr>
          <w:trHeight w:val="542"/>
        </w:trPr>
        <w:tc>
          <w:tcPr>
            <w:tcW w:w="513" w:type="dxa"/>
            <w:noWrap/>
            <w:tcMar>
              <w:top w:w="17" w:type="dxa"/>
              <w:left w:w="17" w:type="dxa"/>
              <w:bottom w:w="0" w:type="dxa"/>
              <w:right w:w="17" w:type="dxa"/>
            </w:tcMar>
            <w:vAlign w:val="center"/>
          </w:tcPr>
          <w:p w:rsidR="00651140" w:rsidRPr="00A25629" w:rsidRDefault="00651140" w:rsidP="00A25629">
            <w:pPr>
              <w:spacing w:line="240" w:lineRule="auto"/>
              <w:jc w:val="center"/>
              <w:rPr>
                <w:rFonts w:cs="Arial"/>
                <w:sz w:val="22"/>
                <w:szCs w:val="22"/>
              </w:rPr>
            </w:pPr>
            <w:r w:rsidRPr="00A25629">
              <w:rPr>
                <w:rFonts w:cs="Arial"/>
                <w:sz w:val="22"/>
                <w:szCs w:val="22"/>
              </w:rPr>
              <w:t>1</w:t>
            </w:r>
          </w:p>
        </w:tc>
        <w:tc>
          <w:tcPr>
            <w:tcW w:w="3824" w:type="dxa"/>
            <w:tcMar>
              <w:top w:w="17" w:type="dxa"/>
              <w:left w:w="17" w:type="dxa"/>
              <w:bottom w:w="0" w:type="dxa"/>
              <w:right w:w="17" w:type="dxa"/>
            </w:tcMar>
            <w:vAlign w:val="center"/>
          </w:tcPr>
          <w:p w:rsidR="00651140" w:rsidRPr="00A25629" w:rsidRDefault="00651140" w:rsidP="00A25629">
            <w:pPr>
              <w:spacing w:line="240" w:lineRule="auto"/>
              <w:jc w:val="left"/>
              <w:rPr>
                <w:rFonts w:cs="Arial"/>
                <w:sz w:val="22"/>
                <w:szCs w:val="22"/>
              </w:rPr>
            </w:pPr>
            <w:r w:rsidRPr="00A25629">
              <w:rPr>
                <w:rFonts w:cs="Arial"/>
                <w:sz w:val="22"/>
                <w:szCs w:val="22"/>
              </w:rPr>
              <w:t xml:space="preserve">Equity </w:t>
            </w:r>
          </w:p>
          <w:p w:rsidR="00651140" w:rsidRPr="00A25629" w:rsidRDefault="00651140" w:rsidP="00A25629">
            <w:pPr>
              <w:spacing w:line="240" w:lineRule="auto"/>
              <w:jc w:val="left"/>
              <w:rPr>
                <w:rFonts w:cs="Arial"/>
                <w:sz w:val="22"/>
                <w:szCs w:val="22"/>
              </w:rPr>
            </w:pPr>
            <w:r w:rsidRPr="00A25629">
              <w:rPr>
                <w:rFonts w:cs="Arial"/>
                <w:sz w:val="22"/>
                <w:szCs w:val="22"/>
              </w:rPr>
              <w:t>(Opening Balance)</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323.78</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328.66</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328.72</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328.75</w:t>
            </w:r>
          </w:p>
        </w:tc>
      </w:tr>
      <w:tr w:rsidR="00AF1815" w:rsidRPr="00A25629" w:rsidTr="0064724E">
        <w:trPr>
          <w:trHeight w:val="527"/>
        </w:trPr>
        <w:tc>
          <w:tcPr>
            <w:tcW w:w="513" w:type="dxa"/>
            <w:noWrap/>
            <w:tcMar>
              <w:top w:w="17" w:type="dxa"/>
              <w:left w:w="17" w:type="dxa"/>
              <w:bottom w:w="0" w:type="dxa"/>
              <w:right w:w="17" w:type="dxa"/>
            </w:tcMar>
            <w:vAlign w:val="center"/>
          </w:tcPr>
          <w:p w:rsidR="00AF1815" w:rsidRPr="00A25629" w:rsidRDefault="00AF1815" w:rsidP="00A25629">
            <w:pPr>
              <w:spacing w:line="240" w:lineRule="auto"/>
              <w:jc w:val="center"/>
              <w:rPr>
                <w:rFonts w:cs="Arial"/>
                <w:sz w:val="22"/>
                <w:szCs w:val="22"/>
              </w:rPr>
            </w:pPr>
            <w:r w:rsidRPr="00A25629">
              <w:rPr>
                <w:rFonts w:cs="Arial"/>
                <w:sz w:val="22"/>
                <w:szCs w:val="22"/>
              </w:rPr>
              <w:t>2</w:t>
            </w:r>
          </w:p>
        </w:tc>
        <w:tc>
          <w:tcPr>
            <w:tcW w:w="3824" w:type="dxa"/>
            <w:tcMar>
              <w:top w:w="17" w:type="dxa"/>
              <w:left w:w="17" w:type="dxa"/>
              <w:bottom w:w="0" w:type="dxa"/>
              <w:right w:w="17" w:type="dxa"/>
            </w:tcMar>
            <w:vAlign w:val="center"/>
          </w:tcPr>
          <w:p w:rsidR="00AF1815" w:rsidRPr="00A25629" w:rsidRDefault="00AF1815" w:rsidP="00A25629">
            <w:pPr>
              <w:spacing w:line="240" w:lineRule="auto"/>
              <w:jc w:val="left"/>
              <w:rPr>
                <w:rFonts w:cs="Arial"/>
                <w:sz w:val="22"/>
                <w:szCs w:val="22"/>
              </w:rPr>
            </w:pPr>
            <w:r w:rsidRPr="00A25629">
              <w:rPr>
                <w:rFonts w:cs="Arial"/>
                <w:sz w:val="22"/>
                <w:szCs w:val="22"/>
              </w:rPr>
              <w:t>Net additions during the year</w:t>
            </w:r>
          </w:p>
        </w:tc>
        <w:tc>
          <w:tcPr>
            <w:tcW w:w="1260" w:type="dxa"/>
            <w:vAlign w:val="center"/>
          </w:tcPr>
          <w:p w:rsidR="00AF1815" w:rsidRPr="0033192B" w:rsidRDefault="007A3314" w:rsidP="0064724E">
            <w:pPr>
              <w:spacing w:line="240" w:lineRule="auto"/>
              <w:jc w:val="center"/>
              <w:rPr>
                <w:rFonts w:cs="Arial"/>
                <w:sz w:val="22"/>
                <w:szCs w:val="22"/>
              </w:rPr>
            </w:pPr>
            <w:r w:rsidRPr="0033192B">
              <w:rPr>
                <w:rFonts w:cs="Arial"/>
                <w:sz w:val="22"/>
                <w:szCs w:val="22"/>
              </w:rPr>
              <w:t>4.88</w:t>
            </w:r>
          </w:p>
        </w:tc>
        <w:tc>
          <w:tcPr>
            <w:tcW w:w="1080" w:type="dxa"/>
            <w:vAlign w:val="center"/>
          </w:tcPr>
          <w:p w:rsidR="00AF1815" w:rsidRPr="0033192B" w:rsidRDefault="007A3314" w:rsidP="0064724E">
            <w:pPr>
              <w:spacing w:line="240" w:lineRule="auto"/>
              <w:jc w:val="center"/>
              <w:rPr>
                <w:rFonts w:cs="Arial"/>
                <w:sz w:val="22"/>
                <w:szCs w:val="22"/>
              </w:rPr>
            </w:pPr>
            <w:r w:rsidRPr="0033192B">
              <w:rPr>
                <w:rFonts w:cs="Arial"/>
                <w:sz w:val="22"/>
                <w:szCs w:val="22"/>
              </w:rPr>
              <w:t>0.06</w:t>
            </w:r>
          </w:p>
        </w:tc>
        <w:tc>
          <w:tcPr>
            <w:tcW w:w="1080" w:type="dxa"/>
            <w:vAlign w:val="center"/>
          </w:tcPr>
          <w:p w:rsidR="00AF1815" w:rsidRPr="0033192B" w:rsidRDefault="007A3314" w:rsidP="0064724E">
            <w:pPr>
              <w:spacing w:line="240" w:lineRule="auto"/>
              <w:jc w:val="center"/>
              <w:rPr>
                <w:rFonts w:cs="Arial"/>
                <w:sz w:val="22"/>
                <w:szCs w:val="22"/>
              </w:rPr>
            </w:pPr>
            <w:r w:rsidRPr="0033192B">
              <w:rPr>
                <w:rFonts w:cs="Arial"/>
                <w:sz w:val="22"/>
                <w:szCs w:val="22"/>
              </w:rPr>
              <w:t>0.03</w:t>
            </w:r>
          </w:p>
        </w:tc>
        <w:tc>
          <w:tcPr>
            <w:tcW w:w="1260" w:type="dxa"/>
            <w:vAlign w:val="center"/>
          </w:tcPr>
          <w:p w:rsidR="00AF1815" w:rsidRPr="0033192B" w:rsidRDefault="007A3314" w:rsidP="0064724E">
            <w:pPr>
              <w:spacing w:line="240" w:lineRule="auto"/>
              <w:jc w:val="center"/>
              <w:rPr>
                <w:rFonts w:cs="Arial"/>
                <w:sz w:val="22"/>
                <w:szCs w:val="22"/>
              </w:rPr>
            </w:pPr>
            <w:r w:rsidRPr="0033192B">
              <w:rPr>
                <w:rFonts w:cs="Arial"/>
                <w:sz w:val="22"/>
                <w:szCs w:val="22"/>
              </w:rPr>
              <w:t>0</w:t>
            </w:r>
          </w:p>
        </w:tc>
      </w:tr>
      <w:tr w:rsidR="00651140" w:rsidRPr="00A25629" w:rsidTr="0064724E">
        <w:trPr>
          <w:trHeight w:val="527"/>
        </w:trPr>
        <w:tc>
          <w:tcPr>
            <w:tcW w:w="513" w:type="dxa"/>
            <w:noWrap/>
            <w:tcMar>
              <w:top w:w="17" w:type="dxa"/>
              <w:left w:w="17" w:type="dxa"/>
              <w:bottom w:w="0" w:type="dxa"/>
              <w:right w:w="17" w:type="dxa"/>
            </w:tcMar>
            <w:vAlign w:val="center"/>
          </w:tcPr>
          <w:p w:rsidR="00651140" w:rsidRPr="00A25629" w:rsidRDefault="00651140" w:rsidP="00A25629">
            <w:pPr>
              <w:spacing w:line="240" w:lineRule="auto"/>
              <w:jc w:val="center"/>
              <w:rPr>
                <w:rFonts w:cs="Arial"/>
                <w:sz w:val="22"/>
                <w:szCs w:val="22"/>
              </w:rPr>
            </w:pPr>
            <w:r w:rsidRPr="00A25629">
              <w:rPr>
                <w:rFonts w:cs="Arial"/>
                <w:sz w:val="22"/>
                <w:szCs w:val="22"/>
              </w:rPr>
              <w:t>3</w:t>
            </w:r>
          </w:p>
        </w:tc>
        <w:tc>
          <w:tcPr>
            <w:tcW w:w="3824" w:type="dxa"/>
            <w:tcMar>
              <w:top w:w="17" w:type="dxa"/>
              <w:left w:w="17" w:type="dxa"/>
              <w:bottom w:w="0" w:type="dxa"/>
              <w:right w:w="17" w:type="dxa"/>
            </w:tcMar>
            <w:vAlign w:val="center"/>
          </w:tcPr>
          <w:p w:rsidR="00651140" w:rsidRPr="00A25629" w:rsidRDefault="00651140" w:rsidP="00A25629">
            <w:pPr>
              <w:spacing w:line="240" w:lineRule="auto"/>
              <w:jc w:val="left"/>
              <w:rPr>
                <w:rFonts w:cs="Arial"/>
                <w:sz w:val="22"/>
                <w:szCs w:val="22"/>
              </w:rPr>
            </w:pPr>
            <w:r>
              <w:rPr>
                <w:rFonts w:cs="Arial"/>
                <w:sz w:val="22"/>
                <w:szCs w:val="22"/>
              </w:rPr>
              <w:t>Equity</w:t>
            </w:r>
            <w:r w:rsidRPr="00A25629">
              <w:rPr>
                <w:rFonts w:cs="Arial"/>
                <w:sz w:val="22"/>
                <w:szCs w:val="22"/>
              </w:rPr>
              <w:t>(Closing Balance)</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328.66</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328.72</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328.75</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328.75</w:t>
            </w:r>
          </w:p>
        </w:tc>
      </w:tr>
      <w:tr w:rsidR="00651140" w:rsidRPr="00A25629" w:rsidTr="0064724E">
        <w:trPr>
          <w:trHeight w:val="356"/>
        </w:trPr>
        <w:tc>
          <w:tcPr>
            <w:tcW w:w="513" w:type="dxa"/>
            <w:noWrap/>
            <w:tcMar>
              <w:top w:w="17" w:type="dxa"/>
              <w:left w:w="17" w:type="dxa"/>
              <w:bottom w:w="0" w:type="dxa"/>
              <w:right w:w="17" w:type="dxa"/>
            </w:tcMar>
            <w:vAlign w:val="center"/>
          </w:tcPr>
          <w:p w:rsidR="00651140" w:rsidRPr="00A25629" w:rsidRDefault="00651140" w:rsidP="00A25629">
            <w:pPr>
              <w:spacing w:line="240" w:lineRule="auto"/>
              <w:jc w:val="center"/>
              <w:rPr>
                <w:rFonts w:cs="Arial"/>
                <w:sz w:val="22"/>
                <w:szCs w:val="22"/>
              </w:rPr>
            </w:pPr>
            <w:r w:rsidRPr="00A25629">
              <w:rPr>
                <w:rFonts w:cs="Arial"/>
                <w:sz w:val="22"/>
                <w:szCs w:val="22"/>
              </w:rPr>
              <w:t>4</w:t>
            </w:r>
          </w:p>
        </w:tc>
        <w:tc>
          <w:tcPr>
            <w:tcW w:w="3824" w:type="dxa"/>
            <w:tcMar>
              <w:top w:w="17" w:type="dxa"/>
              <w:left w:w="17" w:type="dxa"/>
              <w:bottom w:w="0" w:type="dxa"/>
              <w:right w:w="17" w:type="dxa"/>
            </w:tcMar>
            <w:vAlign w:val="center"/>
          </w:tcPr>
          <w:p w:rsidR="00651140" w:rsidRPr="00A25629" w:rsidRDefault="00651140" w:rsidP="00A25629">
            <w:pPr>
              <w:spacing w:line="240" w:lineRule="auto"/>
              <w:jc w:val="left"/>
              <w:rPr>
                <w:rFonts w:cs="Arial"/>
                <w:sz w:val="22"/>
                <w:szCs w:val="22"/>
              </w:rPr>
            </w:pPr>
            <w:r w:rsidRPr="00A25629">
              <w:rPr>
                <w:rFonts w:cs="Arial"/>
                <w:sz w:val="22"/>
                <w:szCs w:val="22"/>
              </w:rPr>
              <w:t xml:space="preserve">Average Equity </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326.22</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328.69</w:t>
            </w:r>
          </w:p>
        </w:tc>
        <w:tc>
          <w:tcPr>
            <w:tcW w:w="1080" w:type="dxa"/>
            <w:vAlign w:val="center"/>
          </w:tcPr>
          <w:p w:rsidR="00651140" w:rsidRDefault="00651140" w:rsidP="0064724E">
            <w:pPr>
              <w:jc w:val="center"/>
              <w:rPr>
                <w:rFonts w:ascii="Arial" w:hAnsi="Arial" w:cs="Arial"/>
                <w:sz w:val="20"/>
                <w:szCs w:val="20"/>
              </w:rPr>
            </w:pPr>
            <w:r>
              <w:rPr>
                <w:rFonts w:ascii="Arial" w:hAnsi="Arial" w:cs="Arial"/>
                <w:sz w:val="20"/>
                <w:szCs w:val="20"/>
              </w:rPr>
              <w:t>328.73</w:t>
            </w:r>
          </w:p>
        </w:tc>
        <w:tc>
          <w:tcPr>
            <w:tcW w:w="1260" w:type="dxa"/>
            <w:vAlign w:val="center"/>
          </w:tcPr>
          <w:p w:rsidR="00651140" w:rsidRDefault="00651140" w:rsidP="0064724E">
            <w:pPr>
              <w:jc w:val="center"/>
              <w:rPr>
                <w:rFonts w:ascii="Arial" w:hAnsi="Arial" w:cs="Arial"/>
                <w:sz w:val="20"/>
                <w:szCs w:val="20"/>
              </w:rPr>
            </w:pPr>
            <w:r>
              <w:rPr>
                <w:rFonts w:ascii="Arial" w:hAnsi="Arial" w:cs="Arial"/>
                <w:sz w:val="20"/>
                <w:szCs w:val="20"/>
              </w:rPr>
              <w:t>328.75</w:t>
            </w:r>
          </w:p>
        </w:tc>
      </w:tr>
      <w:tr w:rsidR="00AF1815" w:rsidRPr="00A25629" w:rsidTr="0064724E">
        <w:trPr>
          <w:trHeight w:val="527"/>
        </w:trPr>
        <w:tc>
          <w:tcPr>
            <w:tcW w:w="513" w:type="dxa"/>
            <w:noWrap/>
            <w:tcMar>
              <w:top w:w="17" w:type="dxa"/>
              <w:left w:w="17" w:type="dxa"/>
              <w:bottom w:w="0" w:type="dxa"/>
              <w:right w:w="17" w:type="dxa"/>
            </w:tcMar>
            <w:vAlign w:val="center"/>
          </w:tcPr>
          <w:p w:rsidR="00AF1815" w:rsidRPr="00A25629" w:rsidRDefault="00AF1815" w:rsidP="00A25629">
            <w:pPr>
              <w:spacing w:line="240" w:lineRule="auto"/>
              <w:jc w:val="center"/>
              <w:rPr>
                <w:rFonts w:cs="Arial"/>
                <w:sz w:val="22"/>
                <w:szCs w:val="22"/>
              </w:rPr>
            </w:pPr>
            <w:r w:rsidRPr="00A25629">
              <w:rPr>
                <w:rFonts w:cs="Arial"/>
                <w:sz w:val="22"/>
                <w:szCs w:val="22"/>
              </w:rPr>
              <w:t>5</w:t>
            </w:r>
          </w:p>
        </w:tc>
        <w:tc>
          <w:tcPr>
            <w:tcW w:w="3824" w:type="dxa"/>
            <w:tcMar>
              <w:top w:w="17" w:type="dxa"/>
              <w:left w:w="17" w:type="dxa"/>
              <w:bottom w:w="0" w:type="dxa"/>
              <w:right w:w="17" w:type="dxa"/>
            </w:tcMar>
            <w:vAlign w:val="center"/>
          </w:tcPr>
          <w:p w:rsidR="00AF1815" w:rsidRPr="00A25629" w:rsidRDefault="00AF1815" w:rsidP="00A25629">
            <w:pPr>
              <w:spacing w:line="240" w:lineRule="auto"/>
              <w:jc w:val="left"/>
              <w:rPr>
                <w:rFonts w:cs="Arial"/>
                <w:sz w:val="22"/>
                <w:szCs w:val="22"/>
              </w:rPr>
            </w:pPr>
            <w:r w:rsidRPr="00A25629">
              <w:rPr>
                <w:rFonts w:cs="Arial"/>
                <w:sz w:val="22"/>
                <w:szCs w:val="22"/>
              </w:rPr>
              <w:t>Rate of Return on Equity</w:t>
            </w:r>
          </w:p>
        </w:tc>
        <w:tc>
          <w:tcPr>
            <w:tcW w:w="1260" w:type="dxa"/>
            <w:vAlign w:val="center"/>
          </w:tcPr>
          <w:p w:rsidR="00AF1815" w:rsidRPr="0033192B" w:rsidRDefault="007A3314" w:rsidP="0064724E">
            <w:pPr>
              <w:spacing w:line="240" w:lineRule="auto"/>
              <w:jc w:val="center"/>
              <w:rPr>
                <w:rFonts w:cs="Arial"/>
                <w:sz w:val="22"/>
                <w:szCs w:val="22"/>
              </w:rPr>
            </w:pPr>
            <w:r w:rsidRPr="0033192B">
              <w:rPr>
                <w:rFonts w:cs="Arial"/>
                <w:sz w:val="22"/>
                <w:szCs w:val="22"/>
              </w:rPr>
              <w:t>17.52</w:t>
            </w:r>
            <w:r w:rsidR="00AF1815" w:rsidRPr="0033192B">
              <w:rPr>
                <w:rFonts w:cs="Arial"/>
                <w:sz w:val="22"/>
                <w:szCs w:val="22"/>
              </w:rPr>
              <w:t>%</w:t>
            </w:r>
          </w:p>
        </w:tc>
        <w:tc>
          <w:tcPr>
            <w:tcW w:w="1080" w:type="dxa"/>
            <w:vAlign w:val="center"/>
          </w:tcPr>
          <w:p w:rsidR="00AF1815" w:rsidRPr="0033192B" w:rsidRDefault="00821384" w:rsidP="0064724E">
            <w:pPr>
              <w:spacing w:line="240" w:lineRule="auto"/>
              <w:jc w:val="center"/>
              <w:rPr>
                <w:rFonts w:cs="Arial"/>
                <w:sz w:val="22"/>
                <w:szCs w:val="22"/>
              </w:rPr>
            </w:pPr>
            <w:r w:rsidRPr="0033192B">
              <w:rPr>
                <w:rFonts w:cs="Arial"/>
                <w:sz w:val="22"/>
                <w:szCs w:val="22"/>
              </w:rPr>
              <w:t>17.71</w:t>
            </w:r>
            <w:r w:rsidR="00AF1815" w:rsidRPr="0033192B">
              <w:rPr>
                <w:rFonts w:cs="Arial"/>
                <w:sz w:val="22"/>
                <w:szCs w:val="22"/>
              </w:rPr>
              <w:t>%</w:t>
            </w:r>
          </w:p>
        </w:tc>
        <w:tc>
          <w:tcPr>
            <w:tcW w:w="1080" w:type="dxa"/>
            <w:vAlign w:val="center"/>
          </w:tcPr>
          <w:p w:rsidR="00AF1815" w:rsidRPr="0033192B" w:rsidRDefault="00821384" w:rsidP="0064724E">
            <w:pPr>
              <w:spacing w:line="240" w:lineRule="auto"/>
              <w:jc w:val="center"/>
              <w:rPr>
                <w:rFonts w:cs="Arial"/>
                <w:sz w:val="22"/>
                <w:szCs w:val="22"/>
              </w:rPr>
            </w:pPr>
            <w:r w:rsidRPr="0033192B">
              <w:rPr>
                <w:rFonts w:cs="Arial"/>
                <w:sz w:val="22"/>
                <w:szCs w:val="22"/>
              </w:rPr>
              <w:t>17.71</w:t>
            </w:r>
            <w:r w:rsidR="00AF1815" w:rsidRPr="0033192B">
              <w:rPr>
                <w:rFonts w:cs="Arial"/>
                <w:sz w:val="22"/>
                <w:szCs w:val="22"/>
              </w:rPr>
              <w:t>%</w:t>
            </w:r>
          </w:p>
        </w:tc>
        <w:tc>
          <w:tcPr>
            <w:tcW w:w="1260" w:type="dxa"/>
            <w:vAlign w:val="center"/>
          </w:tcPr>
          <w:p w:rsidR="00AF1815" w:rsidRPr="0033192B" w:rsidRDefault="00821384" w:rsidP="0064724E">
            <w:pPr>
              <w:spacing w:line="240" w:lineRule="auto"/>
              <w:jc w:val="center"/>
              <w:rPr>
                <w:rFonts w:cs="Arial"/>
                <w:sz w:val="22"/>
                <w:szCs w:val="22"/>
              </w:rPr>
            </w:pPr>
            <w:r w:rsidRPr="0033192B">
              <w:rPr>
                <w:rFonts w:cs="Arial"/>
                <w:sz w:val="22"/>
                <w:szCs w:val="22"/>
              </w:rPr>
              <w:t>17.71%</w:t>
            </w:r>
          </w:p>
        </w:tc>
      </w:tr>
      <w:tr w:rsidR="00651140" w:rsidRPr="00A25629" w:rsidTr="0064724E">
        <w:trPr>
          <w:trHeight w:val="387"/>
        </w:trPr>
        <w:tc>
          <w:tcPr>
            <w:tcW w:w="4337" w:type="dxa"/>
            <w:gridSpan w:val="2"/>
            <w:tcMar>
              <w:top w:w="17" w:type="dxa"/>
              <w:left w:w="17" w:type="dxa"/>
              <w:bottom w:w="0" w:type="dxa"/>
              <w:right w:w="17" w:type="dxa"/>
            </w:tcMar>
            <w:vAlign w:val="center"/>
          </w:tcPr>
          <w:p w:rsidR="00651140" w:rsidRPr="00A25629" w:rsidRDefault="00651140" w:rsidP="00A25629">
            <w:pPr>
              <w:spacing w:line="240" w:lineRule="auto"/>
              <w:jc w:val="left"/>
              <w:rPr>
                <w:rFonts w:cs="Arial"/>
                <w:b/>
                <w:bCs/>
                <w:sz w:val="22"/>
                <w:szCs w:val="22"/>
              </w:rPr>
            </w:pPr>
            <w:r w:rsidRPr="00A25629">
              <w:rPr>
                <w:rFonts w:cs="Arial"/>
                <w:b/>
                <w:bCs/>
                <w:sz w:val="22"/>
                <w:szCs w:val="22"/>
              </w:rPr>
              <w:t>Return on Equity</w:t>
            </w:r>
          </w:p>
        </w:tc>
        <w:tc>
          <w:tcPr>
            <w:tcW w:w="1260" w:type="dxa"/>
            <w:vAlign w:val="center"/>
          </w:tcPr>
          <w:p w:rsidR="00651140" w:rsidRDefault="00651140" w:rsidP="0064724E">
            <w:pPr>
              <w:jc w:val="center"/>
              <w:rPr>
                <w:rFonts w:ascii="Arial" w:hAnsi="Arial" w:cs="Arial"/>
                <w:b/>
                <w:bCs/>
                <w:sz w:val="20"/>
                <w:szCs w:val="20"/>
              </w:rPr>
            </w:pPr>
            <w:r>
              <w:rPr>
                <w:rFonts w:ascii="Arial" w:hAnsi="Arial" w:cs="Arial"/>
                <w:b/>
                <w:bCs/>
                <w:sz w:val="20"/>
                <w:szCs w:val="20"/>
              </w:rPr>
              <w:t>57.15</w:t>
            </w:r>
          </w:p>
        </w:tc>
        <w:tc>
          <w:tcPr>
            <w:tcW w:w="1080" w:type="dxa"/>
            <w:vAlign w:val="center"/>
          </w:tcPr>
          <w:p w:rsidR="00651140" w:rsidRDefault="00651140" w:rsidP="0064724E">
            <w:pPr>
              <w:jc w:val="center"/>
              <w:rPr>
                <w:rFonts w:ascii="Arial" w:hAnsi="Arial" w:cs="Arial"/>
                <w:b/>
                <w:bCs/>
                <w:sz w:val="20"/>
                <w:szCs w:val="20"/>
              </w:rPr>
            </w:pPr>
            <w:r>
              <w:rPr>
                <w:rFonts w:ascii="Arial" w:hAnsi="Arial" w:cs="Arial"/>
                <w:b/>
                <w:bCs/>
                <w:sz w:val="20"/>
                <w:szCs w:val="20"/>
              </w:rPr>
              <w:t>58.22</w:t>
            </w:r>
          </w:p>
        </w:tc>
        <w:tc>
          <w:tcPr>
            <w:tcW w:w="1080" w:type="dxa"/>
            <w:vAlign w:val="center"/>
          </w:tcPr>
          <w:p w:rsidR="00651140" w:rsidRDefault="00651140" w:rsidP="0064724E">
            <w:pPr>
              <w:jc w:val="center"/>
              <w:rPr>
                <w:rFonts w:ascii="Arial" w:hAnsi="Arial" w:cs="Arial"/>
                <w:b/>
                <w:bCs/>
                <w:sz w:val="20"/>
                <w:szCs w:val="20"/>
              </w:rPr>
            </w:pPr>
            <w:r>
              <w:rPr>
                <w:rFonts w:ascii="Arial" w:hAnsi="Arial" w:cs="Arial"/>
                <w:b/>
                <w:bCs/>
                <w:sz w:val="20"/>
                <w:szCs w:val="20"/>
              </w:rPr>
              <w:t>58.23</w:t>
            </w:r>
          </w:p>
        </w:tc>
        <w:tc>
          <w:tcPr>
            <w:tcW w:w="1260" w:type="dxa"/>
            <w:vAlign w:val="center"/>
          </w:tcPr>
          <w:p w:rsidR="00651140" w:rsidRDefault="00651140" w:rsidP="0064724E">
            <w:pPr>
              <w:jc w:val="center"/>
              <w:rPr>
                <w:rFonts w:ascii="Arial" w:hAnsi="Arial" w:cs="Arial"/>
                <w:b/>
                <w:bCs/>
                <w:sz w:val="20"/>
                <w:szCs w:val="20"/>
              </w:rPr>
            </w:pPr>
            <w:r>
              <w:rPr>
                <w:rFonts w:ascii="Arial" w:hAnsi="Arial" w:cs="Arial"/>
                <w:b/>
                <w:bCs/>
                <w:sz w:val="20"/>
                <w:szCs w:val="20"/>
              </w:rPr>
              <w:t>58.23</w:t>
            </w:r>
          </w:p>
        </w:tc>
      </w:tr>
    </w:tbl>
    <w:p w:rsidR="00C1322A" w:rsidRDefault="00C1322A" w:rsidP="00243445">
      <w:pPr>
        <w:autoSpaceDE w:val="0"/>
        <w:autoSpaceDN w:val="0"/>
        <w:adjustRightInd w:val="0"/>
        <w:ind w:left="720"/>
        <w:rPr>
          <w:sz w:val="22"/>
          <w:szCs w:val="22"/>
        </w:rPr>
      </w:pPr>
    </w:p>
    <w:p w:rsidR="00243445" w:rsidRDefault="00243445" w:rsidP="009622C0">
      <w:pPr>
        <w:autoSpaceDE w:val="0"/>
        <w:autoSpaceDN w:val="0"/>
        <w:adjustRightInd w:val="0"/>
        <w:rPr>
          <w:sz w:val="22"/>
          <w:szCs w:val="22"/>
        </w:rPr>
      </w:pPr>
      <w:r w:rsidRPr="00312702">
        <w:rPr>
          <w:sz w:val="22"/>
          <w:szCs w:val="22"/>
        </w:rPr>
        <w:t>Hence it is prayed to Hon’ble Commission to</w:t>
      </w:r>
      <w:r w:rsidR="00A92580" w:rsidRPr="00312702">
        <w:rPr>
          <w:sz w:val="22"/>
          <w:szCs w:val="22"/>
        </w:rPr>
        <w:t xml:space="preserve"> consider and relax the norm and allow the </w:t>
      </w:r>
      <w:r w:rsidRPr="00312702">
        <w:rPr>
          <w:sz w:val="22"/>
          <w:szCs w:val="22"/>
        </w:rPr>
        <w:t>rate of return on equity</w:t>
      </w:r>
      <w:r w:rsidR="00A92580" w:rsidRPr="00312702">
        <w:rPr>
          <w:sz w:val="22"/>
          <w:szCs w:val="22"/>
        </w:rPr>
        <w:t>@ 15.5% i</w:t>
      </w:r>
      <w:r w:rsidRPr="00312702">
        <w:rPr>
          <w:sz w:val="22"/>
          <w:szCs w:val="22"/>
        </w:rPr>
        <w:t>n line with the CERC Regulations.”</w:t>
      </w:r>
    </w:p>
    <w:p w:rsidR="00BC3CDF" w:rsidRDefault="001F77DB" w:rsidP="00BC3CDF">
      <w:pPr>
        <w:pStyle w:val="Header"/>
        <w:tabs>
          <w:tab w:val="clear" w:pos="4320"/>
          <w:tab w:val="clear" w:pos="8640"/>
        </w:tabs>
        <w:rPr>
          <w:sz w:val="22"/>
          <w:szCs w:val="22"/>
        </w:rPr>
      </w:pPr>
      <w:r>
        <w:rPr>
          <w:sz w:val="22"/>
          <w:szCs w:val="22"/>
        </w:rPr>
        <w:t>Further,</w:t>
      </w:r>
      <w:r w:rsidR="00BC3CDF">
        <w:rPr>
          <w:sz w:val="22"/>
          <w:szCs w:val="22"/>
        </w:rPr>
        <w:t xml:space="preserve"> revised tax rates with</w:t>
      </w:r>
      <w:r w:rsidR="009622C0">
        <w:rPr>
          <w:sz w:val="22"/>
          <w:szCs w:val="22"/>
        </w:rPr>
        <w:t xml:space="preserve"> gross as per above provisions </w:t>
      </w:r>
      <w:r w:rsidR="00BC3CDF">
        <w:rPr>
          <w:sz w:val="22"/>
          <w:szCs w:val="22"/>
        </w:rPr>
        <w:t xml:space="preserve">for </w:t>
      </w:r>
      <w:r w:rsidR="007743E2">
        <w:rPr>
          <w:sz w:val="22"/>
          <w:szCs w:val="22"/>
        </w:rPr>
        <w:t>PPS-I</w:t>
      </w:r>
      <w:r w:rsidR="00BC3CDF">
        <w:rPr>
          <w:sz w:val="22"/>
          <w:szCs w:val="22"/>
        </w:rPr>
        <w:t xml:space="preserve"> will be as follows: </w:t>
      </w:r>
    </w:p>
    <w:p w:rsidR="00082FE1" w:rsidRDefault="00082FE1" w:rsidP="00B50C89">
      <w:pPr>
        <w:pStyle w:val="Caption"/>
        <w:spacing w:line="240" w:lineRule="auto"/>
        <w:ind w:left="1620" w:firstLine="540"/>
      </w:pPr>
    </w:p>
    <w:p w:rsidR="00082FE1" w:rsidRDefault="00082FE1" w:rsidP="00B50C89">
      <w:pPr>
        <w:pStyle w:val="Caption"/>
        <w:spacing w:line="240" w:lineRule="auto"/>
        <w:ind w:left="1620" w:firstLine="540"/>
      </w:pPr>
    </w:p>
    <w:p w:rsidR="00082FE1" w:rsidRDefault="00082FE1" w:rsidP="00B50C89">
      <w:pPr>
        <w:pStyle w:val="Caption"/>
        <w:spacing w:line="240" w:lineRule="auto"/>
        <w:ind w:left="1620" w:firstLine="540"/>
      </w:pPr>
    </w:p>
    <w:p w:rsidR="00082FE1" w:rsidRDefault="00082FE1" w:rsidP="00B50C89">
      <w:pPr>
        <w:pStyle w:val="Caption"/>
        <w:spacing w:line="240" w:lineRule="auto"/>
        <w:ind w:left="1620" w:firstLine="540"/>
      </w:pPr>
    </w:p>
    <w:p w:rsidR="00296163" w:rsidRDefault="00296163" w:rsidP="00B50C89">
      <w:pPr>
        <w:pStyle w:val="Caption"/>
        <w:spacing w:line="240" w:lineRule="auto"/>
        <w:ind w:left="1620" w:firstLine="540"/>
        <w:rPr>
          <w:sz w:val="22"/>
          <w:szCs w:val="22"/>
        </w:rPr>
      </w:pPr>
      <w:bookmarkStart w:id="47" w:name="_Toc411525194"/>
      <w:r>
        <w:lastRenderedPageBreak/>
        <w:t xml:space="preserve">Table </w:t>
      </w:r>
      <w:fldSimple w:instr=" SEQ Table \* ARABIC ">
        <w:r w:rsidR="000F406F">
          <w:rPr>
            <w:noProof/>
          </w:rPr>
          <w:t>19</w:t>
        </w:r>
      </w:fldSimple>
      <w:r>
        <w:t xml:space="preserve"> : Income tax with grossed up ROE</w:t>
      </w:r>
      <w:bookmarkEnd w:id="47"/>
      <w:r w:rsidRPr="005C57DE">
        <w:t xml:space="preserve"> </w:t>
      </w:r>
    </w:p>
    <w:tbl>
      <w:tblPr>
        <w:tblStyle w:val="TableGrid"/>
        <w:tblW w:w="9506" w:type="dxa"/>
        <w:tblLook w:val="04A0"/>
      </w:tblPr>
      <w:tblGrid>
        <w:gridCol w:w="3708"/>
        <w:gridCol w:w="1260"/>
        <w:gridCol w:w="1568"/>
        <w:gridCol w:w="1440"/>
        <w:gridCol w:w="1530"/>
      </w:tblGrid>
      <w:tr w:rsidR="007743E2" w:rsidRPr="0085545B" w:rsidTr="0085545B">
        <w:tc>
          <w:tcPr>
            <w:tcW w:w="3708" w:type="dxa"/>
            <w:tcBorders>
              <w:top w:val="single" w:sz="4" w:space="0" w:color="auto"/>
              <w:left w:val="single" w:sz="4" w:space="0" w:color="auto"/>
              <w:bottom w:val="single" w:sz="4" w:space="0" w:color="auto"/>
              <w:right w:val="single" w:sz="4" w:space="0" w:color="auto"/>
            </w:tcBorders>
            <w:shd w:val="clear" w:color="auto" w:fill="00B0F0"/>
            <w:hideMark/>
          </w:tcPr>
          <w:p w:rsidR="007743E2" w:rsidRPr="0085545B" w:rsidRDefault="007743E2" w:rsidP="00B70718">
            <w:pPr>
              <w:pStyle w:val="Header"/>
              <w:tabs>
                <w:tab w:val="left" w:pos="720"/>
              </w:tabs>
              <w:spacing w:line="240" w:lineRule="auto"/>
              <w:rPr>
                <w:b/>
                <w:sz w:val="22"/>
                <w:szCs w:val="22"/>
              </w:rPr>
            </w:pPr>
            <w:r w:rsidRPr="0085545B">
              <w:rPr>
                <w:b/>
                <w:sz w:val="22"/>
                <w:szCs w:val="22"/>
              </w:rPr>
              <w:t>Particulars</w:t>
            </w:r>
          </w:p>
        </w:tc>
        <w:tc>
          <w:tcPr>
            <w:tcW w:w="1260" w:type="dxa"/>
            <w:tcBorders>
              <w:top w:val="single" w:sz="4" w:space="0" w:color="auto"/>
              <w:left w:val="single" w:sz="4" w:space="0" w:color="auto"/>
              <w:bottom w:val="single" w:sz="4" w:space="0" w:color="auto"/>
              <w:right w:val="single" w:sz="4" w:space="0" w:color="auto"/>
            </w:tcBorders>
            <w:shd w:val="clear" w:color="auto" w:fill="00B0F0"/>
          </w:tcPr>
          <w:p w:rsidR="007743E2" w:rsidRPr="0085545B" w:rsidRDefault="007743E2" w:rsidP="00B70718">
            <w:pPr>
              <w:pStyle w:val="Header"/>
              <w:tabs>
                <w:tab w:val="left" w:pos="720"/>
              </w:tabs>
              <w:spacing w:line="240" w:lineRule="auto"/>
              <w:rPr>
                <w:b/>
                <w:sz w:val="22"/>
                <w:szCs w:val="22"/>
              </w:rPr>
            </w:pPr>
          </w:p>
        </w:tc>
        <w:tc>
          <w:tcPr>
            <w:tcW w:w="1568" w:type="dxa"/>
            <w:tcBorders>
              <w:top w:val="single" w:sz="4" w:space="0" w:color="auto"/>
              <w:left w:val="single" w:sz="4" w:space="0" w:color="auto"/>
              <w:bottom w:val="single" w:sz="4" w:space="0" w:color="auto"/>
              <w:right w:val="single" w:sz="4" w:space="0" w:color="auto"/>
            </w:tcBorders>
            <w:shd w:val="clear" w:color="auto" w:fill="00B0F0"/>
            <w:hideMark/>
          </w:tcPr>
          <w:p w:rsidR="007743E2" w:rsidRPr="0085545B" w:rsidRDefault="007743E2" w:rsidP="00B70718">
            <w:pPr>
              <w:pStyle w:val="Header"/>
              <w:tabs>
                <w:tab w:val="left" w:pos="720"/>
              </w:tabs>
              <w:spacing w:line="240" w:lineRule="auto"/>
              <w:rPr>
                <w:b/>
                <w:sz w:val="22"/>
                <w:szCs w:val="22"/>
              </w:rPr>
            </w:pPr>
            <w:r w:rsidRPr="0085545B">
              <w:rPr>
                <w:b/>
                <w:sz w:val="22"/>
                <w:szCs w:val="22"/>
              </w:rPr>
              <w:t>FY 2012-13</w:t>
            </w:r>
          </w:p>
        </w:tc>
        <w:tc>
          <w:tcPr>
            <w:tcW w:w="1440" w:type="dxa"/>
            <w:tcBorders>
              <w:top w:val="single" w:sz="4" w:space="0" w:color="auto"/>
              <w:left w:val="single" w:sz="4" w:space="0" w:color="auto"/>
              <w:bottom w:val="single" w:sz="4" w:space="0" w:color="auto"/>
              <w:right w:val="single" w:sz="4" w:space="0" w:color="auto"/>
            </w:tcBorders>
            <w:shd w:val="clear" w:color="auto" w:fill="00B0F0"/>
            <w:hideMark/>
          </w:tcPr>
          <w:p w:rsidR="007743E2" w:rsidRPr="0085545B" w:rsidRDefault="007743E2" w:rsidP="00B70718">
            <w:pPr>
              <w:pStyle w:val="Header"/>
              <w:tabs>
                <w:tab w:val="left" w:pos="720"/>
              </w:tabs>
              <w:spacing w:line="240" w:lineRule="auto"/>
              <w:rPr>
                <w:b/>
                <w:sz w:val="22"/>
                <w:szCs w:val="22"/>
              </w:rPr>
            </w:pPr>
            <w:r w:rsidRPr="0085545B">
              <w:rPr>
                <w:b/>
                <w:sz w:val="22"/>
                <w:szCs w:val="22"/>
              </w:rPr>
              <w:t>FY 2013-14</w:t>
            </w:r>
          </w:p>
        </w:tc>
        <w:tc>
          <w:tcPr>
            <w:tcW w:w="1530" w:type="dxa"/>
            <w:tcBorders>
              <w:top w:val="single" w:sz="4" w:space="0" w:color="auto"/>
              <w:left w:val="single" w:sz="4" w:space="0" w:color="auto"/>
              <w:bottom w:val="single" w:sz="4" w:space="0" w:color="auto"/>
              <w:right w:val="single" w:sz="4" w:space="0" w:color="auto"/>
            </w:tcBorders>
            <w:shd w:val="clear" w:color="auto" w:fill="00B0F0"/>
            <w:hideMark/>
          </w:tcPr>
          <w:p w:rsidR="007743E2" w:rsidRPr="0085545B" w:rsidRDefault="007743E2" w:rsidP="00B70718">
            <w:pPr>
              <w:pStyle w:val="Header"/>
              <w:tabs>
                <w:tab w:val="left" w:pos="720"/>
              </w:tabs>
              <w:spacing w:line="240" w:lineRule="auto"/>
              <w:rPr>
                <w:b/>
                <w:sz w:val="22"/>
                <w:szCs w:val="22"/>
              </w:rPr>
            </w:pPr>
            <w:r w:rsidRPr="0085545B">
              <w:rPr>
                <w:b/>
                <w:sz w:val="22"/>
                <w:szCs w:val="22"/>
              </w:rPr>
              <w:t>FY 2014-15</w:t>
            </w:r>
          </w:p>
        </w:tc>
      </w:tr>
      <w:tr w:rsidR="005B54E0" w:rsidTr="0064724E">
        <w:tc>
          <w:tcPr>
            <w:tcW w:w="3708" w:type="dxa"/>
            <w:tcBorders>
              <w:top w:val="single" w:sz="4" w:space="0" w:color="auto"/>
              <w:left w:val="single" w:sz="4" w:space="0" w:color="auto"/>
              <w:bottom w:val="single" w:sz="4" w:space="0" w:color="auto"/>
              <w:right w:val="single" w:sz="4" w:space="0" w:color="auto"/>
            </w:tcBorders>
            <w:hideMark/>
          </w:tcPr>
          <w:p w:rsidR="005B54E0" w:rsidRDefault="005B54E0" w:rsidP="00731987">
            <w:pPr>
              <w:pStyle w:val="Header"/>
              <w:tabs>
                <w:tab w:val="left" w:pos="720"/>
              </w:tabs>
              <w:spacing w:line="240" w:lineRule="auto"/>
              <w:rPr>
                <w:sz w:val="22"/>
                <w:szCs w:val="22"/>
              </w:rPr>
            </w:pPr>
            <w:r>
              <w:rPr>
                <w:sz w:val="22"/>
                <w:szCs w:val="22"/>
              </w:rPr>
              <w:t xml:space="preserve">Average Equity (Rs. Cr.) </w:t>
            </w:r>
          </w:p>
        </w:tc>
        <w:tc>
          <w:tcPr>
            <w:tcW w:w="1260" w:type="dxa"/>
            <w:tcBorders>
              <w:top w:val="single" w:sz="4" w:space="0" w:color="auto"/>
              <w:left w:val="single" w:sz="4" w:space="0" w:color="auto"/>
              <w:bottom w:val="single" w:sz="4" w:space="0" w:color="auto"/>
              <w:right w:val="single" w:sz="4" w:space="0" w:color="auto"/>
            </w:tcBorders>
            <w:hideMark/>
          </w:tcPr>
          <w:p w:rsidR="005B54E0" w:rsidRDefault="005B54E0" w:rsidP="00B70718">
            <w:pPr>
              <w:pStyle w:val="Header"/>
              <w:tabs>
                <w:tab w:val="left" w:pos="720"/>
              </w:tabs>
              <w:spacing w:line="240" w:lineRule="auto"/>
              <w:rPr>
                <w:sz w:val="22"/>
                <w:szCs w:val="22"/>
              </w:rPr>
            </w:pPr>
            <w:r>
              <w:rPr>
                <w:sz w:val="22"/>
                <w:szCs w:val="22"/>
              </w:rPr>
              <w:t>A</w:t>
            </w:r>
          </w:p>
        </w:tc>
        <w:tc>
          <w:tcPr>
            <w:tcW w:w="1568"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sz w:val="20"/>
                <w:szCs w:val="20"/>
              </w:rPr>
            </w:pPr>
            <w:r>
              <w:rPr>
                <w:rFonts w:ascii="Arial" w:hAnsi="Arial" w:cs="Arial"/>
                <w:sz w:val="20"/>
                <w:szCs w:val="20"/>
              </w:rPr>
              <w:t>326.22</w:t>
            </w:r>
          </w:p>
        </w:tc>
        <w:tc>
          <w:tcPr>
            <w:tcW w:w="1440"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sz w:val="20"/>
                <w:szCs w:val="20"/>
              </w:rPr>
            </w:pPr>
            <w:r>
              <w:rPr>
                <w:rFonts w:ascii="Arial" w:hAnsi="Arial" w:cs="Arial"/>
                <w:sz w:val="20"/>
                <w:szCs w:val="20"/>
              </w:rPr>
              <w:t>328.69</w:t>
            </w:r>
          </w:p>
        </w:tc>
        <w:tc>
          <w:tcPr>
            <w:tcW w:w="1530"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sz w:val="20"/>
                <w:szCs w:val="20"/>
              </w:rPr>
            </w:pPr>
            <w:r>
              <w:rPr>
                <w:rFonts w:ascii="Arial" w:hAnsi="Arial" w:cs="Arial"/>
                <w:sz w:val="20"/>
                <w:szCs w:val="20"/>
              </w:rPr>
              <w:t>328.73</w:t>
            </w:r>
          </w:p>
        </w:tc>
      </w:tr>
      <w:tr w:rsidR="007743E2" w:rsidTr="0064724E">
        <w:tc>
          <w:tcPr>
            <w:tcW w:w="3708"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Base Rate of return on equity</w:t>
            </w:r>
          </w:p>
        </w:tc>
        <w:tc>
          <w:tcPr>
            <w:tcW w:w="1260"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B</w:t>
            </w:r>
          </w:p>
        </w:tc>
        <w:tc>
          <w:tcPr>
            <w:tcW w:w="1568"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14%</w:t>
            </w:r>
          </w:p>
        </w:tc>
        <w:tc>
          <w:tcPr>
            <w:tcW w:w="1440"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14%</w:t>
            </w:r>
          </w:p>
        </w:tc>
        <w:tc>
          <w:tcPr>
            <w:tcW w:w="1530"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14%</w:t>
            </w:r>
          </w:p>
        </w:tc>
      </w:tr>
      <w:tr w:rsidR="007743E2" w:rsidTr="0064724E">
        <w:tc>
          <w:tcPr>
            <w:tcW w:w="3708"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Normal Income tax as considered by Hon’ble Commission</w:t>
            </w:r>
          </w:p>
        </w:tc>
        <w:tc>
          <w:tcPr>
            <w:tcW w:w="1260"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C</w:t>
            </w:r>
          </w:p>
        </w:tc>
        <w:tc>
          <w:tcPr>
            <w:tcW w:w="1568"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20.01%</w:t>
            </w:r>
          </w:p>
        </w:tc>
        <w:tc>
          <w:tcPr>
            <w:tcW w:w="1440" w:type="dxa"/>
            <w:tcBorders>
              <w:top w:val="single" w:sz="4" w:space="0" w:color="auto"/>
              <w:left w:val="single" w:sz="4" w:space="0" w:color="auto"/>
              <w:bottom w:val="single" w:sz="4" w:space="0" w:color="auto"/>
              <w:right w:val="single" w:sz="4" w:space="0" w:color="auto"/>
            </w:tcBorders>
            <w:vAlign w:val="center"/>
            <w:hideMark/>
          </w:tcPr>
          <w:p w:rsidR="007743E2" w:rsidRDefault="00784557" w:rsidP="0064724E">
            <w:pPr>
              <w:pStyle w:val="Header"/>
              <w:tabs>
                <w:tab w:val="left" w:pos="720"/>
              </w:tabs>
              <w:spacing w:line="240" w:lineRule="auto"/>
              <w:jc w:val="center"/>
              <w:rPr>
                <w:sz w:val="22"/>
                <w:szCs w:val="22"/>
              </w:rPr>
            </w:pPr>
            <w:r>
              <w:rPr>
                <w:sz w:val="22"/>
                <w:szCs w:val="22"/>
              </w:rPr>
              <w:t>20.9605</w:t>
            </w:r>
            <w:r w:rsidR="007743E2">
              <w:rPr>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hideMark/>
          </w:tcPr>
          <w:p w:rsidR="007743E2" w:rsidRDefault="00784557" w:rsidP="0064724E">
            <w:pPr>
              <w:pStyle w:val="Header"/>
              <w:tabs>
                <w:tab w:val="left" w:pos="720"/>
              </w:tabs>
              <w:spacing w:line="240" w:lineRule="auto"/>
              <w:jc w:val="center"/>
              <w:rPr>
                <w:sz w:val="22"/>
                <w:szCs w:val="22"/>
              </w:rPr>
            </w:pPr>
            <w:r>
              <w:rPr>
                <w:sz w:val="22"/>
                <w:szCs w:val="22"/>
              </w:rPr>
              <w:t>20.9605</w:t>
            </w:r>
            <w:r w:rsidR="007743E2">
              <w:rPr>
                <w:sz w:val="22"/>
                <w:szCs w:val="22"/>
              </w:rPr>
              <w:t>%</w:t>
            </w:r>
          </w:p>
        </w:tc>
      </w:tr>
      <w:tr w:rsidR="007743E2" w:rsidTr="0064724E">
        <w:tc>
          <w:tcPr>
            <w:tcW w:w="3708"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Gross up return on equity</w:t>
            </w:r>
          </w:p>
        </w:tc>
        <w:tc>
          <w:tcPr>
            <w:tcW w:w="1260" w:type="dxa"/>
            <w:tcBorders>
              <w:top w:val="single" w:sz="4" w:space="0" w:color="auto"/>
              <w:left w:val="single" w:sz="4" w:space="0" w:color="auto"/>
              <w:bottom w:val="single" w:sz="4" w:space="0" w:color="auto"/>
              <w:right w:val="single" w:sz="4" w:space="0" w:color="auto"/>
            </w:tcBorders>
            <w:hideMark/>
          </w:tcPr>
          <w:p w:rsidR="007743E2" w:rsidRDefault="007743E2" w:rsidP="00B70718">
            <w:pPr>
              <w:pStyle w:val="Header"/>
              <w:tabs>
                <w:tab w:val="left" w:pos="720"/>
              </w:tabs>
              <w:spacing w:line="240" w:lineRule="auto"/>
              <w:rPr>
                <w:sz w:val="22"/>
                <w:szCs w:val="22"/>
              </w:rPr>
            </w:pPr>
            <w:r>
              <w:rPr>
                <w:sz w:val="22"/>
                <w:szCs w:val="22"/>
              </w:rPr>
              <w:t xml:space="preserve">D </w:t>
            </w:r>
          </w:p>
          <w:p w:rsidR="007743E2" w:rsidRDefault="007743E2" w:rsidP="00B70718">
            <w:pPr>
              <w:pStyle w:val="Header"/>
              <w:tabs>
                <w:tab w:val="left" w:pos="720"/>
              </w:tabs>
              <w:spacing w:line="240" w:lineRule="auto"/>
              <w:rPr>
                <w:sz w:val="22"/>
                <w:szCs w:val="22"/>
              </w:rPr>
            </w:pPr>
            <w:r>
              <w:rPr>
                <w:sz w:val="22"/>
                <w:szCs w:val="22"/>
              </w:rPr>
              <w:t>(B/(1-C)</w:t>
            </w:r>
          </w:p>
        </w:tc>
        <w:tc>
          <w:tcPr>
            <w:tcW w:w="1568"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17.502%</w:t>
            </w:r>
          </w:p>
        </w:tc>
        <w:tc>
          <w:tcPr>
            <w:tcW w:w="1440"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17.</w:t>
            </w:r>
            <w:r w:rsidR="00224FB5">
              <w:rPr>
                <w:sz w:val="22"/>
                <w:szCs w:val="22"/>
              </w:rPr>
              <w:t>7127</w:t>
            </w:r>
            <w:r>
              <w:rPr>
                <w:sz w:val="22"/>
                <w:szCs w:val="22"/>
              </w:rPr>
              <w:t>%</w:t>
            </w:r>
          </w:p>
        </w:tc>
        <w:tc>
          <w:tcPr>
            <w:tcW w:w="1530" w:type="dxa"/>
            <w:tcBorders>
              <w:top w:val="single" w:sz="4" w:space="0" w:color="auto"/>
              <w:left w:val="single" w:sz="4" w:space="0" w:color="auto"/>
              <w:bottom w:val="single" w:sz="4" w:space="0" w:color="auto"/>
              <w:right w:val="single" w:sz="4" w:space="0" w:color="auto"/>
            </w:tcBorders>
            <w:vAlign w:val="center"/>
            <w:hideMark/>
          </w:tcPr>
          <w:p w:rsidR="007743E2" w:rsidRDefault="007743E2" w:rsidP="0064724E">
            <w:pPr>
              <w:pStyle w:val="Header"/>
              <w:tabs>
                <w:tab w:val="left" w:pos="720"/>
              </w:tabs>
              <w:spacing w:line="240" w:lineRule="auto"/>
              <w:jc w:val="center"/>
              <w:rPr>
                <w:sz w:val="22"/>
                <w:szCs w:val="22"/>
              </w:rPr>
            </w:pPr>
            <w:r>
              <w:rPr>
                <w:sz w:val="22"/>
                <w:szCs w:val="22"/>
              </w:rPr>
              <w:t>17.</w:t>
            </w:r>
            <w:r w:rsidR="00224FB5">
              <w:rPr>
                <w:sz w:val="22"/>
                <w:szCs w:val="22"/>
              </w:rPr>
              <w:t>7127</w:t>
            </w:r>
            <w:r>
              <w:rPr>
                <w:sz w:val="22"/>
                <w:szCs w:val="22"/>
              </w:rPr>
              <w:t>%</w:t>
            </w:r>
          </w:p>
        </w:tc>
      </w:tr>
      <w:tr w:rsidR="005B54E0" w:rsidTr="0064724E">
        <w:trPr>
          <w:trHeight w:val="316"/>
        </w:trPr>
        <w:tc>
          <w:tcPr>
            <w:tcW w:w="3708" w:type="dxa"/>
            <w:tcBorders>
              <w:top w:val="single" w:sz="4" w:space="0" w:color="auto"/>
              <w:left w:val="single" w:sz="4" w:space="0" w:color="auto"/>
              <w:bottom w:val="single" w:sz="4" w:space="0" w:color="auto"/>
              <w:right w:val="single" w:sz="4" w:space="0" w:color="auto"/>
            </w:tcBorders>
            <w:hideMark/>
          </w:tcPr>
          <w:p w:rsidR="005B54E0" w:rsidRDefault="005B54E0" w:rsidP="00B70718">
            <w:pPr>
              <w:pStyle w:val="Header"/>
              <w:tabs>
                <w:tab w:val="left" w:pos="720"/>
              </w:tabs>
              <w:spacing w:line="240" w:lineRule="auto"/>
              <w:rPr>
                <w:sz w:val="22"/>
                <w:szCs w:val="22"/>
              </w:rPr>
            </w:pPr>
            <w:r>
              <w:rPr>
                <w:sz w:val="22"/>
                <w:szCs w:val="22"/>
              </w:rPr>
              <w:t>Return on equity (Rs. Cr.)</w:t>
            </w:r>
          </w:p>
        </w:tc>
        <w:tc>
          <w:tcPr>
            <w:tcW w:w="1260" w:type="dxa"/>
            <w:tcBorders>
              <w:top w:val="single" w:sz="4" w:space="0" w:color="auto"/>
              <w:left w:val="single" w:sz="4" w:space="0" w:color="auto"/>
              <w:bottom w:val="single" w:sz="4" w:space="0" w:color="auto"/>
              <w:right w:val="single" w:sz="4" w:space="0" w:color="auto"/>
            </w:tcBorders>
            <w:hideMark/>
          </w:tcPr>
          <w:p w:rsidR="005B54E0" w:rsidRDefault="005B54E0" w:rsidP="00B70718">
            <w:pPr>
              <w:pStyle w:val="Header"/>
              <w:tabs>
                <w:tab w:val="left" w:pos="720"/>
              </w:tabs>
              <w:spacing w:line="240" w:lineRule="auto"/>
              <w:rPr>
                <w:sz w:val="22"/>
                <w:szCs w:val="22"/>
              </w:rPr>
            </w:pPr>
            <w:r>
              <w:rPr>
                <w:sz w:val="22"/>
                <w:szCs w:val="22"/>
              </w:rPr>
              <w:t>E (AxD)</w:t>
            </w:r>
          </w:p>
        </w:tc>
        <w:tc>
          <w:tcPr>
            <w:tcW w:w="1568"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b/>
                <w:bCs/>
                <w:sz w:val="20"/>
                <w:szCs w:val="20"/>
              </w:rPr>
            </w:pPr>
            <w:r>
              <w:rPr>
                <w:rFonts w:ascii="Arial" w:hAnsi="Arial" w:cs="Arial"/>
                <w:b/>
                <w:bCs/>
                <w:sz w:val="20"/>
                <w:szCs w:val="20"/>
              </w:rPr>
              <w:t>57.15</w:t>
            </w:r>
          </w:p>
        </w:tc>
        <w:tc>
          <w:tcPr>
            <w:tcW w:w="1440"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b/>
                <w:bCs/>
                <w:sz w:val="20"/>
                <w:szCs w:val="20"/>
              </w:rPr>
            </w:pPr>
            <w:r>
              <w:rPr>
                <w:rFonts w:ascii="Arial" w:hAnsi="Arial" w:cs="Arial"/>
                <w:b/>
                <w:bCs/>
                <w:sz w:val="20"/>
                <w:szCs w:val="20"/>
              </w:rPr>
              <w:t>58.22</w:t>
            </w:r>
          </w:p>
        </w:tc>
        <w:tc>
          <w:tcPr>
            <w:tcW w:w="1530" w:type="dxa"/>
            <w:tcBorders>
              <w:top w:val="single" w:sz="4" w:space="0" w:color="auto"/>
              <w:left w:val="single" w:sz="4" w:space="0" w:color="auto"/>
              <w:bottom w:val="single" w:sz="4" w:space="0" w:color="auto"/>
              <w:right w:val="single" w:sz="4" w:space="0" w:color="auto"/>
            </w:tcBorders>
            <w:vAlign w:val="center"/>
            <w:hideMark/>
          </w:tcPr>
          <w:p w:rsidR="005B54E0" w:rsidRDefault="005B54E0" w:rsidP="0064724E">
            <w:pPr>
              <w:jc w:val="center"/>
              <w:rPr>
                <w:rFonts w:ascii="Arial" w:hAnsi="Arial" w:cs="Arial"/>
                <w:b/>
                <w:bCs/>
                <w:sz w:val="20"/>
                <w:szCs w:val="20"/>
              </w:rPr>
            </w:pPr>
            <w:r>
              <w:rPr>
                <w:rFonts w:ascii="Arial" w:hAnsi="Arial" w:cs="Arial"/>
                <w:b/>
                <w:bCs/>
                <w:sz w:val="20"/>
                <w:szCs w:val="20"/>
              </w:rPr>
              <w:t>58.23</w:t>
            </w:r>
          </w:p>
        </w:tc>
      </w:tr>
      <w:tr w:rsidR="00224FB5" w:rsidTr="0064724E">
        <w:tc>
          <w:tcPr>
            <w:tcW w:w="3708"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Base Return on Equity (Rs. Cr.)</w:t>
            </w:r>
          </w:p>
        </w:tc>
        <w:tc>
          <w:tcPr>
            <w:tcW w:w="1260"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F (AxB)</w:t>
            </w:r>
          </w:p>
        </w:tc>
        <w:tc>
          <w:tcPr>
            <w:tcW w:w="1568" w:type="dxa"/>
            <w:tcBorders>
              <w:top w:val="single" w:sz="4" w:space="0" w:color="auto"/>
              <w:left w:val="single" w:sz="4" w:space="0" w:color="auto"/>
              <w:bottom w:val="single" w:sz="4" w:space="0" w:color="auto"/>
              <w:right w:val="single" w:sz="4" w:space="0" w:color="auto"/>
            </w:tcBorders>
            <w:vAlign w:val="center"/>
            <w:hideMark/>
          </w:tcPr>
          <w:p w:rsidR="00224FB5" w:rsidRDefault="005B54E0" w:rsidP="0064724E">
            <w:pPr>
              <w:pStyle w:val="Header"/>
              <w:tabs>
                <w:tab w:val="left" w:pos="720"/>
              </w:tabs>
              <w:spacing w:line="240" w:lineRule="auto"/>
              <w:jc w:val="center"/>
              <w:rPr>
                <w:sz w:val="22"/>
                <w:szCs w:val="22"/>
              </w:rPr>
            </w:pPr>
            <w:r>
              <w:rPr>
                <w:sz w:val="22"/>
                <w:szCs w:val="22"/>
              </w:rPr>
              <w:t>45.67</w:t>
            </w:r>
          </w:p>
        </w:tc>
        <w:tc>
          <w:tcPr>
            <w:tcW w:w="1440" w:type="dxa"/>
            <w:tcBorders>
              <w:top w:val="single" w:sz="4" w:space="0" w:color="auto"/>
              <w:left w:val="single" w:sz="4" w:space="0" w:color="auto"/>
              <w:bottom w:val="single" w:sz="4" w:space="0" w:color="auto"/>
              <w:right w:val="single" w:sz="4" w:space="0" w:color="auto"/>
            </w:tcBorders>
            <w:vAlign w:val="center"/>
            <w:hideMark/>
          </w:tcPr>
          <w:p w:rsidR="00224FB5" w:rsidRDefault="005B54E0" w:rsidP="0064724E">
            <w:pPr>
              <w:pStyle w:val="Header"/>
              <w:tabs>
                <w:tab w:val="left" w:pos="720"/>
              </w:tabs>
              <w:spacing w:line="240" w:lineRule="auto"/>
              <w:jc w:val="center"/>
              <w:rPr>
                <w:sz w:val="22"/>
                <w:szCs w:val="22"/>
              </w:rPr>
            </w:pPr>
            <w:r>
              <w:rPr>
                <w:sz w:val="22"/>
                <w:szCs w:val="22"/>
              </w:rPr>
              <w:t>46.02</w:t>
            </w:r>
          </w:p>
        </w:tc>
        <w:tc>
          <w:tcPr>
            <w:tcW w:w="1530" w:type="dxa"/>
            <w:tcBorders>
              <w:top w:val="single" w:sz="4" w:space="0" w:color="auto"/>
              <w:left w:val="single" w:sz="4" w:space="0" w:color="auto"/>
              <w:bottom w:val="single" w:sz="4" w:space="0" w:color="auto"/>
              <w:right w:val="single" w:sz="4" w:space="0" w:color="auto"/>
            </w:tcBorders>
            <w:vAlign w:val="center"/>
            <w:hideMark/>
          </w:tcPr>
          <w:p w:rsidR="00224FB5" w:rsidRDefault="005B54E0" w:rsidP="0064724E">
            <w:pPr>
              <w:pStyle w:val="Header"/>
              <w:tabs>
                <w:tab w:val="left" w:pos="720"/>
              </w:tabs>
              <w:spacing w:line="240" w:lineRule="auto"/>
              <w:jc w:val="center"/>
              <w:rPr>
                <w:sz w:val="22"/>
                <w:szCs w:val="22"/>
              </w:rPr>
            </w:pPr>
            <w:r>
              <w:rPr>
                <w:sz w:val="22"/>
                <w:szCs w:val="22"/>
              </w:rPr>
              <w:t>46.02</w:t>
            </w:r>
          </w:p>
        </w:tc>
      </w:tr>
      <w:tr w:rsidR="00224FB5" w:rsidTr="0064724E">
        <w:tc>
          <w:tcPr>
            <w:tcW w:w="3708"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Income tax component (Rs. Cr.)</w:t>
            </w:r>
          </w:p>
        </w:tc>
        <w:tc>
          <w:tcPr>
            <w:tcW w:w="1260"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G (E-F)</w:t>
            </w:r>
          </w:p>
        </w:tc>
        <w:tc>
          <w:tcPr>
            <w:tcW w:w="1568"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11.48</w:t>
            </w:r>
          </w:p>
        </w:tc>
        <w:tc>
          <w:tcPr>
            <w:tcW w:w="1440"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12.20</w:t>
            </w:r>
          </w:p>
        </w:tc>
        <w:tc>
          <w:tcPr>
            <w:tcW w:w="1530"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12.21</w:t>
            </w:r>
          </w:p>
        </w:tc>
      </w:tr>
      <w:tr w:rsidR="00224FB5" w:rsidTr="0064724E">
        <w:tc>
          <w:tcPr>
            <w:tcW w:w="3708"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Approved in Tariff Order (Rs. Cr.)</w:t>
            </w:r>
          </w:p>
        </w:tc>
        <w:tc>
          <w:tcPr>
            <w:tcW w:w="1260"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H (FxC)</w:t>
            </w:r>
          </w:p>
        </w:tc>
        <w:tc>
          <w:tcPr>
            <w:tcW w:w="1568" w:type="dxa"/>
            <w:tcBorders>
              <w:top w:val="single" w:sz="4" w:space="0" w:color="auto"/>
              <w:left w:val="single" w:sz="4" w:space="0" w:color="auto"/>
              <w:bottom w:val="single" w:sz="4" w:space="0" w:color="auto"/>
              <w:right w:val="single" w:sz="4" w:space="0" w:color="auto"/>
            </w:tcBorders>
            <w:vAlign w:val="center"/>
            <w:hideMark/>
          </w:tcPr>
          <w:p w:rsidR="00224FB5" w:rsidRDefault="00224FB5" w:rsidP="0064724E">
            <w:pPr>
              <w:pStyle w:val="Header"/>
              <w:tabs>
                <w:tab w:val="left" w:pos="720"/>
              </w:tabs>
              <w:spacing w:line="240" w:lineRule="auto"/>
              <w:jc w:val="center"/>
              <w:rPr>
                <w:sz w:val="22"/>
                <w:szCs w:val="22"/>
              </w:rPr>
            </w:pPr>
            <w:r>
              <w:rPr>
                <w:sz w:val="22"/>
                <w:szCs w:val="22"/>
              </w:rPr>
              <w:t>9.07</w:t>
            </w:r>
          </w:p>
        </w:tc>
        <w:tc>
          <w:tcPr>
            <w:tcW w:w="1440" w:type="dxa"/>
            <w:tcBorders>
              <w:top w:val="single" w:sz="4" w:space="0" w:color="auto"/>
              <w:left w:val="single" w:sz="4" w:space="0" w:color="auto"/>
              <w:bottom w:val="single" w:sz="4" w:space="0" w:color="auto"/>
              <w:right w:val="single" w:sz="4" w:space="0" w:color="auto"/>
            </w:tcBorders>
            <w:vAlign w:val="center"/>
            <w:hideMark/>
          </w:tcPr>
          <w:p w:rsidR="00224FB5" w:rsidRDefault="00224FB5" w:rsidP="0064724E">
            <w:pPr>
              <w:pStyle w:val="Header"/>
              <w:tabs>
                <w:tab w:val="left" w:pos="720"/>
              </w:tabs>
              <w:spacing w:line="240" w:lineRule="auto"/>
              <w:jc w:val="center"/>
              <w:rPr>
                <w:sz w:val="22"/>
                <w:szCs w:val="22"/>
              </w:rPr>
            </w:pPr>
            <w:r>
              <w:rPr>
                <w:sz w:val="22"/>
                <w:szCs w:val="22"/>
              </w:rPr>
              <w:t>9.07</w:t>
            </w:r>
          </w:p>
        </w:tc>
        <w:tc>
          <w:tcPr>
            <w:tcW w:w="1530" w:type="dxa"/>
            <w:tcBorders>
              <w:top w:val="single" w:sz="4" w:space="0" w:color="auto"/>
              <w:left w:val="single" w:sz="4" w:space="0" w:color="auto"/>
              <w:bottom w:val="single" w:sz="4" w:space="0" w:color="auto"/>
              <w:right w:val="single" w:sz="4" w:space="0" w:color="auto"/>
            </w:tcBorders>
            <w:vAlign w:val="center"/>
            <w:hideMark/>
          </w:tcPr>
          <w:p w:rsidR="00224FB5" w:rsidRDefault="00224FB5" w:rsidP="0064724E">
            <w:pPr>
              <w:pStyle w:val="Header"/>
              <w:tabs>
                <w:tab w:val="left" w:pos="720"/>
              </w:tabs>
              <w:spacing w:line="240" w:lineRule="auto"/>
              <w:jc w:val="center"/>
              <w:rPr>
                <w:sz w:val="22"/>
                <w:szCs w:val="22"/>
              </w:rPr>
            </w:pPr>
            <w:r>
              <w:rPr>
                <w:sz w:val="22"/>
                <w:szCs w:val="22"/>
              </w:rPr>
              <w:t>9.07</w:t>
            </w:r>
          </w:p>
        </w:tc>
      </w:tr>
      <w:tr w:rsidR="00224FB5" w:rsidTr="0064724E">
        <w:tc>
          <w:tcPr>
            <w:tcW w:w="3708"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Difference (Rs. Cr.)</w:t>
            </w:r>
          </w:p>
        </w:tc>
        <w:tc>
          <w:tcPr>
            <w:tcW w:w="1260" w:type="dxa"/>
            <w:tcBorders>
              <w:top w:val="single" w:sz="4" w:space="0" w:color="auto"/>
              <w:left w:val="single" w:sz="4" w:space="0" w:color="auto"/>
              <w:bottom w:val="single" w:sz="4" w:space="0" w:color="auto"/>
              <w:right w:val="single" w:sz="4" w:space="0" w:color="auto"/>
            </w:tcBorders>
            <w:hideMark/>
          </w:tcPr>
          <w:p w:rsidR="00224FB5" w:rsidRDefault="00224FB5" w:rsidP="00B70718">
            <w:pPr>
              <w:pStyle w:val="Header"/>
              <w:tabs>
                <w:tab w:val="left" w:pos="720"/>
              </w:tabs>
              <w:spacing w:line="240" w:lineRule="auto"/>
              <w:rPr>
                <w:sz w:val="22"/>
                <w:szCs w:val="22"/>
              </w:rPr>
            </w:pPr>
            <w:r>
              <w:rPr>
                <w:sz w:val="22"/>
                <w:szCs w:val="22"/>
              </w:rPr>
              <w:t>I</w:t>
            </w:r>
          </w:p>
        </w:tc>
        <w:tc>
          <w:tcPr>
            <w:tcW w:w="1568"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2.41</w:t>
            </w:r>
          </w:p>
        </w:tc>
        <w:tc>
          <w:tcPr>
            <w:tcW w:w="1440"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3.13</w:t>
            </w:r>
          </w:p>
        </w:tc>
        <w:tc>
          <w:tcPr>
            <w:tcW w:w="1530" w:type="dxa"/>
            <w:tcBorders>
              <w:top w:val="single" w:sz="4" w:space="0" w:color="auto"/>
              <w:left w:val="single" w:sz="4" w:space="0" w:color="auto"/>
              <w:bottom w:val="single" w:sz="4" w:space="0" w:color="auto"/>
              <w:right w:val="single" w:sz="4" w:space="0" w:color="auto"/>
            </w:tcBorders>
            <w:vAlign w:val="center"/>
            <w:hideMark/>
          </w:tcPr>
          <w:p w:rsidR="00224FB5" w:rsidRDefault="00E117EF" w:rsidP="0064724E">
            <w:pPr>
              <w:pStyle w:val="Header"/>
              <w:tabs>
                <w:tab w:val="left" w:pos="720"/>
              </w:tabs>
              <w:spacing w:line="240" w:lineRule="auto"/>
              <w:jc w:val="center"/>
              <w:rPr>
                <w:sz w:val="22"/>
                <w:szCs w:val="22"/>
              </w:rPr>
            </w:pPr>
            <w:r>
              <w:rPr>
                <w:sz w:val="22"/>
                <w:szCs w:val="22"/>
              </w:rPr>
              <w:t>3.14</w:t>
            </w:r>
          </w:p>
        </w:tc>
      </w:tr>
    </w:tbl>
    <w:p w:rsidR="007743E2" w:rsidRDefault="007743E2" w:rsidP="007743E2">
      <w:pPr>
        <w:pStyle w:val="Header"/>
        <w:tabs>
          <w:tab w:val="left" w:pos="720"/>
        </w:tabs>
        <w:rPr>
          <w:sz w:val="22"/>
          <w:szCs w:val="22"/>
        </w:rPr>
      </w:pPr>
    </w:p>
    <w:p w:rsidR="007743E2" w:rsidRDefault="007743E2" w:rsidP="007743E2">
      <w:pPr>
        <w:pStyle w:val="Header"/>
        <w:tabs>
          <w:tab w:val="left" w:pos="720"/>
        </w:tabs>
        <w:rPr>
          <w:sz w:val="22"/>
          <w:szCs w:val="22"/>
        </w:rPr>
      </w:pPr>
      <w:r>
        <w:rPr>
          <w:sz w:val="22"/>
          <w:szCs w:val="22"/>
        </w:rPr>
        <w:t xml:space="preserve">Accordingly Hon’ble Commission is prayed to </w:t>
      </w:r>
      <w:r w:rsidR="00960E7B">
        <w:rPr>
          <w:sz w:val="22"/>
          <w:szCs w:val="22"/>
        </w:rPr>
        <w:t xml:space="preserve">allow </w:t>
      </w:r>
      <w:r>
        <w:rPr>
          <w:sz w:val="22"/>
          <w:szCs w:val="22"/>
        </w:rPr>
        <w:t>Income Tax as under:</w:t>
      </w:r>
    </w:p>
    <w:p w:rsidR="00296163" w:rsidRDefault="00296163" w:rsidP="005D15D8">
      <w:pPr>
        <w:pStyle w:val="Caption"/>
        <w:spacing w:line="240" w:lineRule="auto"/>
      </w:pPr>
      <w:bookmarkStart w:id="48" w:name="_Toc411525195"/>
      <w:r>
        <w:t xml:space="preserve">Table </w:t>
      </w:r>
      <w:fldSimple w:instr=" SEQ Table \* ARABIC ">
        <w:r w:rsidR="000F406F">
          <w:rPr>
            <w:noProof/>
          </w:rPr>
          <w:t>20</w:t>
        </w:r>
      </w:fldSimple>
      <w:r>
        <w:t xml:space="preserve"> : Revised Income tax with grossed up ROE</w:t>
      </w:r>
      <w:r w:rsidRPr="005C57DE">
        <w:t xml:space="preserve"> </w:t>
      </w:r>
      <w:r>
        <w:t>for FY 2012-13 to 2014-15</w:t>
      </w:r>
      <w:bookmarkEnd w:id="48"/>
    </w:p>
    <w:tbl>
      <w:tblPr>
        <w:tblStyle w:val="TableGrid"/>
        <w:tblW w:w="0" w:type="auto"/>
        <w:tblLook w:val="04A0"/>
      </w:tblPr>
      <w:tblGrid>
        <w:gridCol w:w="2239"/>
        <w:gridCol w:w="2239"/>
        <w:gridCol w:w="2239"/>
        <w:gridCol w:w="2240"/>
      </w:tblGrid>
      <w:tr w:rsidR="007743E2" w:rsidTr="0085545B">
        <w:tc>
          <w:tcPr>
            <w:tcW w:w="2239" w:type="dxa"/>
            <w:shd w:val="clear" w:color="auto" w:fill="00B0F0"/>
          </w:tcPr>
          <w:p w:rsidR="007743E2" w:rsidRDefault="007743E2" w:rsidP="00B70718">
            <w:pPr>
              <w:pStyle w:val="Header"/>
              <w:tabs>
                <w:tab w:val="left" w:pos="720"/>
              </w:tabs>
              <w:spacing w:line="240" w:lineRule="auto"/>
              <w:rPr>
                <w:b/>
                <w:sz w:val="22"/>
                <w:szCs w:val="22"/>
              </w:rPr>
            </w:pPr>
            <w:r>
              <w:rPr>
                <w:b/>
                <w:sz w:val="22"/>
                <w:szCs w:val="22"/>
              </w:rPr>
              <w:t>Particulars</w:t>
            </w:r>
          </w:p>
        </w:tc>
        <w:tc>
          <w:tcPr>
            <w:tcW w:w="2239" w:type="dxa"/>
            <w:shd w:val="clear" w:color="auto" w:fill="00B0F0"/>
          </w:tcPr>
          <w:p w:rsidR="007743E2" w:rsidRDefault="007743E2" w:rsidP="00B70718">
            <w:pPr>
              <w:pStyle w:val="Header"/>
              <w:tabs>
                <w:tab w:val="left" w:pos="720"/>
              </w:tabs>
              <w:spacing w:line="240" w:lineRule="auto"/>
              <w:rPr>
                <w:b/>
                <w:sz w:val="22"/>
                <w:szCs w:val="22"/>
              </w:rPr>
            </w:pPr>
            <w:r>
              <w:rPr>
                <w:b/>
                <w:sz w:val="22"/>
                <w:szCs w:val="22"/>
              </w:rPr>
              <w:t>FY 2012-13</w:t>
            </w:r>
          </w:p>
        </w:tc>
        <w:tc>
          <w:tcPr>
            <w:tcW w:w="2239" w:type="dxa"/>
            <w:shd w:val="clear" w:color="auto" w:fill="00B0F0"/>
          </w:tcPr>
          <w:p w:rsidR="007743E2" w:rsidRDefault="007743E2" w:rsidP="00B70718">
            <w:pPr>
              <w:pStyle w:val="Header"/>
              <w:tabs>
                <w:tab w:val="left" w:pos="720"/>
              </w:tabs>
              <w:spacing w:line="240" w:lineRule="auto"/>
              <w:rPr>
                <w:b/>
                <w:sz w:val="22"/>
                <w:szCs w:val="22"/>
              </w:rPr>
            </w:pPr>
            <w:r>
              <w:rPr>
                <w:b/>
                <w:sz w:val="22"/>
                <w:szCs w:val="22"/>
              </w:rPr>
              <w:t>FY 2013-14</w:t>
            </w:r>
          </w:p>
        </w:tc>
        <w:tc>
          <w:tcPr>
            <w:tcW w:w="2240" w:type="dxa"/>
            <w:shd w:val="clear" w:color="auto" w:fill="00B0F0"/>
          </w:tcPr>
          <w:p w:rsidR="007743E2" w:rsidRDefault="007743E2" w:rsidP="00B70718">
            <w:pPr>
              <w:pStyle w:val="Header"/>
              <w:tabs>
                <w:tab w:val="left" w:pos="720"/>
              </w:tabs>
              <w:spacing w:line="240" w:lineRule="auto"/>
              <w:rPr>
                <w:b/>
                <w:sz w:val="22"/>
                <w:szCs w:val="22"/>
              </w:rPr>
            </w:pPr>
            <w:r>
              <w:rPr>
                <w:b/>
                <w:sz w:val="22"/>
                <w:szCs w:val="22"/>
              </w:rPr>
              <w:t>FY 2014-15</w:t>
            </w:r>
          </w:p>
        </w:tc>
      </w:tr>
      <w:tr w:rsidR="00C43BF8" w:rsidTr="00B70718">
        <w:tc>
          <w:tcPr>
            <w:tcW w:w="2239" w:type="dxa"/>
          </w:tcPr>
          <w:p w:rsidR="00C43BF8" w:rsidRDefault="00C43BF8" w:rsidP="00B70718">
            <w:pPr>
              <w:pStyle w:val="Header"/>
              <w:tabs>
                <w:tab w:val="left" w:pos="720"/>
              </w:tabs>
              <w:rPr>
                <w:sz w:val="22"/>
                <w:szCs w:val="22"/>
              </w:rPr>
            </w:pPr>
            <w:r>
              <w:rPr>
                <w:sz w:val="22"/>
                <w:szCs w:val="22"/>
              </w:rPr>
              <w:t>PPS-I</w:t>
            </w:r>
          </w:p>
        </w:tc>
        <w:tc>
          <w:tcPr>
            <w:tcW w:w="2239" w:type="dxa"/>
          </w:tcPr>
          <w:p w:rsidR="00C43BF8" w:rsidRDefault="00C43BF8" w:rsidP="00951F7E">
            <w:pPr>
              <w:pStyle w:val="Header"/>
              <w:tabs>
                <w:tab w:val="left" w:pos="720"/>
              </w:tabs>
              <w:spacing w:line="240" w:lineRule="auto"/>
              <w:rPr>
                <w:sz w:val="22"/>
                <w:szCs w:val="22"/>
              </w:rPr>
            </w:pPr>
            <w:r>
              <w:rPr>
                <w:sz w:val="22"/>
                <w:szCs w:val="22"/>
              </w:rPr>
              <w:t>11.48</w:t>
            </w:r>
          </w:p>
        </w:tc>
        <w:tc>
          <w:tcPr>
            <w:tcW w:w="2239" w:type="dxa"/>
          </w:tcPr>
          <w:p w:rsidR="00C43BF8" w:rsidRDefault="00C43BF8" w:rsidP="00951F7E">
            <w:pPr>
              <w:pStyle w:val="Header"/>
              <w:tabs>
                <w:tab w:val="left" w:pos="720"/>
              </w:tabs>
              <w:spacing w:line="240" w:lineRule="auto"/>
              <w:rPr>
                <w:sz w:val="22"/>
                <w:szCs w:val="22"/>
              </w:rPr>
            </w:pPr>
            <w:r>
              <w:rPr>
                <w:sz w:val="22"/>
                <w:szCs w:val="22"/>
              </w:rPr>
              <w:t>12.20</w:t>
            </w:r>
          </w:p>
        </w:tc>
        <w:tc>
          <w:tcPr>
            <w:tcW w:w="2240" w:type="dxa"/>
          </w:tcPr>
          <w:p w:rsidR="00C43BF8" w:rsidRDefault="00C43BF8" w:rsidP="00951F7E">
            <w:pPr>
              <w:pStyle w:val="Header"/>
              <w:tabs>
                <w:tab w:val="left" w:pos="720"/>
              </w:tabs>
              <w:spacing w:line="240" w:lineRule="auto"/>
              <w:rPr>
                <w:sz w:val="22"/>
                <w:szCs w:val="22"/>
              </w:rPr>
            </w:pPr>
            <w:r>
              <w:rPr>
                <w:sz w:val="22"/>
                <w:szCs w:val="22"/>
              </w:rPr>
              <w:t>12.21</w:t>
            </w:r>
          </w:p>
        </w:tc>
      </w:tr>
    </w:tbl>
    <w:p w:rsidR="007743E2" w:rsidRDefault="007743E2" w:rsidP="007743E2">
      <w:pPr>
        <w:tabs>
          <w:tab w:val="left" w:pos="3690"/>
        </w:tabs>
      </w:pPr>
      <w:r>
        <w:t>Hon’ble Commission is requested to allow tax for FY 2015-</w:t>
      </w:r>
      <w:r w:rsidR="00930F70">
        <w:t>16 as</w:t>
      </w:r>
      <w:r>
        <w:t xml:space="preserve"> submitted by petitioner.</w:t>
      </w:r>
    </w:p>
    <w:p w:rsidR="000F7069" w:rsidRDefault="000F7069">
      <w:pPr>
        <w:pStyle w:val="StyleHeading216ptJustifiedLinespacing15lines"/>
        <w:numPr>
          <w:ilvl w:val="0"/>
          <w:numId w:val="0"/>
        </w:numPr>
        <w:rPr>
          <w:color w:val="000080"/>
        </w:rPr>
      </w:pPr>
      <w:bookmarkStart w:id="49" w:name="_Toc411603926"/>
      <w:r>
        <w:rPr>
          <w:color w:val="000080"/>
        </w:rPr>
        <w:t>4.6</w:t>
      </w:r>
      <w:r>
        <w:rPr>
          <w:color w:val="000080"/>
        </w:rPr>
        <w:tab/>
        <w:t>Interest on Working Capital</w:t>
      </w:r>
      <w:bookmarkEnd w:id="49"/>
    </w:p>
    <w:p w:rsidR="000F7069" w:rsidRDefault="00DE7246">
      <w:pPr>
        <w:pStyle w:val="Default"/>
        <w:spacing w:line="360" w:lineRule="auto"/>
        <w:ind w:left="900" w:hanging="360"/>
        <w:jc w:val="both"/>
        <w:rPr>
          <w:rFonts w:ascii="Century Gothic" w:hAnsi="Century Gothic"/>
          <w:color w:val="auto"/>
          <w:sz w:val="22"/>
          <w:szCs w:val="22"/>
        </w:rPr>
      </w:pPr>
      <w:r>
        <w:rPr>
          <w:rFonts w:ascii="Century Gothic" w:hAnsi="Century Gothic"/>
          <w:color w:val="auto"/>
          <w:sz w:val="22"/>
          <w:szCs w:val="22"/>
        </w:rPr>
        <w:t xml:space="preserve">1.  </w:t>
      </w:r>
      <w:r w:rsidR="00C47AE3" w:rsidRPr="00E9568F">
        <w:rPr>
          <w:rFonts w:ascii="Century Gothic" w:hAnsi="Century Gothic"/>
          <w:sz w:val="22"/>
          <w:szCs w:val="22"/>
        </w:rPr>
        <w:t>Petitioner</w:t>
      </w:r>
      <w:r w:rsidR="00C47AE3">
        <w:rPr>
          <w:rFonts w:ascii="Century Gothic" w:hAnsi="Century Gothic"/>
          <w:color w:val="auto"/>
          <w:sz w:val="22"/>
          <w:szCs w:val="22"/>
        </w:rPr>
        <w:t xml:space="preserve"> </w:t>
      </w:r>
      <w:r w:rsidR="000F7069">
        <w:rPr>
          <w:rFonts w:ascii="Century Gothic" w:hAnsi="Century Gothic"/>
          <w:color w:val="auto"/>
          <w:sz w:val="22"/>
          <w:szCs w:val="22"/>
        </w:rPr>
        <w:t xml:space="preserve">has calculated the Interest on Working Capital as per the </w:t>
      </w:r>
      <w:r w:rsidR="007C7037">
        <w:rPr>
          <w:rFonts w:ascii="Century Gothic" w:hAnsi="Century Gothic"/>
          <w:color w:val="auto"/>
          <w:sz w:val="22"/>
          <w:szCs w:val="22"/>
        </w:rPr>
        <w:t>following</w:t>
      </w:r>
      <w:r>
        <w:rPr>
          <w:rFonts w:ascii="Century Gothic" w:hAnsi="Century Gothic"/>
          <w:color w:val="auto"/>
          <w:sz w:val="22"/>
          <w:szCs w:val="22"/>
        </w:rPr>
        <w:t xml:space="preserve"> norms</w:t>
      </w:r>
      <w:r w:rsidR="000F7069">
        <w:rPr>
          <w:rFonts w:ascii="Century Gothic" w:hAnsi="Century Gothic"/>
          <w:color w:val="auto"/>
          <w:sz w:val="22"/>
          <w:szCs w:val="22"/>
        </w:rPr>
        <w:t>:</w:t>
      </w:r>
    </w:p>
    <w:p w:rsidR="000F7069" w:rsidRDefault="000F7069">
      <w:pPr>
        <w:pStyle w:val="Default"/>
        <w:ind w:left="900" w:hanging="360"/>
        <w:rPr>
          <w:rFonts w:ascii="Century Gothic" w:hAnsi="Century Gothic"/>
          <w:color w:val="auto"/>
          <w:sz w:val="22"/>
          <w:szCs w:val="22"/>
        </w:rPr>
      </w:pPr>
    </w:p>
    <w:p w:rsidR="000F7069" w:rsidRDefault="000F7069" w:rsidP="004267DD">
      <w:pPr>
        <w:pStyle w:val="Default"/>
        <w:numPr>
          <w:ilvl w:val="0"/>
          <w:numId w:val="8"/>
        </w:numPr>
        <w:spacing w:line="360" w:lineRule="auto"/>
        <w:ind w:left="1260"/>
        <w:rPr>
          <w:rFonts w:ascii="Century Gothic" w:hAnsi="Century Gothic"/>
          <w:color w:val="auto"/>
          <w:sz w:val="22"/>
          <w:szCs w:val="22"/>
        </w:rPr>
      </w:pPr>
      <w:r>
        <w:rPr>
          <w:rFonts w:ascii="Century Gothic" w:hAnsi="Century Gothic"/>
          <w:color w:val="auto"/>
          <w:sz w:val="22"/>
          <w:szCs w:val="22"/>
        </w:rPr>
        <w:t>Cost of fuel for 1 month</w:t>
      </w:r>
    </w:p>
    <w:p w:rsidR="000F7069" w:rsidRDefault="000F7069" w:rsidP="004267DD">
      <w:pPr>
        <w:pStyle w:val="Default"/>
        <w:numPr>
          <w:ilvl w:val="0"/>
          <w:numId w:val="8"/>
        </w:numPr>
        <w:spacing w:line="360" w:lineRule="auto"/>
        <w:ind w:left="1260"/>
        <w:rPr>
          <w:rFonts w:ascii="Century Gothic" w:hAnsi="Century Gothic"/>
          <w:color w:val="auto"/>
          <w:sz w:val="22"/>
          <w:szCs w:val="22"/>
        </w:rPr>
      </w:pPr>
      <w:r>
        <w:rPr>
          <w:rFonts w:ascii="Century Gothic" w:hAnsi="Century Gothic"/>
          <w:color w:val="auto"/>
          <w:sz w:val="22"/>
          <w:szCs w:val="22"/>
        </w:rPr>
        <w:t>O&amp;M expenses for 1 month</w:t>
      </w:r>
    </w:p>
    <w:p w:rsidR="000F7069" w:rsidRDefault="000F7069" w:rsidP="004267DD">
      <w:pPr>
        <w:pStyle w:val="Default"/>
        <w:numPr>
          <w:ilvl w:val="0"/>
          <w:numId w:val="8"/>
        </w:numPr>
        <w:spacing w:line="360" w:lineRule="auto"/>
        <w:ind w:left="1260"/>
        <w:rPr>
          <w:rFonts w:ascii="Century Gothic" w:hAnsi="Century Gothic"/>
          <w:color w:val="auto"/>
          <w:sz w:val="22"/>
          <w:szCs w:val="22"/>
        </w:rPr>
      </w:pPr>
      <w:r>
        <w:rPr>
          <w:rFonts w:ascii="Century Gothic" w:hAnsi="Century Gothic"/>
          <w:color w:val="auto"/>
          <w:sz w:val="22"/>
          <w:szCs w:val="22"/>
        </w:rPr>
        <w:t>Receivables equivalent to 2 months average billing</w:t>
      </w:r>
    </w:p>
    <w:p w:rsidR="00AE165E" w:rsidRDefault="00FA1295" w:rsidP="00CB599F">
      <w:pPr>
        <w:pStyle w:val="Default"/>
        <w:numPr>
          <w:ilvl w:val="0"/>
          <w:numId w:val="19"/>
        </w:numPr>
        <w:spacing w:line="360" w:lineRule="auto"/>
        <w:jc w:val="both"/>
        <w:rPr>
          <w:rFonts w:ascii="Century Gothic" w:hAnsi="Century Gothic"/>
          <w:color w:val="auto"/>
          <w:sz w:val="22"/>
          <w:szCs w:val="22"/>
        </w:rPr>
      </w:pPr>
      <w:r w:rsidRPr="00AE165E">
        <w:rPr>
          <w:rFonts w:ascii="Century Gothic" w:hAnsi="Century Gothic"/>
          <w:color w:val="auto"/>
          <w:sz w:val="22"/>
          <w:szCs w:val="22"/>
        </w:rPr>
        <w:t xml:space="preserve">Maintenance </w:t>
      </w:r>
      <w:r w:rsidR="00DE7246" w:rsidRPr="00AE165E">
        <w:rPr>
          <w:rFonts w:ascii="Century Gothic" w:hAnsi="Century Gothic"/>
          <w:color w:val="auto"/>
          <w:sz w:val="22"/>
          <w:szCs w:val="22"/>
        </w:rPr>
        <w:t xml:space="preserve">Spares </w:t>
      </w:r>
      <w:r w:rsidRPr="00AE165E">
        <w:rPr>
          <w:rFonts w:ascii="Century Gothic" w:hAnsi="Century Gothic"/>
          <w:color w:val="auto"/>
          <w:sz w:val="22"/>
          <w:szCs w:val="22"/>
        </w:rPr>
        <w:t xml:space="preserve">@ </w:t>
      </w:r>
      <w:r w:rsidR="00CB3FFA" w:rsidRPr="00AE165E">
        <w:rPr>
          <w:rFonts w:ascii="Century Gothic" w:hAnsi="Century Gothic"/>
          <w:color w:val="auto"/>
          <w:sz w:val="22"/>
          <w:szCs w:val="22"/>
        </w:rPr>
        <w:t>30</w:t>
      </w:r>
      <w:r w:rsidR="00DE7246" w:rsidRPr="00AE165E">
        <w:rPr>
          <w:rFonts w:ascii="Century Gothic" w:hAnsi="Century Gothic"/>
          <w:color w:val="auto"/>
          <w:sz w:val="22"/>
          <w:szCs w:val="22"/>
        </w:rPr>
        <w:t>% of</w:t>
      </w:r>
      <w:r w:rsidR="00CB3FFA" w:rsidRPr="00AE165E">
        <w:rPr>
          <w:rFonts w:ascii="Century Gothic" w:hAnsi="Century Gothic"/>
          <w:color w:val="auto"/>
          <w:sz w:val="22"/>
          <w:szCs w:val="22"/>
        </w:rPr>
        <w:t xml:space="preserve"> the O&amp;M expenses</w:t>
      </w:r>
      <w:r w:rsidR="00751B0F" w:rsidRPr="00AE165E">
        <w:rPr>
          <w:rFonts w:ascii="Century Gothic" w:hAnsi="Century Gothic"/>
          <w:color w:val="auto"/>
          <w:sz w:val="22"/>
          <w:szCs w:val="22"/>
        </w:rPr>
        <w:t xml:space="preserve"> for </w:t>
      </w:r>
      <w:r w:rsidR="008012CA" w:rsidRPr="00AE165E">
        <w:rPr>
          <w:rFonts w:ascii="Century Gothic" w:hAnsi="Century Gothic"/>
          <w:color w:val="auto"/>
          <w:sz w:val="22"/>
          <w:szCs w:val="22"/>
        </w:rPr>
        <w:t>FY 2015-16</w:t>
      </w:r>
      <w:r w:rsidR="00D152A0" w:rsidRPr="00AE165E">
        <w:rPr>
          <w:rFonts w:ascii="Century Gothic" w:hAnsi="Century Gothic"/>
          <w:color w:val="auto"/>
          <w:sz w:val="22"/>
          <w:szCs w:val="22"/>
        </w:rPr>
        <w:t xml:space="preserve"> @1% of project cost plus escalation</w:t>
      </w:r>
      <w:r w:rsidR="00AE165E">
        <w:rPr>
          <w:rFonts w:ascii="Century Gothic" w:hAnsi="Century Gothic"/>
          <w:color w:val="auto"/>
          <w:sz w:val="22"/>
          <w:szCs w:val="22"/>
        </w:rPr>
        <w:t>.</w:t>
      </w:r>
    </w:p>
    <w:p w:rsidR="00CB599F" w:rsidRPr="00AE165E" w:rsidRDefault="00CB599F" w:rsidP="00CB599F">
      <w:pPr>
        <w:pStyle w:val="Default"/>
        <w:numPr>
          <w:ilvl w:val="0"/>
          <w:numId w:val="19"/>
        </w:numPr>
        <w:spacing w:line="360" w:lineRule="auto"/>
        <w:jc w:val="both"/>
        <w:rPr>
          <w:rFonts w:ascii="Century Gothic" w:hAnsi="Century Gothic"/>
          <w:color w:val="auto"/>
          <w:sz w:val="22"/>
          <w:szCs w:val="22"/>
        </w:rPr>
      </w:pPr>
      <w:r w:rsidRPr="00AE165E">
        <w:rPr>
          <w:rFonts w:ascii="Century Gothic" w:hAnsi="Century Gothic"/>
          <w:color w:val="auto"/>
          <w:sz w:val="22"/>
          <w:szCs w:val="22"/>
        </w:rPr>
        <w:t xml:space="preserve">The petitioner </w:t>
      </w:r>
      <w:r w:rsidR="009540F5" w:rsidRPr="00AE165E">
        <w:rPr>
          <w:rFonts w:ascii="Century Gothic" w:hAnsi="Century Gothic"/>
          <w:color w:val="auto"/>
          <w:sz w:val="22"/>
          <w:szCs w:val="22"/>
        </w:rPr>
        <w:t>submits</w:t>
      </w:r>
      <w:r w:rsidRPr="00AE165E">
        <w:rPr>
          <w:rFonts w:ascii="Century Gothic" w:hAnsi="Century Gothic"/>
          <w:color w:val="auto"/>
          <w:sz w:val="22"/>
          <w:szCs w:val="22"/>
        </w:rPr>
        <w:t xml:space="preserve"> that the fuel cost has increased steeply in FY 201</w:t>
      </w:r>
      <w:r w:rsidR="00AE165E">
        <w:rPr>
          <w:rFonts w:ascii="Century Gothic" w:hAnsi="Century Gothic"/>
          <w:color w:val="auto"/>
          <w:sz w:val="22"/>
          <w:szCs w:val="22"/>
        </w:rPr>
        <w:t>4</w:t>
      </w:r>
      <w:r w:rsidRPr="00AE165E">
        <w:rPr>
          <w:rFonts w:ascii="Century Gothic" w:hAnsi="Century Gothic"/>
          <w:color w:val="auto"/>
          <w:sz w:val="22"/>
          <w:szCs w:val="22"/>
        </w:rPr>
        <w:t>-1</w:t>
      </w:r>
      <w:r w:rsidR="00AE165E">
        <w:rPr>
          <w:rFonts w:ascii="Century Gothic" w:hAnsi="Century Gothic"/>
          <w:color w:val="auto"/>
          <w:sz w:val="22"/>
          <w:szCs w:val="22"/>
        </w:rPr>
        <w:t>5</w:t>
      </w:r>
      <w:r w:rsidRPr="00AE165E">
        <w:rPr>
          <w:rFonts w:ascii="Century Gothic" w:hAnsi="Century Gothic"/>
          <w:color w:val="auto"/>
          <w:sz w:val="22"/>
          <w:szCs w:val="22"/>
        </w:rPr>
        <w:t xml:space="preserve">. The </w:t>
      </w:r>
      <w:r w:rsidR="00842149" w:rsidRPr="00AE165E">
        <w:rPr>
          <w:rFonts w:ascii="Century Gothic" w:hAnsi="Century Gothic"/>
          <w:color w:val="auto"/>
          <w:sz w:val="22"/>
          <w:szCs w:val="22"/>
        </w:rPr>
        <w:t>H</w:t>
      </w:r>
      <w:r w:rsidRPr="00AE165E">
        <w:rPr>
          <w:rFonts w:ascii="Century Gothic" w:hAnsi="Century Gothic"/>
          <w:color w:val="auto"/>
          <w:sz w:val="22"/>
          <w:szCs w:val="22"/>
        </w:rPr>
        <w:t xml:space="preserve">on'ble Commission has determined the cost of fuel for 1 month and receivables equivalent of 2 months in working capital </w:t>
      </w:r>
      <w:r w:rsidR="007D311B" w:rsidRPr="00AE165E">
        <w:rPr>
          <w:rFonts w:ascii="Century Gothic" w:hAnsi="Century Gothic"/>
          <w:color w:val="auto"/>
          <w:sz w:val="22"/>
          <w:szCs w:val="22"/>
        </w:rPr>
        <w:t>requirement based</w:t>
      </w:r>
      <w:r w:rsidRPr="00AE165E">
        <w:rPr>
          <w:rFonts w:ascii="Century Gothic" w:hAnsi="Century Gothic"/>
          <w:color w:val="auto"/>
          <w:sz w:val="22"/>
          <w:szCs w:val="22"/>
        </w:rPr>
        <w:t xml:space="preserve"> upon the initial gas price. </w:t>
      </w:r>
      <w:r w:rsidR="006C2F5B" w:rsidRPr="00AE165E">
        <w:rPr>
          <w:rFonts w:ascii="Century Gothic" w:hAnsi="Century Gothic"/>
          <w:color w:val="auto"/>
          <w:sz w:val="22"/>
          <w:szCs w:val="22"/>
        </w:rPr>
        <w:t xml:space="preserve">This increase in prices of fuel </w:t>
      </w:r>
      <w:r w:rsidR="000C0327" w:rsidRPr="00AE165E">
        <w:rPr>
          <w:rFonts w:ascii="Century Gothic" w:hAnsi="Century Gothic"/>
          <w:color w:val="auto"/>
          <w:sz w:val="22"/>
          <w:szCs w:val="22"/>
        </w:rPr>
        <w:t>had substantial</w:t>
      </w:r>
      <w:r w:rsidR="006C2F5B" w:rsidRPr="00AE165E">
        <w:rPr>
          <w:rFonts w:ascii="Century Gothic" w:hAnsi="Century Gothic"/>
          <w:color w:val="auto"/>
          <w:sz w:val="22"/>
          <w:szCs w:val="22"/>
        </w:rPr>
        <w:t xml:space="preserve"> impact on certain</w:t>
      </w:r>
      <w:r w:rsidR="00007511" w:rsidRPr="00AE165E">
        <w:rPr>
          <w:rFonts w:ascii="Century Gothic" w:hAnsi="Century Gothic"/>
          <w:color w:val="auto"/>
          <w:sz w:val="22"/>
          <w:szCs w:val="22"/>
        </w:rPr>
        <w:t xml:space="preserve"> </w:t>
      </w:r>
      <w:r w:rsidR="000C0327" w:rsidRPr="00AE165E">
        <w:rPr>
          <w:rFonts w:ascii="Century Gothic" w:hAnsi="Century Gothic"/>
          <w:color w:val="auto"/>
          <w:sz w:val="22"/>
          <w:szCs w:val="22"/>
        </w:rPr>
        <w:t>components considered in</w:t>
      </w:r>
      <w:r w:rsidR="006C2F5B" w:rsidRPr="00AE165E">
        <w:rPr>
          <w:rFonts w:ascii="Century Gothic" w:hAnsi="Century Gothic"/>
          <w:color w:val="auto"/>
          <w:sz w:val="22"/>
          <w:szCs w:val="22"/>
        </w:rPr>
        <w:t xml:space="preserve"> the computation of working capital and resultantly the interest on working capital has considerably increased in </w:t>
      </w:r>
      <w:r w:rsidR="00337C17" w:rsidRPr="00AE165E">
        <w:rPr>
          <w:rFonts w:ascii="Century Gothic" w:hAnsi="Century Gothic"/>
          <w:color w:val="auto"/>
          <w:sz w:val="22"/>
          <w:szCs w:val="22"/>
        </w:rPr>
        <w:t>comparison</w:t>
      </w:r>
      <w:r w:rsidR="006C2F5B" w:rsidRPr="00AE165E">
        <w:rPr>
          <w:rFonts w:ascii="Century Gothic" w:hAnsi="Century Gothic"/>
          <w:color w:val="auto"/>
          <w:sz w:val="22"/>
          <w:szCs w:val="22"/>
        </w:rPr>
        <w:t xml:space="preserve"> to the </w:t>
      </w:r>
      <w:r w:rsidR="000C0327" w:rsidRPr="00AE165E">
        <w:rPr>
          <w:rFonts w:ascii="Century Gothic" w:hAnsi="Century Gothic"/>
          <w:color w:val="auto"/>
          <w:sz w:val="22"/>
          <w:szCs w:val="22"/>
        </w:rPr>
        <w:t>interest allowed</w:t>
      </w:r>
      <w:r w:rsidR="006C2F5B" w:rsidRPr="00AE165E">
        <w:rPr>
          <w:rFonts w:ascii="Century Gothic" w:hAnsi="Century Gothic"/>
          <w:color w:val="auto"/>
          <w:sz w:val="22"/>
          <w:szCs w:val="22"/>
        </w:rPr>
        <w:t xml:space="preserve"> by the Commission. </w:t>
      </w:r>
      <w:r w:rsidR="00C10934">
        <w:rPr>
          <w:rFonts w:ascii="Century Gothic" w:hAnsi="Century Gothic"/>
          <w:color w:val="auto"/>
          <w:sz w:val="22"/>
          <w:szCs w:val="22"/>
        </w:rPr>
        <w:t>Accordingly, the petitioner has revised working capital and submits as under:</w:t>
      </w:r>
    </w:p>
    <w:p w:rsidR="007975D4" w:rsidRDefault="007975D4" w:rsidP="00F5078D">
      <w:pPr>
        <w:pStyle w:val="Caption"/>
        <w:spacing w:line="240" w:lineRule="auto"/>
        <w:ind w:left="900"/>
        <w:jc w:val="center"/>
      </w:pPr>
      <w:bookmarkStart w:id="50" w:name="_Toc411525196"/>
      <w:r>
        <w:lastRenderedPageBreak/>
        <w:t xml:space="preserve">Table </w:t>
      </w:r>
      <w:fldSimple w:instr=" SEQ Table \* ARABIC ">
        <w:r w:rsidR="000F406F">
          <w:rPr>
            <w:noProof/>
          </w:rPr>
          <w:t>21</w:t>
        </w:r>
      </w:fldSimple>
      <w:r>
        <w:t xml:space="preserve"> : </w:t>
      </w:r>
      <w:r w:rsidRPr="004C371C">
        <w:t>Total working Capital</w:t>
      </w:r>
      <w:bookmarkEnd w:id="50"/>
    </w:p>
    <w:tbl>
      <w:tblPr>
        <w:tblW w:w="83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324"/>
        <w:gridCol w:w="1120"/>
        <w:gridCol w:w="1121"/>
        <w:gridCol w:w="1295"/>
      </w:tblGrid>
      <w:tr w:rsidR="00F15CCC" w:rsidRPr="00520AE1" w:rsidTr="0064724E">
        <w:trPr>
          <w:trHeight w:val="438"/>
        </w:trPr>
        <w:tc>
          <w:tcPr>
            <w:tcW w:w="3510" w:type="dxa"/>
            <w:shd w:val="solid" w:color="000080" w:fill="auto"/>
          </w:tcPr>
          <w:p w:rsidR="00F15CCC" w:rsidRPr="00520AE1" w:rsidRDefault="00F15CCC" w:rsidP="00AD6436">
            <w:pPr>
              <w:autoSpaceDE w:val="0"/>
              <w:autoSpaceDN w:val="0"/>
              <w:adjustRightInd w:val="0"/>
              <w:spacing w:line="240" w:lineRule="auto"/>
              <w:jc w:val="left"/>
              <w:rPr>
                <w:rFonts w:cs="Century Gothic"/>
                <w:b/>
                <w:bCs/>
                <w:color w:val="FFFFFF"/>
                <w:sz w:val="22"/>
                <w:szCs w:val="22"/>
              </w:rPr>
            </w:pPr>
            <w:r w:rsidRPr="00520AE1">
              <w:rPr>
                <w:rFonts w:cs="Century Gothic"/>
                <w:b/>
                <w:bCs/>
                <w:color w:val="FFFFFF"/>
                <w:sz w:val="22"/>
                <w:szCs w:val="22"/>
              </w:rPr>
              <w:t>Particulars</w:t>
            </w:r>
          </w:p>
          <w:p w:rsidR="00F15CCC" w:rsidRPr="00520AE1" w:rsidRDefault="00F15CCC" w:rsidP="00AD6436">
            <w:pPr>
              <w:autoSpaceDE w:val="0"/>
              <w:autoSpaceDN w:val="0"/>
              <w:adjustRightInd w:val="0"/>
              <w:spacing w:line="240" w:lineRule="auto"/>
              <w:jc w:val="left"/>
              <w:rPr>
                <w:rFonts w:cs="Century Gothic"/>
                <w:b/>
                <w:bCs/>
                <w:color w:val="FFFFFF"/>
                <w:sz w:val="22"/>
                <w:szCs w:val="22"/>
              </w:rPr>
            </w:pPr>
            <w:r w:rsidRPr="00520AE1">
              <w:rPr>
                <w:rFonts w:cs="Century Gothic"/>
                <w:b/>
                <w:bCs/>
                <w:color w:val="FFFFFF"/>
                <w:sz w:val="22"/>
                <w:szCs w:val="22"/>
              </w:rPr>
              <w:t>(Rs Cr.)</w:t>
            </w:r>
          </w:p>
        </w:tc>
        <w:tc>
          <w:tcPr>
            <w:tcW w:w="1324" w:type="dxa"/>
            <w:shd w:val="solid" w:color="000080" w:fill="auto"/>
            <w:vAlign w:val="center"/>
          </w:tcPr>
          <w:p w:rsidR="00F15CCC" w:rsidRPr="00520AE1" w:rsidRDefault="00F15CCC" w:rsidP="0038645A">
            <w:pPr>
              <w:autoSpaceDE w:val="0"/>
              <w:autoSpaceDN w:val="0"/>
              <w:adjustRightInd w:val="0"/>
              <w:spacing w:line="240" w:lineRule="auto"/>
              <w:ind w:left="-33" w:right="-108"/>
              <w:jc w:val="center"/>
              <w:rPr>
                <w:rFonts w:cs="Century Gothic"/>
                <w:b/>
                <w:bCs/>
                <w:color w:val="FFFFFF"/>
                <w:sz w:val="22"/>
                <w:szCs w:val="22"/>
              </w:rPr>
            </w:pPr>
            <w:r w:rsidRPr="00520AE1">
              <w:rPr>
                <w:rFonts w:cs="Century Gothic"/>
                <w:b/>
                <w:bCs/>
                <w:color w:val="FFFFFF"/>
                <w:sz w:val="22"/>
                <w:szCs w:val="22"/>
              </w:rPr>
              <w:t>12-13</w:t>
            </w:r>
          </w:p>
        </w:tc>
        <w:tc>
          <w:tcPr>
            <w:tcW w:w="1120" w:type="dxa"/>
            <w:shd w:val="solid" w:color="000080" w:fill="auto"/>
            <w:vAlign w:val="center"/>
          </w:tcPr>
          <w:p w:rsidR="00F15CCC" w:rsidRPr="00520AE1" w:rsidRDefault="00F15CCC" w:rsidP="0038645A">
            <w:pPr>
              <w:autoSpaceDE w:val="0"/>
              <w:autoSpaceDN w:val="0"/>
              <w:adjustRightInd w:val="0"/>
              <w:spacing w:line="240" w:lineRule="auto"/>
              <w:ind w:left="-33" w:right="-108"/>
              <w:jc w:val="center"/>
              <w:rPr>
                <w:rFonts w:cs="Century Gothic"/>
                <w:b/>
                <w:bCs/>
                <w:color w:val="FFFFFF"/>
                <w:sz w:val="22"/>
                <w:szCs w:val="22"/>
              </w:rPr>
            </w:pPr>
            <w:r w:rsidRPr="00520AE1">
              <w:rPr>
                <w:rFonts w:cs="Century Gothic"/>
                <w:b/>
                <w:bCs/>
                <w:color w:val="FFFFFF"/>
                <w:sz w:val="22"/>
                <w:szCs w:val="22"/>
              </w:rPr>
              <w:t>13-14</w:t>
            </w:r>
          </w:p>
        </w:tc>
        <w:tc>
          <w:tcPr>
            <w:tcW w:w="1121" w:type="dxa"/>
            <w:shd w:val="solid" w:color="000080" w:fill="auto"/>
            <w:vAlign w:val="center"/>
          </w:tcPr>
          <w:p w:rsidR="00F15CCC" w:rsidRPr="00520AE1" w:rsidRDefault="00F15CCC" w:rsidP="0038645A">
            <w:pPr>
              <w:autoSpaceDE w:val="0"/>
              <w:autoSpaceDN w:val="0"/>
              <w:adjustRightInd w:val="0"/>
              <w:spacing w:line="240" w:lineRule="auto"/>
              <w:ind w:left="-33" w:right="-108" w:hanging="108"/>
              <w:jc w:val="center"/>
              <w:rPr>
                <w:rFonts w:cs="Century Gothic"/>
                <w:b/>
                <w:bCs/>
                <w:color w:val="FFFFFF"/>
                <w:sz w:val="22"/>
                <w:szCs w:val="22"/>
              </w:rPr>
            </w:pPr>
            <w:r w:rsidRPr="00520AE1">
              <w:rPr>
                <w:rFonts w:cs="Century Gothic"/>
                <w:b/>
                <w:bCs/>
                <w:color w:val="FFFFFF"/>
                <w:sz w:val="22"/>
                <w:szCs w:val="22"/>
              </w:rPr>
              <w:t>14-15</w:t>
            </w:r>
          </w:p>
        </w:tc>
        <w:tc>
          <w:tcPr>
            <w:tcW w:w="1295" w:type="dxa"/>
            <w:shd w:val="solid" w:color="000080" w:fill="auto"/>
            <w:vAlign w:val="center"/>
          </w:tcPr>
          <w:p w:rsidR="00F15CCC" w:rsidRPr="00520AE1" w:rsidRDefault="0064724E" w:rsidP="003E27C3">
            <w:pPr>
              <w:autoSpaceDE w:val="0"/>
              <w:autoSpaceDN w:val="0"/>
              <w:adjustRightInd w:val="0"/>
              <w:spacing w:line="240" w:lineRule="auto"/>
              <w:ind w:left="-33" w:right="-108"/>
              <w:jc w:val="center"/>
              <w:rPr>
                <w:rFonts w:cs="Century Gothic"/>
                <w:b/>
                <w:bCs/>
                <w:color w:val="FFFFFF"/>
                <w:sz w:val="22"/>
                <w:szCs w:val="22"/>
              </w:rPr>
            </w:pPr>
            <w:r>
              <w:rPr>
                <w:b/>
                <w:bCs/>
                <w:sz w:val="22"/>
                <w:szCs w:val="22"/>
              </w:rPr>
              <w:t>15-16 (Estimated)</w:t>
            </w:r>
          </w:p>
        </w:tc>
      </w:tr>
      <w:tr w:rsidR="00C46EF9" w:rsidRPr="00520AE1" w:rsidTr="0064724E">
        <w:trPr>
          <w:trHeight w:val="438"/>
        </w:trPr>
        <w:tc>
          <w:tcPr>
            <w:tcW w:w="3510" w:type="dxa"/>
            <w:vAlign w:val="center"/>
          </w:tcPr>
          <w:p w:rsidR="00C46EF9" w:rsidRPr="00520AE1" w:rsidRDefault="00C46EF9" w:rsidP="00AD6436">
            <w:pPr>
              <w:autoSpaceDE w:val="0"/>
              <w:autoSpaceDN w:val="0"/>
              <w:adjustRightInd w:val="0"/>
              <w:spacing w:line="240" w:lineRule="auto"/>
              <w:jc w:val="left"/>
              <w:rPr>
                <w:rFonts w:cs="Century Gothic"/>
                <w:color w:val="000000"/>
                <w:sz w:val="22"/>
                <w:szCs w:val="22"/>
              </w:rPr>
            </w:pPr>
            <w:r w:rsidRPr="00520AE1">
              <w:rPr>
                <w:rFonts w:cs="Century Gothic"/>
                <w:color w:val="000000"/>
                <w:sz w:val="22"/>
                <w:szCs w:val="22"/>
              </w:rPr>
              <w:t>Cost of Fuel for 1 month</w:t>
            </w:r>
          </w:p>
        </w:tc>
        <w:tc>
          <w:tcPr>
            <w:tcW w:w="1324" w:type="dxa"/>
            <w:vAlign w:val="center"/>
          </w:tcPr>
          <w:p w:rsidR="00C46EF9" w:rsidRDefault="00C46EF9" w:rsidP="0064724E">
            <w:pPr>
              <w:jc w:val="center"/>
              <w:rPr>
                <w:rFonts w:ascii="Arial" w:hAnsi="Arial" w:cs="Arial"/>
                <w:sz w:val="20"/>
                <w:szCs w:val="20"/>
              </w:rPr>
            </w:pPr>
            <w:r>
              <w:rPr>
                <w:rFonts w:ascii="Arial" w:hAnsi="Arial" w:cs="Arial"/>
                <w:sz w:val="20"/>
                <w:szCs w:val="20"/>
              </w:rPr>
              <w:t>55.28</w:t>
            </w:r>
          </w:p>
        </w:tc>
        <w:tc>
          <w:tcPr>
            <w:tcW w:w="1120" w:type="dxa"/>
            <w:vAlign w:val="center"/>
          </w:tcPr>
          <w:p w:rsidR="00C46EF9" w:rsidRDefault="00C46EF9" w:rsidP="0064724E">
            <w:pPr>
              <w:jc w:val="center"/>
              <w:rPr>
                <w:rFonts w:ascii="Arial" w:hAnsi="Arial" w:cs="Arial"/>
                <w:sz w:val="20"/>
                <w:szCs w:val="20"/>
              </w:rPr>
            </w:pPr>
            <w:r>
              <w:rPr>
                <w:rFonts w:ascii="Arial" w:hAnsi="Arial" w:cs="Arial"/>
                <w:sz w:val="20"/>
                <w:szCs w:val="20"/>
              </w:rPr>
              <w:t>64.82</w:t>
            </w:r>
          </w:p>
        </w:tc>
        <w:tc>
          <w:tcPr>
            <w:tcW w:w="1121" w:type="dxa"/>
            <w:vAlign w:val="center"/>
          </w:tcPr>
          <w:p w:rsidR="00C46EF9" w:rsidRDefault="00C46EF9" w:rsidP="0064724E">
            <w:pPr>
              <w:jc w:val="center"/>
              <w:rPr>
                <w:rFonts w:ascii="Arial" w:hAnsi="Arial" w:cs="Arial"/>
                <w:sz w:val="20"/>
                <w:szCs w:val="20"/>
              </w:rPr>
            </w:pPr>
            <w:r>
              <w:rPr>
                <w:rFonts w:ascii="Arial" w:hAnsi="Arial" w:cs="Arial"/>
                <w:sz w:val="20"/>
                <w:szCs w:val="20"/>
              </w:rPr>
              <w:t>86.66</w:t>
            </w:r>
          </w:p>
        </w:tc>
        <w:tc>
          <w:tcPr>
            <w:tcW w:w="1295" w:type="dxa"/>
            <w:vAlign w:val="center"/>
          </w:tcPr>
          <w:p w:rsidR="00C46EF9" w:rsidRDefault="00C46EF9" w:rsidP="0064724E">
            <w:pPr>
              <w:jc w:val="center"/>
              <w:rPr>
                <w:rFonts w:ascii="Arial" w:hAnsi="Arial" w:cs="Arial"/>
                <w:sz w:val="20"/>
                <w:szCs w:val="20"/>
              </w:rPr>
            </w:pPr>
            <w:r>
              <w:rPr>
                <w:rFonts w:ascii="Arial" w:hAnsi="Arial" w:cs="Arial"/>
                <w:sz w:val="20"/>
                <w:szCs w:val="20"/>
              </w:rPr>
              <w:t>86.90</w:t>
            </w:r>
          </w:p>
        </w:tc>
      </w:tr>
      <w:tr w:rsidR="00C46EF9" w:rsidRPr="00520AE1" w:rsidTr="0064724E">
        <w:trPr>
          <w:trHeight w:val="438"/>
        </w:trPr>
        <w:tc>
          <w:tcPr>
            <w:tcW w:w="3510" w:type="dxa"/>
            <w:vAlign w:val="center"/>
          </w:tcPr>
          <w:p w:rsidR="00C46EF9" w:rsidRPr="00520AE1" w:rsidRDefault="00C46EF9" w:rsidP="00AD6436">
            <w:pPr>
              <w:autoSpaceDE w:val="0"/>
              <w:autoSpaceDN w:val="0"/>
              <w:adjustRightInd w:val="0"/>
              <w:spacing w:line="240" w:lineRule="auto"/>
              <w:jc w:val="left"/>
              <w:rPr>
                <w:rFonts w:cs="Century Gothic"/>
                <w:color w:val="000000"/>
                <w:sz w:val="22"/>
                <w:szCs w:val="22"/>
              </w:rPr>
            </w:pPr>
            <w:r w:rsidRPr="00520AE1">
              <w:rPr>
                <w:rFonts w:cs="Century Gothic"/>
                <w:color w:val="000000"/>
                <w:sz w:val="22"/>
                <w:szCs w:val="22"/>
              </w:rPr>
              <w:t>O&amp;M expenses for 1 month</w:t>
            </w:r>
          </w:p>
        </w:tc>
        <w:tc>
          <w:tcPr>
            <w:tcW w:w="1324" w:type="dxa"/>
            <w:shd w:val="solid" w:color="FFFFFF" w:fill="auto"/>
            <w:vAlign w:val="center"/>
          </w:tcPr>
          <w:p w:rsidR="00C46EF9" w:rsidRDefault="00C46EF9" w:rsidP="0064724E">
            <w:pPr>
              <w:jc w:val="center"/>
              <w:rPr>
                <w:rFonts w:ascii="Arial" w:hAnsi="Arial" w:cs="Arial"/>
                <w:sz w:val="20"/>
                <w:szCs w:val="20"/>
              </w:rPr>
            </w:pPr>
            <w:r>
              <w:rPr>
                <w:rFonts w:ascii="Arial" w:hAnsi="Arial" w:cs="Arial"/>
                <w:sz w:val="20"/>
                <w:szCs w:val="20"/>
              </w:rPr>
              <w:t>6.31</w:t>
            </w:r>
          </w:p>
        </w:tc>
        <w:tc>
          <w:tcPr>
            <w:tcW w:w="1120" w:type="dxa"/>
            <w:shd w:val="solid" w:color="FFFFFF" w:fill="auto"/>
            <w:vAlign w:val="center"/>
          </w:tcPr>
          <w:p w:rsidR="00C46EF9" w:rsidRDefault="00C46EF9" w:rsidP="0064724E">
            <w:pPr>
              <w:jc w:val="center"/>
              <w:rPr>
                <w:rFonts w:ascii="Arial" w:hAnsi="Arial" w:cs="Arial"/>
                <w:sz w:val="20"/>
                <w:szCs w:val="20"/>
              </w:rPr>
            </w:pPr>
            <w:r>
              <w:rPr>
                <w:rFonts w:ascii="Arial" w:hAnsi="Arial" w:cs="Arial"/>
                <w:sz w:val="20"/>
                <w:szCs w:val="20"/>
              </w:rPr>
              <w:t>4.59</w:t>
            </w:r>
          </w:p>
        </w:tc>
        <w:tc>
          <w:tcPr>
            <w:tcW w:w="1121" w:type="dxa"/>
            <w:shd w:val="solid" w:color="FFFFFF" w:fill="auto"/>
            <w:vAlign w:val="center"/>
          </w:tcPr>
          <w:p w:rsidR="00C46EF9" w:rsidRDefault="00C46EF9" w:rsidP="0064724E">
            <w:pPr>
              <w:jc w:val="center"/>
              <w:rPr>
                <w:rFonts w:ascii="Arial" w:hAnsi="Arial" w:cs="Arial"/>
                <w:sz w:val="20"/>
                <w:szCs w:val="20"/>
              </w:rPr>
            </w:pPr>
            <w:r>
              <w:rPr>
                <w:rFonts w:ascii="Arial" w:hAnsi="Arial" w:cs="Arial"/>
                <w:sz w:val="20"/>
                <w:szCs w:val="20"/>
              </w:rPr>
              <w:t>7.83</w:t>
            </w:r>
          </w:p>
        </w:tc>
        <w:tc>
          <w:tcPr>
            <w:tcW w:w="1295" w:type="dxa"/>
            <w:shd w:val="solid" w:color="FFFFFF" w:fill="auto"/>
            <w:vAlign w:val="center"/>
          </w:tcPr>
          <w:p w:rsidR="00C46EF9" w:rsidRDefault="00C46EF9" w:rsidP="0064724E">
            <w:pPr>
              <w:jc w:val="center"/>
              <w:rPr>
                <w:rFonts w:ascii="Arial" w:hAnsi="Arial" w:cs="Arial"/>
                <w:sz w:val="20"/>
                <w:szCs w:val="20"/>
              </w:rPr>
            </w:pPr>
            <w:r>
              <w:rPr>
                <w:rFonts w:ascii="Arial" w:hAnsi="Arial" w:cs="Arial"/>
                <w:sz w:val="20"/>
                <w:szCs w:val="20"/>
              </w:rPr>
              <w:t>8.91</w:t>
            </w:r>
          </w:p>
        </w:tc>
      </w:tr>
      <w:tr w:rsidR="00C46EF9" w:rsidRPr="00520AE1" w:rsidTr="0064724E">
        <w:trPr>
          <w:trHeight w:val="438"/>
        </w:trPr>
        <w:tc>
          <w:tcPr>
            <w:tcW w:w="3510" w:type="dxa"/>
            <w:vAlign w:val="center"/>
          </w:tcPr>
          <w:p w:rsidR="00C46EF9" w:rsidRDefault="00C46EF9" w:rsidP="00AD6436">
            <w:pPr>
              <w:autoSpaceDE w:val="0"/>
              <w:autoSpaceDN w:val="0"/>
              <w:adjustRightInd w:val="0"/>
              <w:spacing w:line="240" w:lineRule="auto"/>
              <w:jc w:val="left"/>
              <w:rPr>
                <w:rFonts w:cs="Century Gothic"/>
                <w:color w:val="000000"/>
                <w:sz w:val="22"/>
                <w:szCs w:val="22"/>
              </w:rPr>
            </w:pPr>
            <w:r w:rsidRPr="00520AE1">
              <w:rPr>
                <w:rFonts w:cs="Century Gothic"/>
                <w:color w:val="000000"/>
                <w:sz w:val="22"/>
                <w:szCs w:val="22"/>
              </w:rPr>
              <w:t>Receivables equivalent to</w:t>
            </w:r>
          </w:p>
          <w:p w:rsidR="00C46EF9" w:rsidRPr="00520AE1" w:rsidRDefault="00C46EF9" w:rsidP="00AD6436">
            <w:pPr>
              <w:autoSpaceDE w:val="0"/>
              <w:autoSpaceDN w:val="0"/>
              <w:adjustRightInd w:val="0"/>
              <w:spacing w:line="240" w:lineRule="auto"/>
              <w:jc w:val="left"/>
              <w:rPr>
                <w:rFonts w:cs="Century Gothic"/>
                <w:color w:val="000000"/>
                <w:sz w:val="22"/>
                <w:szCs w:val="22"/>
              </w:rPr>
            </w:pPr>
            <w:r w:rsidRPr="00520AE1">
              <w:rPr>
                <w:rFonts w:cs="Century Gothic"/>
                <w:color w:val="000000"/>
                <w:sz w:val="22"/>
                <w:szCs w:val="22"/>
              </w:rPr>
              <w:t xml:space="preserve">2 months average billing </w:t>
            </w:r>
          </w:p>
        </w:tc>
        <w:tc>
          <w:tcPr>
            <w:tcW w:w="1324" w:type="dxa"/>
            <w:vAlign w:val="center"/>
          </w:tcPr>
          <w:p w:rsidR="00C46EF9" w:rsidRDefault="00C46EF9" w:rsidP="0064724E">
            <w:pPr>
              <w:jc w:val="center"/>
              <w:rPr>
                <w:rFonts w:ascii="Arial" w:hAnsi="Arial" w:cs="Arial"/>
                <w:sz w:val="20"/>
                <w:szCs w:val="20"/>
              </w:rPr>
            </w:pPr>
            <w:r>
              <w:rPr>
                <w:rFonts w:ascii="Arial" w:hAnsi="Arial" w:cs="Arial"/>
                <w:sz w:val="20"/>
                <w:szCs w:val="20"/>
              </w:rPr>
              <w:t>150.69</w:t>
            </w:r>
          </w:p>
        </w:tc>
        <w:tc>
          <w:tcPr>
            <w:tcW w:w="1120" w:type="dxa"/>
            <w:vAlign w:val="center"/>
          </w:tcPr>
          <w:p w:rsidR="00C46EF9" w:rsidRDefault="00C46EF9" w:rsidP="0064724E">
            <w:pPr>
              <w:jc w:val="center"/>
              <w:rPr>
                <w:rFonts w:ascii="Arial" w:hAnsi="Arial" w:cs="Arial"/>
                <w:sz w:val="20"/>
                <w:szCs w:val="20"/>
              </w:rPr>
            </w:pPr>
            <w:r>
              <w:rPr>
                <w:rFonts w:ascii="Arial" w:hAnsi="Arial" w:cs="Arial"/>
                <w:sz w:val="20"/>
                <w:szCs w:val="20"/>
              </w:rPr>
              <w:t>165.85</w:t>
            </w:r>
          </w:p>
        </w:tc>
        <w:tc>
          <w:tcPr>
            <w:tcW w:w="1121" w:type="dxa"/>
            <w:vAlign w:val="center"/>
          </w:tcPr>
          <w:p w:rsidR="00C46EF9" w:rsidRDefault="00C46EF9" w:rsidP="0064724E">
            <w:pPr>
              <w:jc w:val="center"/>
              <w:rPr>
                <w:rFonts w:ascii="Arial" w:hAnsi="Arial" w:cs="Arial"/>
                <w:sz w:val="20"/>
                <w:szCs w:val="20"/>
              </w:rPr>
            </w:pPr>
            <w:r>
              <w:rPr>
                <w:rFonts w:ascii="Arial" w:hAnsi="Arial" w:cs="Arial"/>
                <w:sz w:val="20"/>
                <w:szCs w:val="20"/>
              </w:rPr>
              <w:t>217.55</w:t>
            </w:r>
          </w:p>
        </w:tc>
        <w:tc>
          <w:tcPr>
            <w:tcW w:w="1295" w:type="dxa"/>
            <w:vAlign w:val="center"/>
          </w:tcPr>
          <w:p w:rsidR="00C46EF9" w:rsidRDefault="00C46EF9" w:rsidP="0064724E">
            <w:pPr>
              <w:jc w:val="center"/>
              <w:rPr>
                <w:rFonts w:ascii="Arial" w:hAnsi="Arial" w:cs="Arial"/>
                <w:sz w:val="20"/>
                <w:szCs w:val="20"/>
              </w:rPr>
            </w:pPr>
            <w:r>
              <w:rPr>
                <w:rFonts w:ascii="Arial" w:hAnsi="Arial" w:cs="Arial"/>
                <w:sz w:val="20"/>
                <w:szCs w:val="20"/>
              </w:rPr>
              <w:t>213.60</w:t>
            </w:r>
          </w:p>
        </w:tc>
      </w:tr>
      <w:tr w:rsidR="00C46EF9" w:rsidRPr="00520AE1" w:rsidTr="0064724E">
        <w:trPr>
          <w:trHeight w:val="438"/>
        </w:trPr>
        <w:tc>
          <w:tcPr>
            <w:tcW w:w="3510" w:type="dxa"/>
            <w:vAlign w:val="center"/>
          </w:tcPr>
          <w:p w:rsidR="00C46EF9" w:rsidRPr="00520AE1" w:rsidRDefault="00C46EF9" w:rsidP="00AD6436">
            <w:pPr>
              <w:autoSpaceDE w:val="0"/>
              <w:autoSpaceDN w:val="0"/>
              <w:adjustRightInd w:val="0"/>
              <w:spacing w:line="240" w:lineRule="auto"/>
              <w:jc w:val="left"/>
              <w:rPr>
                <w:rFonts w:cs="Century Gothic"/>
                <w:color w:val="000000"/>
                <w:sz w:val="22"/>
                <w:szCs w:val="22"/>
              </w:rPr>
            </w:pPr>
            <w:r w:rsidRPr="00520AE1">
              <w:rPr>
                <w:rFonts w:cs="Century Gothic"/>
                <w:color w:val="000000"/>
                <w:sz w:val="22"/>
                <w:szCs w:val="22"/>
              </w:rPr>
              <w:t xml:space="preserve">Maintenance Spares </w:t>
            </w:r>
          </w:p>
        </w:tc>
        <w:tc>
          <w:tcPr>
            <w:tcW w:w="1324" w:type="dxa"/>
            <w:vAlign w:val="center"/>
          </w:tcPr>
          <w:p w:rsidR="00C46EF9" w:rsidRDefault="00C46EF9" w:rsidP="0064724E">
            <w:pPr>
              <w:jc w:val="center"/>
              <w:rPr>
                <w:rFonts w:ascii="Arial" w:hAnsi="Arial" w:cs="Arial"/>
                <w:sz w:val="20"/>
                <w:szCs w:val="20"/>
              </w:rPr>
            </w:pPr>
            <w:r>
              <w:rPr>
                <w:rFonts w:ascii="Arial" w:hAnsi="Arial" w:cs="Arial"/>
                <w:sz w:val="20"/>
                <w:szCs w:val="20"/>
              </w:rPr>
              <w:t>22.72</w:t>
            </w:r>
          </w:p>
        </w:tc>
        <w:tc>
          <w:tcPr>
            <w:tcW w:w="1120" w:type="dxa"/>
            <w:vAlign w:val="center"/>
          </w:tcPr>
          <w:p w:rsidR="00C46EF9" w:rsidRDefault="00C46EF9" w:rsidP="0064724E">
            <w:pPr>
              <w:jc w:val="center"/>
              <w:rPr>
                <w:rFonts w:ascii="Arial" w:hAnsi="Arial" w:cs="Arial"/>
                <w:sz w:val="20"/>
                <w:szCs w:val="20"/>
              </w:rPr>
            </w:pPr>
            <w:r>
              <w:rPr>
                <w:rFonts w:ascii="Arial" w:hAnsi="Arial" w:cs="Arial"/>
                <w:sz w:val="20"/>
                <w:szCs w:val="20"/>
              </w:rPr>
              <w:t>16.51</w:t>
            </w:r>
          </w:p>
        </w:tc>
        <w:tc>
          <w:tcPr>
            <w:tcW w:w="1121" w:type="dxa"/>
            <w:vAlign w:val="center"/>
          </w:tcPr>
          <w:p w:rsidR="00C46EF9" w:rsidRDefault="00C46EF9" w:rsidP="0064724E">
            <w:pPr>
              <w:jc w:val="center"/>
              <w:rPr>
                <w:rFonts w:ascii="Arial" w:hAnsi="Arial" w:cs="Arial"/>
                <w:sz w:val="20"/>
                <w:szCs w:val="20"/>
              </w:rPr>
            </w:pPr>
            <w:r>
              <w:rPr>
                <w:rFonts w:ascii="Arial" w:hAnsi="Arial" w:cs="Arial"/>
                <w:sz w:val="20"/>
                <w:szCs w:val="20"/>
              </w:rPr>
              <w:t>28.19</w:t>
            </w:r>
          </w:p>
        </w:tc>
        <w:tc>
          <w:tcPr>
            <w:tcW w:w="1295" w:type="dxa"/>
            <w:vAlign w:val="center"/>
          </w:tcPr>
          <w:p w:rsidR="00C46EF9" w:rsidRDefault="00C46EF9" w:rsidP="0064724E">
            <w:pPr>
              <w:jc w:val="center"/>
              <w:rPr>
                <w:rFonts w:ascii="Arial" w:hAnsi="Arial" w:cs="Arial"/>
                <w:sz w:val="20"/>
                <w:szCs w:val="20"/>
              </w:rPr>
            </w:pPr>
            <w:r>
              <w:rPr>
                <w:rFonts w:ascii="Arial" w:hAnsi="Arial" w:cs="Arial"/>
                <w:sz w:val="20"/>
                <w:szCs w:val="20"/>
              </w:rPr>
              <w:t>32.07</w:t>
            </w:r>
          </w:p>
        </w:tc>
      </w:tr>
      <w:tr w:rsidR="00C46EF9" w:rsidRPr="00520AE1" w:rsidTr="0064724E">
        <w:trPr>
          <w:trHeight w:val="738"/>
        </w:trPr>
        <w:tc>
          <w:tcPr>
            <w:tcW w:w="3510" w:type="dxa"/>
            <w:vAlign w:val="center"/>
          </w:tcPr>
          <w:p w:rsidR="00C46EF9" w:rsidRPr="00520AE1" w:rsidRDefault="00C46EF9" w:rsidP="00AD6436">
            <w:pPr>
              <w:autoSpaceDE w:val="0"/>
              <w:autoSpaceDN w:val="0"/>
              <w:adjustRightInd w:val="0"/>
              <w:spacing w:line="240" w:lineRule="auto"/>
              <w:jc w:val="left"/>
              <w:rPr>
                <w:rFonts w:cs="Century Gothic"/>
                <w:b/>
                <w:bCs/>
                <w:color w:val="000000"/>
                <w:sz w:val="22"/>
                <w:szCs w:val="22"/>
              </w:rPr>
            </w:pPr>
            <w:r w:rsidRPr="00520AE1">
              <w:rPr>
                <w:rFonts w:cs="Century Gothic"/>
                <w:b/>
                <w:bCs/>
                <w:color w:val="000000"/>
                <w:sz w:val="22"/>
                <w:szCs w:val="22"/>
              </w:rPr>
              <w:t>Total Working Capital</w:t>
            </w:r>
          </w:p>
        </w:tc>
        <w:tc>
          <w:tcPr>
            <w:tcW w:w="1324" w:type="dxa"/>
            <w:vAlign w:val="center"/>
          </w:tcPr>
          <w:p w:rsidR="00C46EF9" w:rsidRDefault="00C46EF9" w:rsidP="0064724E">
            <w:pPr>
              <w:jc w:val="center"/>
              <w:rPr>
                <w:rFonts w:ascii="Arial" w:hAnsi="Arial" w:cs="Arial"/>
                <w:b/>
                <w:bCs/>
                <w:sz w:val="20"/>
                <w:szCs w:val="20"/>
              </w:rPr>
            </w:pPr>
            <w:r>
              <w:rPr>
                <w:rFonts w:ascii="Arial" w:hAnsi="Arial" w:cs="Arial"/>
                <w:b/>
                <w:bCs/>
                <w:sz w:val="20"/>
                <w:szCs w:val="20"/>
              </w:rPr>
              <w:t>235.01</w:t>
            </w:r>
          </w:p>
        </w:tc>
        <w:tc>
          <w:tcPr>
            <w:tcW w:w="1120" w:type="dxa"/>
            <w:vAlign w:val="center"/>
          </w:tcPr>
          <w:p w:rsidR="00C46EF9" w:rsidRDefault="00C46EF9" w:rsidP="0064724E">
            <w:pPr>
              <w:jc w:val="center"/>
              <w:rPr>
                <w:rFonts w:ascii="Arial" w:hAnsi="Arial" w:cs="Arial"/>
                <w:b/>
                <w:bCs/>
                <w:sz w:val="20"/>
                <w:szCs w:val="20"/>
              </w:rPr>
            </w:pPr>
            <w:r>
              <w:rPr>
                <w:rFonts w:ascii="Arial" w:hAnsi="Arial" w:cs="Arial"/>
                <w:b/>
                <w:bCs/>
                <w:sz w:val="20"/>
                <w:szCs w:val="20"/>
              </w:rPr>
              <w:t>251.76</w:t>
            </w:r>
          </w:p>
        </w:tc>
        <w:tc>
          <w:tcPr>
            <w:tcW w:w="1121" w:type="dxa"/>
            <w:vAlign w:val="center"/>
          </w:tcPr>
          <w:p w:rsidR="00C46EF9" w:rsidRDefault="00C46EF9" w:rsidP="0064724E">
            <w:pPr>
              <w:jc w:val="center"/>
              <w:rPr>
                <w:rFonts w:ascii="Arial" w:hAnsi="Arial" w:cs="Arial"/>
                <w:b/>
                <w:bCs/>
                <w:sz w:val="20"/>
                <w:szCs w:val="20"/>
              </w:rPr>
            </w:pPr>
            <w:r>
              <w:rPr>
                <w:rFonts w:ascii="Arial" w:hAnsi="Arial" w:cs="Arial"/>
                <w:b/>
                <w:bCs/>
                <w:sz w:val="20"/>
                <w:szCs w:val="20"/>
              </w:rPr>
              <w:t>340.24</w:t>
            </w:r>
          </w:p>
        </w:tc>
        <w:tc>
          <w:tcPr>
            <w:tcW w:w="1295" w:type="dxa"/>
            <w:vAlign w:val="center"/>
          </w:tcPr>
          <w:p w:rsidR="00C46EF9" w:rsidRDefault="00C46EF9" w:rsidP="0064724E">
            <w:pPr>
              <w:jc w:val="center"/>
              <w:rPr>
                <w:rFonts w:ascii="Arial" w:hAnsi="Arial" w:cs="Arial"/>
                <w:b/>
                <w:bCs/>
                <w:sz w:val="20"/>
                <w:szCs w:val="20"/>
              </w:rPr>
            </w:pPr>
            <w:r>
              <w:rPr>
                <w:rFonts w:ascii="Arial" w:hAnsi="Arial" w:cs="Arial"/>
                <w:b/>
                <w:bCs/>
                <w:sz w:val="20"/>
                <w:szCs w:val="20"/>
              </w:rPr>
              <w:t>341.49</w:t>
            </w:r>
          </w:p>
        </w:tc>
      </w:tr>
    </w:tbl>
    <w:p w:rsidR="008B1EA8" w:rsidRDefault="008B1EA8">
      <w:pPr>
        <w:pStyle w:val="Default"/>
        <w:spacing w:line="360" w:lineRule="auto"/>
        <w:ind w:left="900" w:hanging="360"/>
        <w:jc w:val="both"/>
        <w:rPr>
          <w:rFonts w:ascii="Century Gothic" w:hAnsi="Century Gothic"/>
          <w:color w:val="auto"/>
          <w:sz w:val="22"/>
          <w:szCs w:val="22"/>
        </w:rPr>
      </w:pPr>
    </w:p>
    <w:p w:rsidR="005C1FEB" w:rsidRPr="005C1FEB" w:rsidRDefault="00D43915" w:rsidP="00D43915">
      <w:pPr>
        <w:pStyle w:val="Default"/>
        <w:numPr>
          <w:ilvl w:val="0"/>
          <w:numId w:val="19"/>
        </w:numPr>
        <w:spacing w:line="360" w:lineRule="auto"/>
        <w:jc w:val="both"/>
        <w:rPr>
          <w:rFonts w:ascii="Century Gothic" w:hAnsi="Century Gothic"/>
          <w:color w:val="auto"/>
          <w:sz w:val="12"/>
          <w:szCs w:val="22"/>
        </w:rPr>
      </w:pPr>
      <w:r>
        <w:rPr>
          <w:rFonts w:ascii="Century Gothic" w:hAnsi="Century Gothic"/>
          <w:color w:val="auto"/>
          <w:sz w:val="22"/>
          <w:szCs w:val="22"/>
        </w:rPr>
        <w:t xml:space="preserve">The rate of Interest for FY 2012-13 to FY 2014-15 has been computed in line with the Generation Tariff Regulations, 2011. The base Rate of State Bank of India is 10% w.e.f 07.11.2013. </w:t>
      </w:r>
      <w:r w:rsidRPr="00CE6815">
        <w:rPr>
          <w:rFonts w:ascii="Century Gothic" w:hAnsi="Century Gothic"/>
          <w:color w:val="auto"/>
          <w:sz w:val="22"/>
          <w:szCs w:val="22"/>
        </w:rPr>
        <w:t>The rate of Interest for FY 2012-13 to FY 2014-15 is computed as 13.5% by additionally allowing 350 basis points on base rate of SBI.</w:t>
      </w:r>
      <w:r w:rsidRPr="006B1AB0">
        <w:rPr>
          <w:rFonts w:ascii="Century Gothic" w:hAnsi="Century Gothic"/>
          <w:color w:val="FF0000"/>
          <w:sz w:val="22"/>
          <w:szCs w:val="22"/>
        </w:rPr>
        <w:t xml:space="preserve">  </w:t>
      </w:r>
      <w:r w:rsidRPr="00D6786E">
        <w:rPr>
          <w:rFonts w:ascii="Century Gothic" w:hAnsi="Century Gothic"/>
          <w:color w:val="auto"/>
          <w:sz w:val="22"/>
          <w:szCs w:val="22"/>
        </w:rPr>
        <w:t>The interest on working capital during the Control period from FY 201</w:t>
      </w:r>
      <w:r>
        <w:rPr>
          <w:rFonts w:ascii="Century Gothic" w:hAnsi="Century Gothic"/>
          <w:color w:val="auto"/>
          <w:sz w:val="22"/>
          <w:szCs w:val="22"/>
        </w:rPr>
        <w:t>2-13 to FY 2014-15  and extended period 2015-16 is summarized as under</w:t>
      </w:r>
    </w:p>
    <w:p w:rsidR="001D3E82" w:rsidRPr="00D6786E" w:rsidRDefault="001D3E82" w:rsidP="001D3E82">
      <w:pPr>
        <w:pStyle w:val="Default"/>
        <w:numPr>
          <w:ilvl w:val="0"/>
          <w:numId w:val="19"/>
        </w:numPr>
        <w:spacing w:line="360" w:lineRule="auto"/>
        <w:jc w:val="both"/>
        <w:rPr>
          <w:rFonts w:ascii="Century Gothic" w:hAnsi="Century Gothic"/>
          <w:color w:val="auto"/>
          <w:sz w:val="22"/>
          <w:szCs w:val="22"/>
        </w:rPr>
      </w:pPr>
      <w:r w:rsidRPr="00D6786E">
        <w:rPr>
          <w:rFonts w:ascii="Century Gothic" w:hAnsi="Century Gothic"/>
          <w:color w:val="auto"/>
          <w:sz w:val="22"/>
          <w:szCs w:val="22"/>
        </w:rPr>
        <w:t xml:space="preserve">The interest on working capital during the Control period from </w:t>
      </w:r>
      <w:r w:rsidR="003A182E">
        <w:rPr>
          <w:rFonts w:ascii="Century Gothic" w:hAnsi="Century Gothic"/>
          <w:color w:val="auto"/>
          <w:sz w:val="22"/>
          <w:szCs w:val="22"/>
        </w:rPr>
        <w:t>for FY 2012-13, 2013-14 &amp; 2014-15 and for extended period FY 2015-16</w:t>
      </w:r>
      <w:r w:rsidR="00F65F72">
        <w:rPr>
          <w:rFonts w:ascii="Century Gothic" w:hAnsi="Century Gothic"/>
          <w:color w:val="auto"/>
          <w:sz w:val="22"/>
          <w:szCs w:val="22"/>
        </w:rPr>
        <w:t xml:space="preserve"> </w:t>
      </w:r>
      <w:r w:rsidR="00132469">
        <w:rPr>
          <w:rFonts w:ascii="Century Gothic" w:hAnsi="Century Gothic"/>
          <w:color w:val="auto"/>
          <w:sz w:val="22"/>
          <w:szCs w:val="22"/>
        </w:rPr>
        <w:t>is as per under mentioned table.</w:t>
      </w:r>
      <w:r w:rsidRPr="00D6786E">
        <w:rPr>
          <w:rFonts w:ascii="Century Gothic" w:hAnsi="Century Gothic"/>
          <w:color w:val="auto"/>
          <w:sz w:val="22"/>
          <w:szCs w:val="22"/>
        </w:rPr>
        <w:t xml:space="preserve"> The petitioner requests the Hon'ble Commission to true- up </w:t>
      </w:r>
      <w:r w:rsidR="00DC1BC3">
        <w:rPr>
          <w:rFonts w:ascii="Century Gothic" w:hAnsi="Century Gothic"/>
          <w:color w:val="auto"/>
          <w:sz w:val="22"/>
          <w:szCs w:val="22"/>
        </w:rPr>
        <w:t xml:space="preserve">the </w:t>
      </w:r>
      <w:r w:rsidRPr="00D6786E">
        <w:rPr>
          <w:rFonts w:ascii="Century Gothic" w:hAnsi="Century Gothic"/>
          <w:color w:val="auto"/>
          <w:sz w:val="22"/>
          <w:szCs w:val="22"/>
        </w:rPr>
        <w:t>interest on working capital</w:t>
      </w:r>
      <w:r w:rsidR="00D47F1B">
        <w:rPr>
          <w:rFonts w:ascii="Century Gothic" w:hAnsi="Century Gothic"/>
          <w:color w:val="auto"/>
          <w:sz w:val="22"/>
          <w:szCs w:val="22"/>
        </w:rPr>
        <w:t xml:space="preserve"> for </w:t>
      </w:r>
      <w:r w:rsidR="003A182E">
        <w:rPr>
          <w:rFonts w:ascii="Century Gothic" w:hAnsi="Century Gothic"/>
          <w:color w:val="auto"/>
          <w:sz w:val="22"/>
          <w:szCs w:val="22"/>
        </w:rPr>
        <w:t>previous years of current MYT period</w:t>
      </w:r>
      <w:r w:rsidR="00D47F1B">
        <w:rPr>
          <w:rFonts w:ascii="Century Gothic" w:hAnsi="Century Gothic"/>
          <w:color w:val="auto"/>
          <w:sz w:val="22"/>
          <w:szCs w:val="22"/>
        </w:rPr>
        <w:t xml:space="preserve"> and allow the estimated interest on working capital for </w:t>
      </w:r>
      <w:r w:rsidR="003A182E">
        <w:rPr>
          <w:rFonts w:ascii="Century Gothic" w:hAnsi="Century Gothic"/>
          <w:color w:val="auto"/>
          <w:sz w:val="22"/>
          <w:szCs w:val="22"/>
        </w:rPr>
        <w:t>FY 2015-16</w:t>
      </w:r>
      <w:r w:rsidRPr="00D6786E">
        <w:rPr>
          <w:rFonts w:ascii="Century Gothic" w:hAnsi="Century Gothic"/>
          <w:color w:val="auto"/>
          <w:sz w:val="22"/>
          <w:szCs w:val="22"/>
        </w:rPr>
        <w:t xml:space="preserve">.   </w:t>
      </w:r>
    </w:p>
    <w:p w:rsidR="005F370D" w:rsidRPr="00BE5536" w:rsidRDefault="00B36CA7" w:rsidP="00BE5536">
      <w:pPr>
        <w:pStyle w:val="Caption"/>
        <w:jc w:val="center"/>
      </w:pPr>
      <w:bookmarkStart w:id="51" w:name="_Toc411525197"/>
      <w:r>
        <w:t xml:space="preserve">Table </w:t>
      </w:r>
      <w:fldSimple w:instr=" SEQ Table \* ARABIC ">
        <w:r w:rsidR="000F406F">
          <w:rPr>
            <w:noProof/>
          </w:rPr>
          <w:t>22</w:t>
        </w:r>
      </w:fldSimple>
      <w:r>
        <w:t xml:space="preserve"> :</w:t>
      </w:r>
      <w:r w:rsidR="005F370D" w:rsidRPr="00BE5536">
        <w:t xml:space="preserve"> Interest on Working Capital</w:t>
      </w:r>
      <w:bookmarkEnd w:id="51"/>
    </w:p>
    <w:tbl>
      <w:tblPr>
        <w:tblW w:w="881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96"/>
        <w:gridCol w:w="1660"/>
        <w:gridCol w:w="1660"/>
        <w:gridCol w:w="1660"/>
        <w:gridCol w:w="1242"/>
      </w:tblGrid>
      <w:tr w:rsidR="00A837A1" w:rsidRPr="00490E8F" w:rsidTr="00061532">
        <w:trPr>
          <w:trHeight w:val="421"/>
        </w:trPr>
        <w:tc>
          <w:tcPr>
            <w:tcW w:w="2596" w:type="dxa"/>
            <w:shd w:val="solid" w:color="000080" w:fill="auto"/>
          </w:tcPr>
          <w:p w:rsidR="00A837A1" w:rsidRDefault="00A837A1">
            <w:pPr>
              <w:autoSpaceDE w:val="0"/>
              <w:autoSpaceDN w:val="0"/>
              <w:adjustRightInd w:val="0"/>
              <w:spacing w:line="240" w:lineRule="auto"/>
              <w:jc w:val="left"/>
              <w:rPr>
                <w:rFonts w:cs="Century Gothic"/>
                <w:b/>
                <w:bCs/>
                <w:color w:val="FFFFFF"/>
                <w:sz w:val="22"/>
                <w:szCs w:val="22"/>
              </w:rPr>
            </w:pPr>
            <w:r w:rsidRPr="00490E8F">
              <w:rPr>
                <w:rFonts w:cs="Century Gothic"/>
                <w:b/>
                <w:bCs/>
                <w:color w:val="FFFFFF"/>
                <w:sz w:val="22"/>
                <w:szCs w:val="22"/>
              </w:rPr>
              <w:t>Description</w:t>
            </w:r>
          </w:p>
          <w:p w:rsidR="00A837A1" w:rsidRPr="00490E8F" w:rsidRDefault="00A837A1">
            <w:pPr>
              <w:autoSpaceDE w:val="0"/>
              <w:autoSpaceDN w:val="0"/>
              <w:adjustRightInd w:val="0"/>
              <w:spacing w:line="240" w:lineRule="auto"/>
              <w:jc w:val="left"/>
              <w:rPr>
                <w:rFonts w:cs="Century Gothic"/>
                <w:b/>
                <w:bCs/>
                <w:color w:val="FFFFFF"/>
                <w:sz w:val="22"/>
                <w:szCs w:val="22"/>
              </w:rPr>
            </w:pPr>
            <w:r>
              <w:rPr>
                <w:rFonts w:cs="Century Gothic"/>
                <w:b/>
                <w:bCs/>
                <w:color w:val="FFFFFF"/>
                <w:sz w:val="22"/>
                <w:szCs w:val="22"/>
              </w:rPr>
              <w:t>(Rs. Crore)</w:t>
            </w:r>
          </w:p>
        </w:tc>
        <w:tc>
          <w:tcPr>
            <w:tcW w:w="1660" w:type="dxa"/>
            <w:shd w:val="solid" w:color="000080" w:fill="auto"/>
            <w:vAlign w:val="center"/>
          </w:tcPr>
          <w:p w:rsidR="00A837A1" w:rsidRPr="00490E8F" w:rsidRDefault="00A837A1" w:rsidP="0038645A">
            <w:pPr>
              <w:autoSpaceDE w:val="0"/>
              <w:autoSpaceDN w:val="0"/>
              <w:adjustRightInd w:val="0"/>
              <w:spacing w:line="240" w:lineRule="auto"/>
              <w:ind w:left="-126" w:right="-144"/>
              <w:jc w:val="center"/>
              <w:rPr>
                <w:rFonts w:cs="Century Gothic"/>
                <w:b/>
                <w:bCs/>
                <w:color w:val="FFFFFF"/>
                <w:sz w:val="22"/>
                <w:szCs w:val="22"/>
              </w:rPr>
            </w:pPr>
            <w:r w:rsidRPr="00490E8F">
              <w:rPr>
                <w:rFonts w:cs="Century Gothic"/>
                <w:b/>
                <w:bCs/>
                <w:color w:val="FFFFFF"/>
                <w:sz w:val="22"/>
                <w:szCs w:val="22"/>
              </w:rPr>
              <w:t>12-13</w:t>
            </w:r>
          </w:p>
        </w:tc>
        <w:tc>
          <w:tcPr>
            <w:tcW w:w="1660" w:type="dxa"/>
            <w:shd w:val="solid" w:color="000080" w:fill="auto"/>
            <w:vAlign w:val="center"/>
          </w:tcPr>
          <w:p w:rsidR="00A837A1" w:rsidRPr="00490E8F" w:rsidRDefault="00A837A1" w:rsidP="0038645A">
            <w:pPr>
              <w:autoSpaceDE w:val="0"/>
              <w:autoSpaceDN w:val="0"/>
              <w:adjustRightInd w:val="0"/>
              <w:spacing w:line="240" w:lineRule="auto"/>
              <w:ind w:left="-126" w:right="-144"/>
              <w:jc w:val="center"/>
              <w:rPr>
                <w:rFonts w:cs="Century Gothic"/>
                <w:b/>
                <w:bCs/>
                <w:color w:val="FFFFFF"/>
                <w:sz w:val="22"/>
                <w:szCs w:val="22"/>
              </w:rPr>
            </w:pPr>
            <w:r w:rsidRPr="00490E8F">
              <w:rPr>
                <w:rFonts w:cs="Century Gothic"/>
                <w:b/>
                <w:bCs/>
                <w:color w:val="FFFFFF"/>
                <w:sz w:val="22"/>
                <w:szCs w:val="22"/>
              </w:rPr>
              <w:t>13-14</w:t>
            </w:r>
          </w:p>
        </w:tc>
        <w:tc>
          <w:tcPr>
            <w:tcW w:w="1660" w:type="dxa"/>
            <w:shd w:val="solid" w:color="000080" w:fill="auto"/>
            <w:vAlign w:val="center"/>
          </w:tcPr>
          <w:p w:rsidR="00A837A1" w:rsidRPr="00490E8F" w:rsidRDefault="00A837A1" w:rsidP="0038645A">
            <w:pPr>
              <w:autoSpaceDE w:val="0"/>
              <w:autoSpaceDN w:val="0"/>
              <w:adjustRightInd w:val="0"/>
              <w:spacing w:line="240" w:lineRule="auto"/>
              <w:ind w:left="-126" w:right="-144"/>
              <w:jc w:val="center"/>
              <w:rPr>
                <w:rFonts w:cs="Century Gothic"/>
                <w:b/>
                <w:bCs/>
                <w:color w:val="FFFFFF"/>
                <w:sz w:val="22"/>
                <w:szCs w:val="22"/>
              </w:rPr>
            </w:pPr>
            <w:r w:rsidRPr="00490E8F">
              <w:rPr>
                <w:rFonts w:cs="Century Gothic"/>
                <w:b/>
                <w:bCs/>
                <w:color w:val="FFFFFF"/>
                <w:sz w:val="22"/>
                <w:szCs w:val="22"/>
              </w:rPr>
              <w:t>14-15</w:t>
            </w:r>
          </w:p>
        </w:tc>
        <w:tc>
          <w:tcPr>
            <w:tcW w:w="1242" w:type="dxa"/>
            <w:shd w:val="solid" w:color="000080" w:fill="auto"/>
            <w:vAlign w:val="center"/>
          </w:tcPr>
          <w:p w:rsidR="00A837A1" w:rsidRPr="00490E8F" w:rsidRDefault="0064724E" w:rsidP="00825C8D">
            <w:pPr>
              <w:autoSpaceDE w:val="0"/>
              <w:autoSpaceDN w:val="0"/>
              <w:adjustRightInd w:val="0"/>
              <w:spacing w:line="240" w:lineRule="auto"/>
              <w:ind w:left="-126" w:right="-144"/>
              <w:jc w:val="center"/>
              <w:rPr>
                <w:rFonts w:cs="Century Gothic"/>
                <w:b/>
                <w:bCs/>
                <w:color w:val="FFFFFF"/>
                <w:sz w:val="22"/>
                <w:szCs w:val="22"/>
              </w:rPr>
            </w:pPr>
            <w:r>
              <w:rPr>
                <w:b/>
                <w:bCs/>
                <w:sz w:val="22"/>
                <w:szCs w:val="22"/>
              </w:rPr>
              <w:t>15-16 (Estimated)</w:t>
            </w:r>
          </w:p>
        </w:tc>
      </w:tr>
      <w:tr w:rsidR="00D504EB" w:rsidRPr="00490E8F" w:rsidTr="00061532">
        <w:trPr>
          <w:trHeight w:val="421"/>
        </w:trPr>
        <w:tc>
          <w:tcPr>
            <w:tcW w:w="2596" w:type="dxa"/>
            <w:vAlign w:val="center"/>
          </w:tcPr>
          <w:p w:rsidR="00D504EB" w:rsidRPr="00490E8F" w:rsidRDefault="00D504EB" w:rsidP="00B36CA7">
            <w:pPr>
              <w:autoSpaceDE w:val="0"/>
              <w:autoSpaceDN w:val="0"/>
              <w:adjustRightInd w:val="0"/>
              <w:spacing w:line="240" w:lineRule="auto"/>
              <w:ind w:right="-140"/>
              <w:jc w:val="left"/>
              <w:rPr>
                <w:rFonts w:cs="Century Gothic"/>
                <w:b/>
                <w:bCs/>
                <w:color w:val="000000"/>
                <w:sz w:val="22"/>
                <w:szCs w:val="22"/>
              </w:rPr>
            </w:pPr>
            <w:r w:rsidRPr="00490E8F">
              <w:rPr>
                <w:rFonts w:cs="Century Gothic"/>
                <w:b/>
                <w:bCs/>
                <w:color w:val="000000"/>
                <w:sz w:val="22"/>
                <w:szCs w:val="22"/>
              </w:rPr>
              <w:t>Total Working Capital</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235.01</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251.76</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340.24</w:t>
            </w:r>
          </w:p>
        </w:tc>
        <w:tc>
          <w:tcPr>
            <w:tcW w:w="1242"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341.49</w:t>
            </w:r>
          </w:p>
        </w:tc>
      </w:tr>
      <w:tr w:rsidR="00A837A1" w:rsidRPr="00490E8F" w:rsidTr="00061532">
        <w:trPr>
          <w:trHeight w:val="421"/>
        </w:trPr>
        <w:tc>
          <w:tcPr>
            <w:tcW w:w="2596" w:type="dxa"/>
            <w:vAlign w:val="center"/>
          </w:tcPr>
          <w:p w:rsidR="00A837A1" w:rsidRPr="00490E8F" w:rsidRDefault="00A837A1" w:rsidP="00B36CA7">
            <w:pPr>
              <w:autoSpaceDE w:val="0"/>
              <w:autoSpaceDN w:val="0"/>
              <w:adjustRightInd w:val="0"/>
              <w:spacing w:line="240" w:lineRule="auto"/>
              <w:ind w:right="-140"/>
              <w:jc w:val="left"/>
              <w:rPr>
                <w:rFonts w:cs="Century Gothic"/>
                <w:b/>
                <w:bCs/>
                <w:color w:val="000000"/>
                <w:sz w:val="22"/>
                <w:szCs w:val="22"/>
              </w:rPr>
            </w:pPr>
            <w:r w:rsidRPr="00490E8F">
              <w:rPr>
                <w:rFonts w:cs="Century Gothic"/>
                <w:b/>
                <w:bCs/>
                <w:color w:val="000000"/>
                <w:sz w:val="22"/>
                <w:szCs w:val="22"/>
              </w:rPr>
              <w:t xml:space="preserve">Rate of Interest </w:t>
            </w:r>
          </w:p>
        </w:tc>
        <w:tc>
          <w:tcPr>
            <w:tcW w:w="1660" w:type="dxa"/>
            <w:vAlign w:val="center"/>
          </w:tcPr>
          <w:p w:rsidR="00A837A1" w:rsidRPr="00CE6815" w:rsidRDefault="00A837A1" w:rsidP="0064724E">
            <w:pPr>
              <w:autoSpaceDE w:val="0"/>
              <w:autoSpaceDN w:val="0"/>
              <w:adjustRightInd w:val="0"/>
              <w:spacing w:line="240" w:lineRule="auto"/>
              <w:ind w:left="-126" w:right="-144"/>
              <w:jc w:val="center"/>
              <w:rPr>
                <w:rFonts w:cs="Century Gothic"/>
                <w:sz w:val="22"/>
                <w:szCs w:val="22"/>
              </w:rPr>
            </w:pPr>
            <w:r w:rsidRPr="00CE6815">
              <w:rPr>
                <w:rFonts w:cs="Century Gothic"/>
                <w:sz w:val="22"/>
                <w:szCs w:val="22"/>
              </w:rPr>
              <w:t>13.50%</w:t>
            </w:r>
          </w:p>
        </w:tc>
        <w:tc>
          <w:tcPr>
            <w:tcW w:w="1660" w:type="dxa"/>
            <w:vAlign w:val="center"/>
          </w:tcPr>
          <w:p w:rsidR="00A837A1" w:rsidRPr="00CE6815" w:rsidRDefault="00A837A1" w:rsidP="0064724E">
            <w:pPr>
              <w:autoSpaceDE w:val="0"/>
              <w:autoSpaceDN w:val="0"/>
              <w:adjustRightInd w:val="0"/>
              <w:spacing w:line="240" w:lineRule="auto"/>
              <w:ind w:left="-126" w:right="-144"/>
              <w:jc w:val="center"/>
              <w:rPr>
                <w:rFonts w:cs="Century Gothic"/>
                <w:sz w:val="22"/>
                <w:szCs w:val="22"/>
              </w:rPr>
            </w:pPr>
            <w:r w:rsidRPr="00CE6815">
              <w:rPr>
                <w:rFonts w:cs="Century Gothic"/>
                <w:sz w:val="22"/>
                <w:szCs w:val="22"/>
              </w:rPr>
              <w:t>13.50%</w:t>
            </w:r>
          </w:p>
        </w:tc>
        <w:tc>
          <w:tcPr>
            <w:tcW w:w="1660" w:type="dxa"/>
            <w:vAlign w:val="center"/>
          </w:tcPr>
          <w:p w:rsidR="00A837A1" w:rsidRPr="00CE6815" w:rsidRDefault="00A837A1" w:rsidP="0064724E">
            <w:pPr>
              <w:autoSpaceDE w:val="0"/>
              <w:autoSpaceDN w:val="0"/>
              <w:adjustRightInd w:val="0"/>
              <w:spacing w:line="240" w:lineRule="auto"/>
              <w:ind w:left="-126" w:right="-144"/>
              <w:jc w:val="center"/>
              <w:rPr>
                <w:rFonts w:cs="Century Gothic"/>
                <w:sz w:val="22"/>
                <w:szCs w:val="22"/>
              </w:rPr>
            </w:pPr>
            <w:r w:rsidRPr="00CE6815">
              <w:rPr>
                <w:rFonts w:cs="Century Gothic"/>
                <w:sz w:val="22"/>
                <w:szCs w:val="22"/>
              </w:rPr>
              <w:t>13.50%</w:t>
            </w:r>
          </w:p>
        </w:tc>
        <w:tc>
          <w:tcPr>
            <w:tcW w:w="1242" w:type="dxa"/>
            <w:vAlign w:val="center"/>
          </w:tcPr>
          <w:p w:rsidR="00A837A1" w:rsidRPr="00CE6815" w:rsidRDefault="00821384" w:rsidP="0064724E">
            <w:pPr>
              <w:autoSpaceDE w:val="0"/>
              <w:autoSpaceDN w:val="0"/>
              <w:adjustRightInd w:val="0"/>
              <w:spacing w:line="240" w:lineRule="auto"/>
              <w:ind w:left="-126" w:right="-144"/>
              <w:jc w:val="center"/>
              <w:rPr>
                <w:rFonts w:cs="Century Gothic"/>
                <w:sz w:val="22"/>
                <w:szCs w:val="22"/>
              </w:rPr>
            </w:pPr>
            <w:r w:rsidRPr="00CE6815">
              <w:rPr>
                <w:rFonts w:cs="Century Gothic"/>
                <w:sz w:val="22"/>
                <w:szCs w:val="22"/>
              </w:rPr>
              <w:t>13.50%</w:t>
            </w:r>
          </w:p>
        </w:tc>
      </w:tr>
      <w:tr w:rsidR="00D504EB" w:rsidRPr="00490E8F" w:rsidTr="00061532">
        <w:trPr>
          <w:trHeight w:val="421"/>
        </w:trPr>
        <w:tc>
          <w:tcPr>
            <w:tcW w:w="2596" w:type="dxa"/>
            <w:vAlign w:val="center"/>
          </w:tcPr>
          <w:p w:rsidR="00D504EB" w:rsidRPr="00490E8F" w:rsidRDefault="00D504EB" w:rsidP="00B36CA7">
            <w:pPr>
              <w:autoSpaceDE w:val="0"/>
              <w:autoSpaceDN w:val="0"/>
              <w:adjustRightInd w:val="0"/>
              <w:spacing w:line="240" w:lineRule="auto"/>
              <w:ind w:right="-140"/>
              <w:jc w:val="left"/>
              <w:rPr>
                <w:rFonts w:cs="Century Gothic"/>
                <w:b/>
                <w:bCs/>
                <w:color w:val="000000"/>
                <w:sz w:val="22"/>
                <w:szCs w:val="22"/>
              </w:rPr>
            </w:pPr>
            <w:r w:rsidRPr="00490E8F">
              <w:rPr>
                <w:rFonts w:cs="Century Gothic"/>
                <w:b/>
                <w:bCs/>
                <w:color w:val="000000"/>
                <w:sz w:val="22"/>
                <w:szCs w:val="22"/>
              </w:rPr>
              <w:t xml:space="preserve">Interest on Working capital </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31.73</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33.99</w:t>
            </w:r>
          </w:p>
        </w:tc>
        <w:tc>
          <w:tcPr>
            <w:tcW w:w="1660"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45.93</w:t>
            </w:r>
          </w:p>
        </w:tc>
        <w:tc>
          <w:tcPr>
            <w:tcW w:w="1242" w:type="dxa"/>
            <w:vAlign w:val="center"/>
          </w:tcPr>
          <w:p w:rsidR="00D504EB" w:rsidRDefault="00D504EB" w:rsidP="0064724E">
            <w:pPr>
              <w:jc w:val="center"/>
              <w:rPr>
                <w:rFonts w:ascii="Arial" w:hAnsi="Arial" w:cs="Arial"/>
                <w:b/>
                <w:bCs/>
                <w:sz w:val="20"/>
                <w:szCs w:val="20"/>
              </w:rPr>
            </w:pPr>
            <w:r>
              <w:rPr>
                <w:rFonts w:ascii="Arial" w:hAnsi="Arial" w:cs="Arial"/>
                <w:b/>
                <w:bCs/>
                <w:sz w:val="20"/>
                <w:szCs w:val="20"/>
              </w:rPr>
              <w:t>46.10</w:t>
            </w:r>
          </w:p>
        </w:tc>
      </w:tr>
    </w:tbl>
    <w:p w:rsidR="009D7729" w:rsidRDefault="009D7729">
      <w:pPr>
        <w:pStyle w:val="BodyText"/>
        <w:rPr>
          <w:color w:val="000000"/>
        </w:rPr>
      </w:pPr>
    </w:p>
    <w:p w:rsidR="00C10934" w:rsidRDefault="00C10934" w:rsidP="00061532">
      <w:pPr>
        <w:pStyle w:val="BodyText"/>
        <w:ind w:left="720"/>
        <w:rPr>
          <w:color w:val="000000"/>
        </w:rPr>
      </w:pPr>
      <w:r>
        <w:rPr>
          <w:color w:val="000000"/>
        </w:rPr>
        <w:t>Therefore, the Hon’ble Commission is requested to allow working capital as per above due to steep rise in fuel prices.</w:t>
      </w:r>
    </w:p>
    <w:p w:rsidR="00C10934" w:rsidRDefault="00C10934">
      <w:pPr>
        <w:pStyle w:val="BodyText"/>
        <w:rPr>
          <w:color w:val="000000"/>
        </w:rPr>
      </w:pPr>
    </w:p>
    <w:p w:rsidR="0063352E" w:rsidRDefault="0063352E">
      <w:pPr>
        <w:pStyle w:val="BodyText"/>
        <w:rPr>
          <w:color w:val="000000"/>
        </w:rPr>
      </w:pPr>
    </w:p>
    <w:p w:rsidR="0063352E" w:rsidRDefault="0063352E">
      <w:pPr>
        <w:pStyle w:val="BodyText"/>
        <w:rPr>
          <w:color w:val="000000"/>
        </w:rPr>
      </w:pPr>
    </w:p>
    <w:p w:rsidR="0063352E" w:rsidRDefault="0063352E">
      <w:pPr>
        <w:pStyle w:val="BodyText"/>
        <w:rPr>
          <w:color w:val="000000"/>
        </w:rPr>
      </w:pPr>
    </w:p>
    <w:p w:rsidR="000F7069" w:rsidRPr="009D7729" w:rsidRDefault="00834471" w:rsidP="00B14129">
      <w:pPr>
        <w:rPr>
          <w:b/>
          <w:color w:val="0000FF"/>
        </w:rPr>
      </w:pPr>
      <w:r>
        <w:rPr>
          <w:b/>
          <w:color w:val="0000FF"/>
        </w:rPr>
        <w:lastRenderedPageBreak/>
        <w:t>4.7</w:t>
      </w:r>
      <w:r w:rsidR="000F7069" w:rsidRPr="009D7729">
        <w:rPr>
          <w:b/>
          <w:color w:val="0000FF"/>
        </w:rPr>
        <w:tab/>
      </w:r>
      <w:r w:rsidR="007C7037" w:rsidRPr="009D7729">
        <w:rPr>
          <w:b/>
          <w:color w:val="0000FF"/>
        </w:rPr>
        <w:t xml:space="preserve">Annual </w:t>
      </w:r>
      <w:r w:rsidR="000F7069" w:rsidRPr="009D7729">
        <w:rPr>
          <w:b/>
          <w:color w:val="0000FF"/>
        </w:rPr>
        <w:t xml:space="preserve">Fixed Cost of </w:t>
      </w:r>
      <w:r w:rsidR="0019456B" w:rsidRPr="009D7729">
        <w:rPr>
          <w:b/>
          <w:color w:val="0000FF"/>
        </w:rPr>
        <w:t>P</w:t>
      </w:r>
      <w:r w:rsidR="000B6EF6" w:rsidRPr="009D7729">
        <w:rPr>
          <w:b/>
          <w:color w:val="0000FF"/>
        </w:rPr>
        <w:t>ragati</w:t>
      </w:r>
      <w:r w:rsidR="000F7069" w:rsidRPr="009D7729">
        <w:rPr>
          <w:b/>
          <w:color w:val="0000FF"/>
        </w:rPr>
        <w:t xml:space="preserve"> Power Station</w:t>
      </w:r>
      <w:r w:rsidR="000B6EF6" w:rsidRPr="009D7729">
        <w:rPr>
          <w:b/>
          <w:color w:val="0000FF"/>
        </w:rPr>
        <w:t>-I</w:t>
      </w:r>
    </w:p>
    <w:p w:rsidR="0085470B" w:rsidRPr="009D7729" w:rsidRDefault="0085470B">
      <w:pPr>
        <w:pStyle w:val="StyleHeading216ptJustifiedLinespacing15lines"/>
        <w:numPr>
          <w:ilvl w:val="0"/>
          <w:numId w:val="0"/>
        </w:numPr>
        <w:rPr>
          <w:sz w:val="12"/>
        </w:rPr>
      </w:pPr>
    </w:p>
    <w:p w:rsidR="000F7069" w:rsidRPr="00CD5A3B" w:rsidRDefault="000F7069" w:rsidP="00CD5A3B">
      <w:pPr>
        <w:pStyle w:val="ListParagraph"/>
        <w:numPr>
          <w:ilvl w:val="0"/>
          <w:numId w:val="38"/>
        </w:numPr>
        <w:rPr>
          <w:sz w:val="22"/>
          <w:szCs w:val="22"/>
        </w:rPr>
      </w:pPr>
      <w:r w:rsidRPr="00CD5A3B">
        <w:rPr>
          <w:sz w:val="22"/>
          <w:szCs w:val="22"/>
        </w:rPr>
        <w:t xml:space="preserve">The total </w:t>
      </w:r>
      <w:r w:rsidR="0004100A" w:rsidRPr="00CD5A3B">
        <w:rPr>
          <w:sz w:val="22"/>
          <w:szCs w:val="22"/>
        </w:rPr>
        <w:t xml:space="preserve">actual </w:t>
      </w:r>
      <w:r w:rsidRPr="00CD5A3B">
        <w:rPr>
          <w:sz w:val="22"/>
          <w:szCs w:val="22"/>
        </w:rPr>
        <w:t>Fixed Cost</w:t>
      </w:r>
      <w:r w:rsidR="00670A84">
        <w:rPr>
          <w:rStyle w:val="FootnoteReference"/>
          <w:sz w:val="22"/>
          <w:szCs w:val="22"/>
        </w:rPr>
        <w:footnoteReference w:id="2"/>
      </w:r>
      <w:r w:rsidRPr="00CD5A3B">
        <w:rPr>
          <w:sz w:val="22"/>
          <w:szCs w:val="22"/>
        </w:rPr>
        <w:t xml:space="preserve"> for </w:t>
      </w:r>
      <w:r w:rsidR="00F44668" w:rsidRPr="00CD5A3B">
        <w:rPr>
          <w:sz w:val="22"/>
          <w:szCs w:val="22"/>
        </w:rPr>
        <w:t>the control period FY</w:t>
      </w:r>
      <w:r w:rsidR="00A30C54" w:rsidRPr="00CD5A3B">
        <w:rPr>
          <w:sz w:val="22"/>
          <w:szCs w:val="22"/>
        </w:rPr>
        <w:t xml:space="preserve"> </w:t>
      </w:r>
      <w:r w:rsidR="0004100A" w:rsidRPr="00CD5A3B">
        <w:rPr>
          <w:sz w:val="22"/>
          <w:szCs w:val="22"/>
        </w:rPr>
        <w:t>2012-13, 2013-14 &amp; 2014-15 (</w:t>
      </w:r>
      <w:r w:rsidR="006E67BC" w:rsidRPr="00CD5A3B">
        <w:rPr>
          <w:sz w:val="22"/>
          <w:szCs w:val="22"/>
        </w:rPr>
        <w:t>Estimated</w:t>
      </w:r>
      <w:r w:rsidR="0004100A" w:rsidRPr="00CD5A3B">
        <w:rPr>
          <w:sz w:val="22"/>
          <w:szCs w:val="22"/>
        </w:rPr>
        <w:t>)</w:t>
      </w:r>
      <w:r w:rsidRPr="00CD5A3B">
        <w:rPr>
          <w:sz w:val="22"/>
          <w:szCs w:val="22"/>
        </w:rPr>
        <w:t xml:space="preserve"> and projection for the </w:t>
      </w:r>
      <w:r w:rsidR="0004100A" w:rsidRPr="00CD5A3B">
        <w:rPr>
          <w:sz w:val="22"/>
          <w:szCs w:val="22"/>
        </w:rPr>
        <w:t>FY 201</w:t>
      </w:r>
      <w:r w:rsidR="00A67E24" w:rsidRPr="00CD5A3B">
        <w:rPr>
          <w:sz w:val="22"/>
          <w:szCs w:val="22"/>
        </w:rPr>
        <w:t>5</w:t>
      </w:r>
      <w:r w:rsidR="0004100A" w:rsidRPr="00CD5A3B">
        <w:rPr>
          <w:sz w:val="22"/>
          <w:szCs w:val="22"/>
        </w:rPr>
        <w:t>-16</w:t>
      </w:r>
      <w:r w:rsidR="00F44668" w:rsidRPr="00CD5A3B">
        <w:rPr>
          <w:sz w:val="22"/>
          <w:szCs w:val="22"/>
        </w:rPr>
        <w:t xml:space="preserve"> </w:t>
      </w:r>
      <w:r w:rsidR="00825C7D" w:rsidRPr="00CD5A3B">
        <w:rPr>
          <w:sz w:val="22"/>
          <w:szCs w:val="22"/>
        </w:rPr>
        <w:t xml:space="preserve">is </w:t>
      </w:r>
      <w:r w:rsidR="00A30C54" w:rsidRPr="00CD5A3B">
        <w:rPr>
          <w:sz w:val="22"/>
          <w:szCs w:val="22"/>
        </w:rPr>
        <w:t>summarized</w:t>
      </w:r>
      <w:r w:rsidR="00A96762" w:rsidRPr="00CD5A3B">
        <w:rPr>
          <w:sz w:val="22"/>
          <w:szCs w:val="22"/>
        </w:rPr>
        <w:t xml:space="preserve"> in Table </w:t>
      </w:r>
      <w:r w:rsidR="00E5738E" w:rsidRPr="00CD5A3B">
        <w:rPr>
          <w:sz w:val="22"/>
          <w:szCs w:val="22"/>
        </w:rPr>
        <w:t>1</w:t>
      </w:r>
      <w:r w:rsidR="00CD5A3B">
        <w:rPr>
          <w:sz w:val="22"/>
          <w:szCs w:val="22"/>
        </w:rPr>
        <w:t>9</w:t>
      </w:r>
      <w:r w:rsidRPr="00CD5A3B">
        <w:rPr>
          <w:sz w:val="22"/>
          <w:szCs w:val="22"/>
        </w:rPr>
        <w:t>.</w:t>
      </w:r>
    </w:p>
    <w:p w:rsidR="00722F45" w:rsidRPr="00F473AD" w:rsidRDefault="00CD5A3B" w:rsidP="00F473AD">
      <w:pPr>
        <w:pStyle w:val="Caption"/>
        <w:jc w:val="center"/>
      </w:pPr>
      <w:bookmarkStart w:id="52" w:name="_Toc411525198"/>
      <w:r>
        <w:t xml:space="preserve">Table </w:t>
      </w:r>
      <w:fldSimple w:instr=" SEQ Table \* ARABIC ">
        <w:r w:rsidR="000F406F">
          <w:rPr>
            <w:noProof/>
          </w:rPr>
          <w:t>23</w:t>
        </w:r>
      </w:fldSimple>
      <w:r>
        <w:t xml:space="preserve"> :</w:t>
      </w:r>
      <w:r w:rsidRPr="00BE5536">
        <w:t xml:space="preserve"> </w:t>
      </w:r>
      <w:r w:rsidRPr="00F473AD">
        <w:t>Total Annual Fixed Cost</w:t>
      </w:r>
      <w:bookmarkEnd w:id="52"/>
      <w:r w:rsidRPr="00BE5536">
        <w:t xml:space="preserve"> </w:t>
      </w:r>
    </w:p>
    <w:tbl>
      <w:tblPr>
        <w:tblW w:w="88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10"/>
        <w:gridCol w:w="1568"/>
        <w:gridCol w:w="1568"/>
        <w:gridCol w:w="1568"/>
        <w:gridCol w:w="1569"/>
      </w:tblGrid>
      <w:tr w:rsidR="006C2051" w:rsidRPr="00BA49AC" w:rsidTr="0063352E">
        <w:trPr>
          <w:trHeight w:val="600"/>
        </w:trPr>
        <w:tc>
          <w:tcPr>
            <w:tcW w:w="2610" w:type="dxa"/>
            <w:shd w:val="solid" w:color="000080" w:fill="auto"/>
            <w:vAlign w:val="center"/>
          </w:tcPr>
          <w:p w:rsidR="006C2051" w:rsidRPr="00BA49AC" w:rsidRDefault="006C2051" w:rsidP="00927943">
            <w:pPr>
              <w:autoSpaceDE w:val="0"/>
              <w:autoSpaceDN w:val="0"/>
              <w:adjustRightInd w:val="0"/>
              <w:spacing w:line="240" w:lineRule="auto"/>
              <w:jc w:val="center"/>
              <w:rPr>
                <w:rFonts w:cs="Century Gothic"/>
                <w:b/>
                <w:bCs/>
                <w:color w:val="FFFFFF"/>
                <w:sz w:val="22"/>
                <w:szCs w:val="22"/>
              </w:rPr>
            </w:pPr>
            <w:r w:rsidRPr="00BA49AC">
              <w:rPr>
                <w:rFonts w:cs="Century Gothic"/>
                <w:b/>
                <w:bCs/>
                <w:color w:val="FFFFFF"/>
                <w:sz w:val="22"/>
                <w:szCs w:val="22"/>
              </w:rPr>
              <w:t>Particulars (Rs. Crores)</w:t>
            </w:r>
          </w:p>
        </w:tc>
        <w:tc>
          <w:tcPr>
            <w:tcW w:w="1568" w:type="dxa"/>
            <w:shd w:val="solid" w:color="000080" w:fill="auto"/>
            <w:vAlign w:val="center"/>
          </w:tcPr>
          <w:p w:rsidR="006C2051" w:rsidRPr="00BA49AC" w:rsidRDefault="006C2051" w:rsidP="0038645A">
            <w:pPr>
              <w:autoSpaceDE w:val="0"/>
              <w:autoSpaceDN w:val="0"/>
              <w:adjustRightInd w:val="0"/>
              <w:spacing w:line="240" w:lineRule="auto"/>
              <w:jc w:val="center"/>
              <w:rPr>
                <w:rFonts w:cs="Century Gothic"/>
                <w:b/>
                <w:bCs/>
                <w:color w:val="FFFFFF"/>
                <w:sz w:val="22"/>
                <w:szCs w:val="22"/>
              </w:rPr>
            </w:pPr>
            <w:r w:rsidRPr="00BA49AC">
              <w:rPr>
                <w:rFonts w:cs="Century Gothic"/>
                <w:b/>
                <w:bCs/>
                <w:color w:val="FFFFFF"/>
                <w:sz w:val="22"/>
                <w:szCs w:val="22"/>
              </w:rPr>
              <w:t>12-13</w:t>
            </w:r>
          </w:p>
        </w:tc>
        <w:tc>
          <w:tcPr>
            <w:tcW w:w="1568" w:type="dxa"/>
            <w:shd w:val="solid" w:color="000080" w:fill="auto"/>
            <w:vAlign w:val="center"/>
          </w:tcPr>
          <w:p w:rsidR="006C2051" w:rsidRPr="00BA49AC" w:rsidRDefault="006C2051" w:rsidP="0038645A">
            <w:pPr>
              <w:autoSpaceDE w:val="0"/>
              <w:autoSpaceDN w:val="0"/>
              <w:adjustRightInd w:val="0"/>
              <w:spacing w:line="240" w:lineRule="auto"/>
              <w:jc w:val="center"/>
              <w:rPr>
                <w:rFonts w:cs="Century Gothic"/>
                <w:b/>
                <w:bCs/>
                <w:color w:val="FFFFFF"/>
                <w:sz w:val="22"/>
                <w:szCs w:val="22"/>
              </w:rPr>
            </w:pPr>
            <w:r w:rsidRPr="00BA49AC">
              <w:rPr>
                <w:rFonts w:cs="Century Gothic"/>
                <w:b/>
                <w:bCs/>
                <w:color w:val="FFFFFF"/>
                <w:sz w:val="22"/>
                <w:szCs w:val="22"/>
              </w:rPr>
              <w:t>13-14</w:t>
            </w:r>
          </w:p>
        </w:tc>
        <w:tc>
          <w:tcPr>
            <w:tcW w:w="1568" w:type="dxa"/>
            <w:shd w:val="solid" w:color="000080" w:fill="auto"/>
            <w:vAlign w:val="center"/>
          </w:tcPr>
          <w:p w:rsidR="006C2051" w:rsidRPr="00BA49AC" w:rsidRDefault="006C2051" w:rsidP="0038645A">
            <w:pPr>
              <w:autoSpaceDE w:val="0"/>
              <w:autoSpaceDN w:val="0"/>
              <w:adjustRightInd w:val="0"/>
              <w:spacing w:line="240" w:lineRule="auto"/>
              <w:jc w:val="center"/>
              <w:rPr>
                <w:rFonts w:cs="Century Gothic"/>
                <w:b/>
                <w:bCs/>
                <w:color w:val="FFFFFF"/>
                <w:sz w:val="22"/>
                <w:szCs w:val="22"/>
              </w:rPr>
            </w:pPr>
            <w:r w:rsidRPr="00BA49AC">
              <w:rPr>
                <w:rFonts w:cs="Century Gothic"/>
                <w:b/>
                <w:bCs/>
                <w:color w:val="FFFFFF"/>
                <w:sz w:val="22"/>
                <w:szCs w:val="22"/>
              </w:rPr>
              <w:t>14-15</w:t>
            </w:r>
          </w:p>
        </w:tc>
        <w:tc>
          <w:tcPr>
            <w:tcW w:w="1569" w:type="dxa"/>
            <w:shd w:val="solid" w:color="000080" w:fill="auto"/>
            <w:vAlign w:val="center"/>
          </w:tcPr>
          <w:p w:rsidR="006C2051" w:rsidRPr="00BA49AC" w:rsidRDefault="006C2051" w:rsidP="00A13049">
            <w:pPr>
              <w:autoSpaceDE w:val="0"/>
              <w:autoSpaceDN w:val="0"/>
              <w:adjustRightInd w:val="0"/>
              <w:spacing w:line="240" w:lineRule="auto"/>
              <w:jc w:val="center"/>
              <w:rPr>
                <w:rFonts w:cs="Century Gothic"/>
                <w:b/>
                <w:bCs/>
                <w:color w:val="FFFFFF"/>
                <w:sz w:val="22"/>
                <w:szCs w:val="22"/>
              </w:rPr>
            </w:pPr>
            <w:r>
              <w:rPr>
                <w:rFonts w:cs="Century Gothic"/>
                <w:b/>
                <w:bCs/>
                <w:color w:val="FFFFFF"/>
                <w:sz w:val="22"/>
                <w:szCs w:val="22"/>
              </w:rPr>
              <w:t>15-16</w:t>
            </w:r>
          </w:p>
        </w:tc>
      </w:tr>
      <w:tr w:rsidR="00334CE5" w:rsidRPr="00BA49AC" w:rsidTr="0064724E">
        <w:trPr>
          <w:trHeight w:val="600"/>
        </w:trPr>
        <w:tc>
          <w:tcPr>
            <w:tcW w:w="2610" w:type="dxa"/>
            <w:vAlign w:val="center"/>
          </w:tcPr>
          <w:p w:rsidR="00334CE5" w:rsidRPr="00831C84" w:rsidRDefault="00334CE5" w:rsidP="00A4487D">
            <w:pPr>
              <w:autoSpaceDE w:val="0"/>
              <w:autoSpaceDN w:val="0"/>
              <w:adjustRightInd w:val="0"/>
              <w:spacing w:line="240" w:lineRule="auto"/>
              <w:jc w:val="left"/>
              <w:rPr>
                <w:rFonts w:cs="Century Gothic"/>
                <w:sz w:val="22"/>
                <w:szCs w:val="22"/>
              </w:rPr>
            </w:pPr>
            <w:r w:rsidRPr="00831C84">
              <w:rPr>
                <w:rFonts w:cs="Century Gothic"/>
                <w:sz w:val="22"/>
                <w:szCs w:val="22"/>
              </w:rPr>
              <w:t>O&amp;M Charges</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75.74</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55.03</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93.97</w:t>
            </w:r>
          </w:p>
        </w:tc>
        <w:tc>
          <w:tcPr>
            <w:tcW w:w="1569" w:type="dxa"/>
            <w:vAlign w:val="center"/>
          </w:tcPr>
          <w:p w:rsidR="00334CE5" w:rsidRDefault="00334CE5" w:rsidP="0064724E">
            <w:pPr>
              <w:jc w:val="center"/>
              <w:rPr>
                <w:rFonts w:ascii="Arial" w:hAnsi="Arial" w:cs="Arial"/>
                <w:sz w:val="20"/>
                <w:szCs w:val="20"/>
              </w:rPr>
            </w:pPr>
            <w:r>
              <w:rPr>
                <w:rFonts w:ascii="Arial" w:hAnsi="Arial" w:cs="Arial"/>
                <w:sz w:val="20"/>
                <w:szCs w:val="20"/>
              </w:rPr>
              <w:t>106.91</w:t>
            </w:r>
          </w:p>
        </w:tc>
      </w:tr>
      <w:tr w:rsidR="00334CE5" w:rsidRPr="00BA49AC" w:rsidTr="0064724E">
        <w:trPr>
          <w:trHeight w:val="600"/>
        </w:trPr>
        <w:tc>
          <w:tcPr>
            <w:tcW w:w="2610" w:type="dxa"/>
            <w:vAlign w:val="center"/>
          </w:tcPr>
          <w:p w:rsidR="00334CE5" w:rsidRPr="00831C84" w:rsidRDefault="00334CE5" w:rsidP="00A4487D">
            <w:pPr>
              <w:autoSpaceDE w:val="0"/>
              <w:autoSpaceDN w:val="0"/>
              <w:adjustRightInd w:val="0"/>
              <w:spacing w:line="240" w:lineRule="auto"/>
              <w:ind w:right="-145"/>
              <w:jc w:val="left"/>
              <w:rPr>
                <w:rFonts w:cs="Century Gothic"/>
                <w:sz w:val="22"/>
                <w:szCs w:val="22"/>
              </w:rPr>
            </w:pPr>
            <w:r w:rsidRPr="00831C84">
              <w:rPr>
                <w:rFonts w:cs="Century Gothic"/>
                <w:sz w:val="22"/>
                <w:szCs w:val="22"/>
              </w:rPr>
              <w:t>Depreciation</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55.76</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55.17</w:t>
            </w:r>
          </w:p>
        </w:tc>
        <w:tc>
          <w:tcPr>
            <w:tcW w:w="1568" w:type="dxa"/>
            <w:vAlign w:val="center"/>
          </w:tcPr>
          <w:p w:rsidR="00334CE5" w:rsidRDefault="00334CE5" w:rsidP="0064724E">
            <w:pPr>
              <w:jc w:val="center"/>
              <w:rPr>
                <w:rFonts w:ascii="Arial" w:hAnsi="Arial" w:cs="Arial"/>
                <w:sz w:val="20"/>
                <w:szCs w:val="20"/>
              </w:rPr>
            </w:pPr>
            <w:r>
              <w:rPr>
                <w:rFonts w:ascii="Arial" w:hAnsi="Arial" w:cs="Arial"/>
                <w:sz w:val="20"/>
                <w:szCs w:val="20"/>
              </w:rPr>
              <w:t>53.83</w:t>
            </w:r>
          </w:p>
        </w:tc>
        <w:tc>
          <w:tcPr>
            <w:tcW w:w="1569" w:type="dxa"/>
            <w:vAlign w:val="center"/>
          </w:tcPr>
          <w:p w:rsidR="00334CE5" w:rsidRDefault="00334CE5" w:rsidP="0064724E">
            <w:pPr>
              <w:jc w:val="center"/>
              <w:rPr>
                <w:rFonts w:ascii="Arial" w:hAnsi="Arial" w:cs="Arial"/>
                <w:sz w:val="20"/>
                <w:szCs w:val="20"/>
              </w:rPr>
            </w:pPr>
            <w:r>
              <w:rPr>
                <w:rFonts w:ascii="Arial" w:hAnsi="Arial" w:cs="Arial"/>
                <w:sz w:val="20"/>
                <w:szCs w:val="20"/>
              </w:rPr>
              <w:t>14.23</w:t>
            </w:r>
          </w:p>
        </w:tc>
      </w:tr>
      <w:tr w:rsidR="00A534C3" w:rsidRPr="00BA49AC" w:rsidTr="0064724E">
        <w:trPr>
          <w:trHeight w:val="600"/>
        </w:trPr>
        <w:tc>
          <w:tcPr>
            <w:tcW w:w="2610" w:type="dxa"/>
            <w:vAlign w:val="center"/>
          </w:tcPr>
          <w:p w:rsidR="00A534C3" w:rsidRPr="00831C84" w:rsidRDefault="00A534C3" w:rsidP="00A4487D">
            <w:pPr>
              <w:autoSpaceDE w:val="0"/>
              <w:autoSpaceDN w:val="0"/>
              <w:adjustRightInd w:val="0"/>
              <w:spacing w:line="240" w:lineRule="auto"/>
              <w:jc w:val="left"/>
              <w:rPr>
                <w:rFonts w:cs="Century Gothic"/>
                <w:sz w:val="22"/>
                <w:szCs w:val="22"/>
              </w:rPr>
            </w:pPr>
            <w:r w:rsidRPr="00831C84">
              <w:rPr>
                <w:rFonts w:cs="Century Gothic"/>
                <w:sz w:val="22"/>
                <w:szCs w:val="22"/>
              </w:rPr>
              <w:t>Interest on Loans</w:t>
            </w:r>
          </w:p>
        </w:tc>
        <w:tc>
          <w:tcPr>
            <w:tcW w:w="1568" w:type="dxa"/>
            <w:vAlign w:val="center"/>
          </w:tcPr>
          <w:p w:rsidR="00A534C3" w:rsidRDefault="00A534C3" w:rsidP="0064724E">
            <w:pPr>
              <w:jc w:val="center"/>
              <w:rPr>
                <w:rFonts w:ascii="Arial" w:hAnsi="Arial" w:cs="Arial"/>
                <w:sz w:val="20"/>
                <w:szCs w:val="20"/>
              </w:rPr>
            </w:pPr>
            <w:r>
              <w:rPr>
                <w:rFonts w:ascii="Arial" w:hAnsi="Arial" w:cs="Arial"/>
                <w:sz w:val="20"/>
                <w:szCs w:val="20"/>
              </w:rPr>
              <w:t>8.93</w:t>
            </w:r>
          </w:p>
        </w:tc>
        <w:tc>
          <w:tcPr>
            <w:tcW w:w="1568" w:type="dxa"/>
            <w:vAlign w:val="center"/>
          </w:tcPr>
          <w:p w:rsidR="00A534C3" w:rsidRDefault="00A534C3" w:rsidP="0064724E">
            <w:pPr>
              <w:jc w:val="center"/>
              <w:rPr>
                <w:rFonts w:ascii="Arial" w:hAnsi="Arial" w:cs="Arial"/>
                <w:sz w:val="20"/>
                <w:szCs w:val="20"/>
              </w:rPr>
            </w:pPr>
            <w:r>
              <w:rPr>
                <w:rFonts w:ascii="Arial" w:hAnsi="Arial" w:cs="Arial"/>
                <w:sz w:val="20"/>
                <w:szCs w:val="20"/>
              </w:rPr>
              <w:t>2.65</w:t>
            </w:r>
          </w:p>
        </w:tc>
        <w:tc>
          <w:tcPr>
            <w:tcW w:w="1568" w:type="dxa"/>
            <w:vAlign w:val="center"/>
          </w:tcPr>
          <w:p w:rsidR="00A534C3" w:rsidRDefault="00A534C3" w:rsidP="0064724E">
            <w:pPr>
              <w:jc w:val="center"/>
              <w:rPr>
                <w:rFonts w:ascii="Arial" w:hAnsi="Arial" w:cs="Arial"/>
                <w:sz w:val="20"/>
                <w:szCs w:val="20"/>
              </w:rPr>
            </w:pPr>
            <w:r>
              <w:rPr>
                <w:rFonts w:ascii="Arial" w:hAnsi="Arial" w:cs="Arial"/>
                <w:sz w:val="20"/>
                <w:szCs w:val="20"/>
              </w:rPr>
              <w:t>1.15</w:t>
            </w:r>
          </w:p>
        </w:tc>
        <w:tc>
          <w:tcPr>
            <w:tcW w:w="1569" w:type="dxa"/>
            <w:vAlign w:val="center"/>
          </w:tcPr>
          <w:p w:rsidR="00A534C3" w:rsidRDefault="00A534C3" w:rsidP="0064724E">
            <w:pPr>
              <w:jc w:val="center"/>
              <w:rPr>
                <w:rFonts w:ascii="Arial" w:hAnsi="Arial" w:cs="Arial"/>
                <w:sz w:val="20"/>
                <w:szCs w:val="20"/>
              </w:rPr>
            </w:pPr>
            <w:r>
              <w:rPr>
                <w:rFonts w:ascii="Arial" w:hAnsi="Arial" w:cs="Arial"/>
                <w:sz w:val="20"/>
                <w:szCs w:val="20"/>
              </w:rPr>
              <w:t>1.08</w:t>
            </w:r>
          </w:p>
        </w:tc>
      </w:tr>
      <w:tr w:rsidR="001C46E3" w:rsidRPr="00BA49AC" w:rsidTr="0064724E">
        <w:trPr>
          <w:trHeight w:val="600"/>
        </w:trPr>
        <w:tc>
          <w:tcPr>
            <w:tcW w:w="2610" w:type="dxa"/>
            <w:vAlign w:val="center"/>
          </w:tcPr>
          <w:p w:rsidR="001C46E3" w:rsidRPr="00831C84" w:rsidRDefault="001C46E3" w:rsidP="00A4487D">
            <w:pPr>
              <w:autoSpaceDE w:val="0"/>
              <w:autoSpaceDN w:val="0"/>
              <w:adjustRightInd w:val="0"/>
              <w:spacing w:line="240" w:lineRule="auto"/>
              <w:jc w:val="left"/>
              <w:rPr>
                <w:rFonts w:cs="Century Gothic"/>
                <w:sz w:val="22"/>
                <w:szCs w:val="22"/>
              </w:rPr>
            </w:pPr>
            <w:r w:rsidRPr="00831C84">
              <w:rPr>
                <w:rFonts w:cs="Century Gothic"/>
                <w:sz w:val="22"/>
                <w:szCs w:val="22"/>
              </w:rPr>
              <w:t>Return on Equity</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57.15</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58.22</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58.23</w:t>
            </w:r>
          </w:p>
        </w:tc>
        <w:tc>
          <w:tcPr>
            <w:tcW w:w="1569" w:type="dxa"/>
            <w:vAlign w:val="center"/>
          </w:tcPr>
          <w:p w:rsidR="001C46E3" w:rsidRDefault="001C46E3" w:rsidP="0064724E">
            <w:pPr>
              <w:jc w:val="center"/>
              <w:rPr>
                <w:rFonts w:ascii="Arial" w:hAnsi="Arial" w:cs="Arial"/>
                <w:sz w:val="20"/>
                <w:szCs w:val="20"/>
              </w:rPr>
            </w:pPr>
            <w:r>
              <w:rPr>
                <w:rFonts w:ascii="Arial" w:hAnsi="Arial" w:cs="Arial"/>
                <w:sz w:val="20"/>
                <w:szCs w:val="20"/>
              </w:rPr>
              <w:t>58.23</w:t>
            </w:r>
          </w:p>
        </w:tc>
      </w:tr>
      <w:tr w:rsidR="001C46E3" w:rsidRPr="00BA49AC" w:rsidTr="0064724E">
        <w:trPr>
          <w:trHeight w:val="600"/>
        </w:trPr>
        <w:tc>
          <w:tcPr>
            <w:tcW w:w="2610" w:type="dxa"/>
            <w:vAlign w:val="center"/>
          </w:tcPr>
          <w:p w:rsidR="001C46E3" w:rsidRPr="00831C84" w:rsidRDefault="001C46E3" w:rsidP="00A4487D">
            <w:pPr>
              <w:autoSpaceDE w:val="0"/>
              <w:autoSpaceDN w:val="0"/>
              <w:adjustRightInd w:val="0"/>
              <w:spacing w:line="240" w:lineRule="auto"/>
              <w:jc w:val="left"/>
              <w:rPr>
                <w:rFonts w:cs="Century Gothic"/>
                <w:sz w:val="22"/>
                <w:szCs w:val="22"/>
              </w:rPr>
            </w:pPr>
            <w:r w:rsidRPr="00831C84">
              <w:rPr>
                <w:rFonts w:cs="Century Gothic"/>
                <w:sz w:val="22"/>
                <w:szCs w:val="22"/>
              </w:rPr>
              <w:t>Income-tax</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11.43</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12.20</w:t>
            </w:r>
          </w:p>
        </w:tc>
        <w:tc>
          <w:tcPr>
            <w:tcW w:w="1568" w:type="dxa"/>
            <w:vAlign w:val="center"/>
          </w:tcPr>
          <w:p w:rsidR="001C46E3" w:rsidRDefault="001C46E3" w:rsidP="0064724E">
            <w:pPr>
              <w:jc w:val="center"/>
              <w:rPr>
                <w:rFonts w:ascii="Arial" w:hAnsi="Arial" w:cs="Arial"/>
                <w:sz w:val="20"/>
                <w:szCs w:val="20"/>
              </w:rPr>
            </w:pPr>
            <w:r>
              <w:rPr>
                <w:rFonts w:ascii="Arial" w:hAnsi="Arial" w:cs="Arial"/>
                <w:sz w:val="20"/>
                <w:szCs w:val="20"/>
              </w:rPr>
              <w:t>12.20</w:t>
            </w:r>
          </w:p>
        </w:tc>
        <w:tc>
          <w:tcPr>
            <w:tcW w:w="1569" w:type="dxa"/>
            <w:vAlign w:val="center"/>
          </w:tcPr>
          <w:p w:rsidR="001C46E3" w:rsidRDefault="001C46E3" w:rsidP="0064724E">
            <w:pPr>
              <w:jc w:val="center"/>
              <w:rPr>
                <w:rFonts w:ascii="Arial" w:hAnsi="Arial" w:cs="Arial"/>
                <w:sz w:val="20"/>
                <w:szCs w:val="20"/>
              </w:rPr>
            </w:pPr>
            <w:r>
              <w:rPr>
                <w:rFonts w:ascii="Arial" w:hAnsi="Arial" w:cs="Arial"/>
                <w:sz w:val="20"/>
                <w:szCs w:val="20"/>
              </w:rPr>
              <w:t>12.20</w:t>
            </w:r>
          </w:p>
        </w:tc>
      </w:tr>
      <w:tr w:rsidR="00D62BE1" w:rsidRPr="00BA49AC" w:rsidTr="0064724E">
        <w:trPr>
          <w:trHeight w:val="600"/>
        </w:trPr>
        <w:tc>
          <w:tcPr>
            <w:tcW w:w="2610" w:type="dxa"/>
            <w:vAlign w:val="center"/>
          </w:tcPr>
          <w:p w:rsidR="00D62BE1" w:rsidRPr="00831C84" w:rsidRDefault="00D62BE1" w:rsidP="00A4487D">
            <w:pPr>
              <w:autoSpaceDE w:val="0"/>
              <w:autoSpaceDN w:val="0"/>
              <w:adjustRightInd w:val="0"/>
              <w:spacing w:line="240" w:lineRule="auto"/>
              <w:jc w:val="left"/>
              <w:rPr>
                <w:rFonts w:cs="Century Gothic"/>
                <w:sz w:val="22"/>
                <w:szCs w:val="22"/>
              </w:rPr>
            </w:pPr>
            <w:r w:rsidRPr="00831C84">
              <w:rPr>
                <w:rFonts w:cs="Century Gothic"/>
                <w:sz w:val="22"/>
                <w:szCs w:val="22"/>
              </w:rPr>
              <w:t>Interest on Working Capital</w:t>
            </w:r>
          </w:p>
        </w:tc>
        <w:tc>
          <w:tcPr>
            <w:tcW w:w="1568" w:type="dxa"/>
            <w:vAlign w:val="center"/>
          </w:tcPr>
          <w:p w:rsidR="00D62BE1" w:rsidRDefault="00D62BE1" w:rsidP="0064724E">
            <w:pPr>
              <w:jc w:val="center"/>
              <w:rPr>
                <w:rFonts w:ascii="Arial" w:hAnsi="Arial" w:cs="Arial"/>
                <w:color w:val="000000"/>
                <w:sz w:val="20"/>
                <w:szCs w:val="20"/>
              </w:rPr>
            </w:pPr>
            <w:r>
              <w:rPr>
                <w:rFonts w:ascii="Arial" w:hAnsi="Arial" w:cs="Arial"/>
                <w:color w:val="000000"/>
                <w:sz w:val="20"/>
                <w:szCs w:val="20"/>
              </w:rPr>
              <w:t>31.73</w:t>
            </w:r>
          </w:p>
        </w:tc>
        <w:tc>
          <w:tcPr>
            <w:tcW w:w="1568" w:type="dxa"/>
            <w:vAlign w:val="center"/>
          </w:tcPr>
          <w:p w:rsidR="00D62BE1" w:rsidRDefault="00D62BE1" w:rsidP="0064724E">
            <w:pPr>
              <w:jc w:val="center"/>
              <w:rPr>
                <w:rFonts w:ascii="Arial" w:hAnsi="Arial" w:cs="Arial"/>
                <w:color w:val="000000"/>
                <w:sz w:val="20"/>
                <w:szCs w:val="20"/>
              </w:rPr>
            </w:pPr>
            <w:r>
              <w:rPr>
                <w:rFonts w:ascii="Arial" w:hAnsi="Arial" w:cs="Arial"/>
                <w:color w:val="000000"/>
                <w:sz w:val="20"/>
                <w:szCs w:val="20"/>
              </w:rPr>
              <w:t>33.99</w:t>
            </w:r>
          </w:p>
        </w:tc>
        <w:tc>
          <w:tcPr>
            <w:tcW w:w="1568" w:type="dxa"/>
            <w:vAlign w:val="center"/>
          </w:tcPr>
          <w:p w:rsidR="00D62BE1" w:rsidRDefault="00D62BE1" w:rsidP="0064724E">
            <w:pPr>
              <w:jc w:val="center"/>
              <w:rPr>
                <w:rFonts w:ascii="Arial" w:hAnsi="Arial" w:cs="Arial"/>
                <w:color w:val="000000"/>
                <w:sz w:val="20"/>
                <w:szCs w:val="20"/>
              </w:rPr>
            </w:pPr>
            <w:r>
              <w:rPr>
                <w:rFonts w:ascii="Arial" w:hAnsi="Arial" w:cs="Arial"/>
                <w:color w:val="000000"/>
                <w:sz w:val="20"/>
                <w:szCs w:val="20"/>
              </w:rPr>
              <w:t>45.93</w:t>
            </w:r>
          </w:p>
        </w:tc>
        <w:tc>
          <w:tcPr>
            <w:tcW w:w="1569" w:type="dxa"/>
            <w:vAlign w:val="center"/>
          </w:tcPr>
          <w:p w:rsidR="00D62BE1" w:rsidRDefault="00D62BE1" w:rsidP="0064724E">
            <w:pPr>
              <w:jc w:val="center"/>
              <w:rPr>
                <w:rFonts w:ascii="Arial" w:hAnsi="Arial" w:cs="Arial"/>
                <w:color w:val="000000"/>
                <w:sz w:val="20"/>
                <w:szCs w:val="20"/>
              </w:rPr>
            </w:pPr>
            <w:r>
              <w:rPr>
                <w:rFonts w:ascii="Arial" w:hAnsi="Arial" w:cs="Arial"/>
                <w:color w:val="000000"/>
                <w:sz w:val="20"/>
                <w:szCs w:val="20"/>
              </w:rPr>
              <w:t>46.10</w:t>
            </w:r>
          </w:p>
        </w:tc>
      </w:tr>
      <w:tr w:rsidR="00557D2D" w:rsidRPr="00BA49AC" w:rsidTr="0064724E">
        <w:trPr>
          <w:trHeight w:val="568"/>
        </w:trPr>
        <w:tc>
          <w:tcPr>
            <w:tcW w:w="2610" w:type="dxa"/>
            <w:vAlign w:val="center"/>
          </w:tcPr>
          <w:p w:rsidR="00557D2D" w:rsidRPr="00831C84" w:rsidRDefault="00557D2D" w:rsidP="00A4487D">
            <w:pPr>
              <w:autoSpaceDE w:val="0"/>
              <w:autoSpaceDN w:val="0"/>
              <w:adjustRightInd w:val="0"/>
              <w:spacing w:line="240" w:lineRule="auto"/>
              <w:jc w:val="left"/>
              <w:rPr>
                <w:rFonts w:cs="Century Gothic"/>
                <w:b/>
                <w:sz w:val="22"/>
                <w:szCs w:val="22"/>
              </w:rPr>
            </w:pPr>
            <w:r w:rsidRPr="00831C84">
              <w:rPr>
                <w:rFonts w:cs="Century Gothic"/>
                <w:b/>
                <w:sz w:val="22"/>
                <w:szCs w:val="22"/>
              </w:rPr>
              <w:t>Total Fixed Cost</w:t>
            </w:r>
          </w:p>
        </w:tc>
        <w:tc>
          <w:tcPr>
            <w:tcW w:w="1568" w:type="dxa"/>
            <w:vAlign w:val="center"/>
          </w:tcPr>
          <w:p w:rsidR="00557D2D" w:rsidRDefault="00557D2D" w:rsidP="0064724E">
            <w:pPr>
              <w:jc w:val="center"/>
              <w:rPr>
                <w:rFonts w:ascii="Arial" w:hAnsi="Arial" w:cs="Arial"/>
                <w:b/>
                <w:bCs/>
                <w:sz w:val="20"/>
                <w:szCs w:val="20"/>
              </w:rPr>
            </w:pPr>
            <w:r>
              <w:rPr>
                <w:rFonts w:ascii="Arial" w:hAnsi="Arial" w:cs="Arial"/>
                <w:b/>
                <w:bCs/>
                <w:sz w:val="20"/>
                <w:szCs w:val="20"/>
              </w:rPr>
              <w:t>240.74</w:t>
            </w:r>
          </w:p>
        </w:tc>
        <w:tc>
          <w:tcPr>
            <w:tcW w:w="1568" w:type="dxa"/>
            <w:vAlign w:val="center"/>
          </w:tcPr>
          <w:p w:rsidR="00557D2D" w:rsidRDefault="00557D2D" w:rsidP="0064724E">
            <w:pPr>
              <w:jc w:val="center"/>
              <w:rPr>
                <w:rFonts w:ascii="Arial" w:hAnsi="Arial" w:cs="Arial"/>
                <w:b/>
                <w:bCs/>
                <w:sz w:val="20"/>
                <w:szCs w:val="20"/>
              </w:rPr>
            </w:pPr>
            <w:r>
              <w:rPr>
                <w:rFonts w:ascii="Arial" w:hAnsi="Arial" w:cs="Arial"/>
                <w:b/>
                <w:bCs/>
                <w:sz w:val="20"/>
                <w:szCs w:val="20"/>
              </w:rPr>
              <w:t>217.26</w:t>
            </w:r>
          </w:p>
        </w:tc>
        <w:tc>
          <w:tcPr>
            <w:tcW w:w="1568" w:type="dxa"/>
            <w:vAlign w:val="center"/>
          </w:tcPr>
          <w:p w:rsidR="00557D2D" w:rsidRDefault="00557D2D" w:rsidP="0064724E">
            <w:pPr>
              <w:jc w:val="center"/>
              <w:rPr>
                <w:rFonts w:ascii="Arial" w:hAnsi="Arial" w:cs="Arial"/>
                <w:b/>
                <w:bCs/>
                <w:sz w:val="20"/>
                <w:szCs w:val="20"/>
              </w:rPr>
            </w:pPr>
            <w:r>
              <w:rPr>
                <w:rFonts w:ascii="Arial" w:hAnsi="Arial" w:cs="Arial"/>
                <w:b/>
                <w:bCs/>
                <w:sz w:val="20"/>
                <w:szCs w:val="20"/>
              </w:rPr>
              <w:t>265.32</w:t>
            </w:r>
          </w:p>
        </w:tc>
        <w:tc>
          <w:tcPr>
            <w:tcW w:w="1569" w:type="dxa"/>
            <w:vAlign w:val="center"/>
          </w:tcPr>
          <w:p w:rsidR="00557D2D" w:rsidRDefault="00557D2D" w:rsidP="0064724E">
            <w:pPr>
              <w:jc w:val="center"/>
              <w:rPr>
                <w:rFonts w:ascii="Arial" w:hAnsi="Arial" w:cs="Arial"/>
                <w:b/>
                <w:bCs/>
                <w:sz w:val="20"/>
                <w:szCs w:val="20"/>
              </w:rPr>
            </w:pPr>
            <w:r>
              <w:rPr>
                <w:rFonts w:ascii="Arial" w:hAnsi="Arial" w:cs="Arial"/>
                <w:b/>
                <w:bCs/>
                <w:sz w:val="20"/>
                <w:szCs w:val="20"/>
              </w:rPr>
              <w:t>238.76</w:t>
            </w:r>
          </w:p>
        </w:tc>
      </w:tr>
      <w:tr w:rsidR="006C2051" w:rsidRPr="00BA49AC" w:rsidTr="0064724E">
        <w:trPr>
          <w:trHeight w:val="600"/>
        </w:trPr>
        <w:tc>
          <w:tcPr>
            <w:tcW w:w="2610" w:type="dxa"/>
            <w:vAlign w:val="center"/>
          </w:tcPr>
          <w:p w:rsidR="006C2051" w:rsidRPr="00831C84" w:rsidRDefault="006C2051" w:rsidP="00A4487D">
            <w:pPr>
              <w:autoSpaceDE w:val="0"/>
              <w:autoSpaceDN w:val="0"/>
              <w:adjustRightInd w:val="0"/>
              <w:spacing w:line="240" w:lineRule="auto"/>
              <w:jc w:val="left"/>
              <w:rPr>
                <w:rFonts w:cs="Century Gothic"/>
                <w:sz w:val="22"/>
                <w:szCs w:val="22"/>
              </w:rPr>
            </w:pPr>
            <w:r w:rsidRPr="00831C84">
              <w:rPr>
                <w:rFonts w:cs="Century Gothic"/>
                <w:sz w:val="22"/>
                <w:szCs w:val="22"/>
              </w:rPr>
              <w:t>Net Generation (MU)</w:t>
            </w:r>
          </w:p>
        </w:tc>
        <w:tc>
          <w:tcPr>
            <w:tcW w:w="1568" w:type="dxa"/>
            <w:vAlign w:val="center"/>
          </w:tcPr>
          <w:p w:rsidR="006C2051" w:rsidRPr="00831C84" w:rsidRDefault="00821384" w:rsidP="0064724E">
            <w:pPr>
              <w:autoSpaceDE w:val="0"/>
              <w:autoSpaceDN w:val="0"/>
              <w:adjustRightInd w:val="0"/>
              <w:spacing w:line="240" w:lineRule="auto"/>
              <w:ind w:left="-71" w:right="-62"/>
              <w:jc w:val="center"/>
              <w:rPr>
                <w:rFonts w:cs="Century Gothic"/>
                <w:sz w:val="22"/>
                <w:szCs w:val="22"/>
              </w:rPr>
            </w:pPr>
            <w:r w:rsidRPr="00831C84">
              <w:rPr>
                <w:rFonts w:cs="Century Gothic"/>
                <w:sz w:val="22"/>
                <w:szCs w:val="22"/>
              </w:rPr>
              <w:t>2441.83</w:t>
            </w:r>
          </w:p>
        </w:tc>
        <w:tc>
          <w:tcPr>
            <w:tcW w:w="1568" w:type="dxa"/>
            <w:vAlign w:val="center"/>
          </w:tcPr>
          <w:p w:rsidR="006C2051" w:rsidRPr="00831C84" w:rsidRDefault="00821384" w:rsidP="0064724E">
            <w:pPr>
              <w:autoSpaceDE w:val="0"/>
              <w:autoSpaceDN w:val="0"/>
              <w:adjustRightInd w:val="0"/>
              <w:spacing w:line="240" w:lineRule="auto"/>
              <w:ind w:left="-71" w:right="-62"/>
              <w:jc w:val="center"/>
              <w:rPr>
                <w:rFonts w:cs="Century Gothic"/>
                <w:sz w:val="22"/>
                <w:szCs w:val="22"/>
              </w:rPr>
            </w:pPr>
            <w:r w:rsidRPr="00831C84">
              <w:rPr>
                <w:rFonts w:cs="Century Gothic"/>
                <w:sz w:val="22"/>
                <w:szCs w:val="22"/>
              </w:rPr>
              <w:t>2359.11</w:t>
            </w:r>
          </w:p>
        </w:tc>
        <w:tc>
          <w:tcPr>
            <w:tcW w:w="1568" w:type="dxa"/>
            <w:vAlign w:val="center"/>
          </w:tcPr>
          <w:p w:rsidR="006C2051" w:rsidRPr="00831C84" w:rsidRDefault="00417918" w:rsidP="0064724E">
            <w:pPr>
              <w:autoSpaceDE w:val="0"/>
              <w:autoSpaceDN w:val="0"/>
              <w:adjustRightInd w:val="0"/>
              <w:spacing w:line="240" w:lineRule="auto"/>
              <w:ind w:left="-71" w:right="-62"/>
              <w:jc w:val="center"/>
              <w:rPr>
                <w:rFonts w:cs="Century Gothic"/>
                <w:sz w:val="22"/>
                <w:szCs w:val="22"/>
              </w:rPr>
            </w:pPr>
            <w:r w:rsidRPr="00831C84">
              <w:rPr>
                <w:rFonts w:cs="Century Gothic"/>
                <w:sz w:val="22"/>
                <w:szCs w:val="22"/>
              </w:rPr>
              <w:t>2383.46</w:t>
            </w:r>
          </w:p>
        </w:tc>
        <w:tc>
          <w:tcPr>
            <w:tcW w:w="1569" w:type="dxa"/>
            <w:vAlign w:val="center"/>
          </w:tcPr>
          <w:p w:rsidR="006C2051" w:rsidRPr="00831C84" w:rsidRDefault="00417918" w:rsidP="0064724E">
            <w:pPr>
              <w:autoSpaceDE w:val="0"/>
              <w:autoSpaceDN w:val="0"/>
              <w:adjustRightInd w:val="0"/>
              <w:spacing w:line="240" w:lineRule="auto"/>
              <w:ind w:left="-71" w:right="-62"/>
              <w:jc w:val="center"/>
              <w:rPr>
                <w:rFonts w:cs="Century Gothic"/>
                <w:sz w:val="22"/>
                <w:szCs w:val="22"/>
              </w:rPr>
            </w:pPr>
            <w:r w:rsidRPr="00831C84">
              <w:rPr>
                <w:rFonts w:cs="Century Gothic"/>
                <w:sz w:val="22"/>
                <w:szCs w:val="22"/>
              </w:rPr>
              <w:t>2389.99</w:t>
            </w:r>
          </w:p>
        </w:tc>
      </w:tr>
      <w:tr w:rsidR="006C2051" w:rsidRPr="00BA49AC" w:rsidTr="0063352E">
        <w:trPr>
          <w:trHeight w:val="600"/>
        </w:trPr>
        <w:tc>
          <w:tcPr>
            <w:tcW w:w="2610" w:type="dxa"/>
            <w:vAlign w:val="center"/>
          </w:tcPr>
          <w:p w:rsidR="006C2051" w:rsidRPr="00831C84" w:rsidRDefault="006C2051" w:rsidP="00A4487D">
            <w:pPr>
              <w:autoSpaceDE w:val="0"/>
              <w:autoSpaceDN w:val="0"/>
              <w:adjustRightInd w:val="0"/>
              <w:spacing w:line="240" w:lineRule="auto"/>
              <w:jc w:val="left"/>
              <w:rPr>
                <w:rFonts w:cs="Century Gothic"/>
                <w:b/>
                <w:sz w:val="22"/>
                <w:szCs w:val="22"/>
              </w:rPr>
            </w:pPr>
            <w:r w:rsidRPr="00831C84">
              <w:rPr>
                <w:rFonts w:cs="Century Gothic"/>
                <w:b/>
                <w:sz w:val="22"/>
                <w:szCs w:val="22"/>
              </w:rPr>
              <w:t>Fixed Cost Per Unit (Rs/Kwh)</w:t>
            </w:r>
          </w:p>
        </w:tc>
        <w:tc>
          <w:tcPr>
            <w:tcW w:w="1568" w:type="dxa"/>
            <w:vAlign w:val="center"/>
          </w:tcPr>
          <w:p w:rsidR="006C2051" w:rsidRPr="00831C84" w:rsidRDefault="00DE03C8" w:rsidP="00A77812">
            <w:pPr>
              <w:autoSpaceDE w:val="0"/>
              <w:autoSpaceDN w:val="0"/>
              <w:adjustRightInd w:val="0"/>
              <w:spacing w:line="240" w:lineRule="auto"/>
              <w:ind w:left="-71" w:right="-62"/>
              <w:jc w:val="center"/>
              <w:rPr>
                <w:rFonts w:cs="Century Gothic"/>
                <w:b/>
                <w:sz w:val="22"/>
                <w:szCs w:val="22"/>
              </w:rPr>
            </w:pPr>
            <w:r>
              <w:rPr>
                <w:rFonts w:cs="Century Gothic"/>
                <w:b/>
                <w:sz w:val="22"/>
                <w:szCs w:val="22"/>
              </w:rPr>
              <w:t>0.9</w:t>
            </w:r>
            <w:r w:rsidR="00A77812">
              <w:rPr>
                <w:rFonts w:cs="Century Gothic"/>
                <w:b/>
                <w:sz w:val="22"/>
                <w:szCs w:val="22"/>
              </w:rPr>
              <w:t>859</w:t>
            </w:r>
          </w:p>
        </w:tc>
        <w:tc>
          <w:tcPr>
            <w:tcW w:w="1568" w:type="dxa"/>
            <w:vAlign w:val="center"/>
          </w:tcPr>
          <w:p w:rsidR="006C2051" w:rsidRPr="00DE03C8" w:rsidRDefault="00DE03C8" w:rsidP="00A77812">
            <w:pPr>
              <w:autoSpaceDE w:val="0"/>
              <w:autoSpaceDN w:val="0"/>
              <w:adjustRightInd w:val="0"/>
              <w:spacing w:line="240" w:lineRule="auto"/>
              <w:ind w:left="-71" w:right="-62"/>
              <w:jc w:val="center"/>
              <w:rPr>
                <w:rFonts w:cs="Century Gothic"/>
                <w:b/>
                <w:sz w:val="22"/>
                <w:szCs w:val="22"/>
              </w:rPr>
            </w:pPr>
            <w:r w:rsidRPr="00DE03C8">
              <w:rPr>
                <w:rFonts w:cs="Century Gothic"/>
                <w:b/>
                <w:sz w:val="22"/>
                <w:szCs w:val="22"/>
              </w:rPr>
              <w:t>0.9</w:t>
            </w:r>
            <w:r w:rsidR="00A77812">
              <w:rPr>
                <w:rFonts w:cs="Century Gothic"/>
                <w:b/>
                <w:sz w:val="22"/>
                <w:szCs w:val="22"/>
              </w:rPr>
              <w:t>209</w:t>
            </w:r>
          </w:p>
        </w:tc>
        <w:tc>
          <w:tcPr>
            <w:tcW w:w="1568" w:type="dxa"/>
            <w:vAlign w:val="center"/>
          </w:tcPr>
          <w:p w:rsidR="006C2051" w:rsidRPr="00DE03C8" w:rsidRDefault="00DE03C8" w:rsidP="00AC6B1D">
            <w:pPr>
              <w:autoSpaceDE w:val="0"/>
              <w:autoSpaceDN w:val="0"/>
              <w:adjustRightInd w:val="0"/>
              <w:spacing w:line="240" w:lineRule="auto"/>
              <w:ind w:left="-71" w:right="-62"/>
              <w:jc w:val="center"/>
              <w:rPr>
                <w:rFonts w:cs="Century Gothic"/>
                <w:b/>
                <w:sz w:val="22"/>
                <w:szCs w:val="22"/>
              </w:rPr>
            </w:pPr>
            <w:r w:rsidRPr="00DE03C8">
              <w:rPr>
                <w:rFonts w:cs="Century Gothic"/>
                <w:b/>
                <w:sz w:val="22"/>
                <w:szCs w:val="22"/>
              </w:rPr>
              <w:t>1.113</w:t>
            </w:r>
            <w:r w:rsidR="00D10DBB">
              <w:rPr>
                <w:rFonts w:cs="Century Gothic"/>
                <w:b/>
                <w:sz w:val="22"/>
                <w:szCs w:val="22"/>
              </w:rPr>
              <w:t>2</w:t>
            </w:r>
          </w:p>
        </w:tc>
        <w:tc>
          <w:tcPr>
            <w:tcW w:w="1569" w:type="dxa"/>
            <w:vAlign w:val="center"/>
          </w:tcPr>
          <w:p w:rsidR="006C2051" w:rsidRPr="00DE03C8" w:rsidRDefault="00D10DBB" w:rsidP="00AC6B1D">
            <w:pPr>
              <w:autoSpaceDE w:val="0"/>
              <w:autoSpaceDN w:val="0"/>
              <w:adjustRightInd w:val="0"/>
              <w:spacing w:line="240" w:lineRule="auto"/>
              <w:ind w:left="-71" w:right="-62"/>
              <w:jc w:val="center"/>
              <w:rPr>
                <w:rFonts w:cs="Century Gothic"/>
                <w:b/>
                <w:sz w:val="22"/>
                <w:szCs w:val="22"/>
              </w:rPr>
            </w:pPr>
            <w:r>
              <w:rPr>
                <w:rFonts w:cs="Century Gothic"/>
                <w:b/>
                <w:sz w:val="22"/>
                <w:szCs w:val="22"/>
              </w:rPr>
              <w:t>0.9990</w:t>
            </w:r>
          </w:p>
        </w:tc>
      </w:tr>
    </w:tbl>
    <w:p w:rsidR="00955421" w:rsidRDefault="00955421" w:rsidP="00D42A45">
      <w:pPr>
        <w:tabs>
          <w:tab w:val="left" w:pos="3690"/>
        </w:tabs>
      </w:pPr>
    </w:p>
    <w:p w:rsidR="00955421" w:rsidRPr="00521217" w:rsidRDefault="00521217" w:rsidP="00D42A45">
      <w:pPr>
        <w:tabs>
          <w:tab w:val="left" w:pos="3690"/>
        </w:tabs>
        <w:rPr>
          <w:b/>
        </w:rPr>
      </w:pPr>
      <w:r>
        <w:t xml:space="preserve">The Performa giving details of above as per DERC format are enclosed as </w:t>
      </w:r>
      <w:r w:rsidRPr="00521217">
        <w:rPr>
          <w:b/>
        </w:rPr>
        <w:t>Annexure-B.</w:t>
      </w:r>
    </w:p>
    <w:p w:rsidR="000F7069" w:rsidRDefault="00D42A45" w:rsidP="00D42A45">
      <w:pPr>
        <w:tabs>
          <w:tab w:val="left" w:pos="3690"/>
        </w:tabs>
      </w:pPr>
      <w:r>
        <w:tab/>
      </w:r>
    </w:p>
    <w:p w:rsidR="000F7069" w:rsidRDefault="000F7069">
      <w:pPr>
        <w:ind w:left="900" w:hanging="360"/>
        <w:rPr>
          <w:sz w:val="22"/>
          <w:szCs w:val="22"/>
        </w:rPr>
      </w:pPr>
      <w:r>
        <w:rPr>
          <w:sz w:val="22"/>
          <w:szCs w:val="22"/>
        </w:rPr>
        <w:t xml:space="preserve">2.  On the basis of above </w:t>
      </w:r>
      <w:r w:rsidR="00497931">
        <w:rPr>
          <w:sz w:val="22"/>
          <w:szCs w:val="22"/>
        </w:rPr>
        <w:t>submissions</w:t>
      </w:r>
      <w:r>
        <w:rPr>
          <w:sz w:val="22"/>
          <w:szCs w:val="22"/>
        </w:rPr>
        <w:t xml:space="preserve">, </w:t>
      </w:r>
      <w:r w:rsidR="007435B6">
        <w:rPr>
          <w:sz w:val="22"/>
          <w:szCs w:val="22"/>
        </w:rPr>
        <w:t>t</w:t>
      </w:r>
      <w:r>
        <w:rPr>
          <w:sz w:val="22"/>
          <w:szCs w:val="22"/>
        </w:rPr>
        <w:t xml:space="preserve">he Hon’ble Commission </w:t>
      </w:r>
      <w:r w:rsidR="007435B6">
        <w:rPr>
          <w:sz w:val="22"/>
          <w:szCs w:val="22"/>
        </w:rPr>
        <w:t xml:space="preserve">is requested to </w:t>
      </w:r>
      <w:r>
        <w:rPr>
          <w:sz w:val="22"/>
          <w:szCs w:val="22"/>
        </w:rPr>
        <w:t xml:space="preserve"> </w:t>
      </w:r>
      <w:r w:rsidR="007B72C4">
        <w:rPr>
          <w:sz w:val="22"/>
          <w:szCs w:val="22"/>
        </w:rPr>
        <w:t xml:space="preserve">true-up </w:t>
      </w:r>
      <w:r>
        <w:rPr>
          <w:sz w:val="22"/>
          <w:szCs w:val="22"/>
        </w:rPr>
        <w:t xml:space="preserve">the total fixed cost for </w:t>
      </w:r>
      <w:r w:rsidR="0019456B">
        <w:rPr>
          <w:sz w:val="22"/>
          <w:szCs w:val="22"/>
        </w:rPr>
        <w:t>PPS-I</w:t>
      </w:r>
      <w:r>
        <w:rPr>
          <w:sz w:val="22"/>
          <w:szCs w:val="22"/>
        </w:rPr>
        <w:t xml:space="preserve"> for the control period</w:t>
      </w:r>
      <w:r w:rsidR="007B72C4">
        <w:rPr>
          <w:sz w:val="22"/>
          <w:szCs w:val="22"/>
        </w:rPr>
        <w:t xml:space="preserve"> </w:t>
      </w:r>
      <w:r w:rsidR="004054BF">
        <w:rPr>
          <w:sz w:val="22"/>
          <w:szCs w:val="22"/>
        </w:rPr>
        <w:t>FY 2012-13, 2013-14 and 2014-15 (</w:t>
      </w:r>
      <w:r w:rsidR="0035513F">
        <w:rPr>
          <w:sz w:val="22"/>
          <w:szCs w:val="22"/>
        </w:rPr>
        <w:t>Estimated</w:t>
      </w:r>
      <w:r w:rsidR="004054BF">
        <w:rPr>
          <w:sz w:val="22"/>
          <w:szCs w:val="22"/>
        </w:rPr>
        <w:t xml:space="preserve">) </w:t>
      </w:r>
      <w:r w:rsidR="007B72C4">
        <w:rPr>
          <w:sz w:val="22"/>
          <w:szCs w:val="22"/>
        </w:rPr>
        <w:t xml:space="preserve">and approve the total fixed cost for </w:t>
      </w:r>
      <w:r w:rsidR="002E3AC1">
        <w:rPr>
          <w:sz w:val="22"/>
          <w:szCs w:val="22"/>
        </w:rPr>
        <w:t xml:space="preserve">the period </w:t>
      </w:r>
      <w:r w:rsidR="007B72C4">
        <w:rPr>
          <w:sz w:val="22"/>
          <w:szCs w:val="22"/>
        </w:rPr>
        <w:t xml:space="preserve">FY </w:t>
      </w:r>
      <w:r w:rsidR="003970FE">
        <w:rPr>
          <w:sz w:val="22"/>
          <w:szCs w:val="22"/>
        </w:rPr>
        <w:t>2015-16.</w:t>
      </w:r>
    </w:p>
    <w:p w:rsidR="000F7069" w:rsidRDefault="000F7069">
      <w:pPr>
        <w:rPr>
          <w:b/>
          <w:bCs/>
          <w:sz w:val="22"/>
          <w:szCs w:val="22"/>
        </w:rPr>
      </w:pPr>
    </w:p>
    <w:p w:rsidR="00B50C89" w:rsidRDefault="00B50C89">
      <w:pPr>
        <w:rPr>
          <w:b/>
          <w:bCs/>
          <w:sz w:val="22"/>
          <w:szCs w:val="22"/>
        </w:rPr>
      </w:pPr>
    </w:p>
    <w:p w:rsidR="00B50C89" w:rsidRDefault="00B50C89">
      <w:pPr>
        <w:rPr>
          <w:b/>
          <w:bCs/>
          <w:sz w:val="22"/>
          <w:szCs w:val="22"/>
        </w:rPr>
      </w:pPr>
    </w:p>
    <w:p w:rsidR="00067922" w:rsidRDefault="002B4667" w:rsidP="002B4667">
      <w:pPr>
        <w:pStyle w:val="Heading1"/>
        <w:numPr>
          <w:ilvl w:val="0"/>
          <w:numId w:val="0"/>
        </w:numPr>
        <w:jc w:val="center"/>
        <w:rPr>
          <w:color w:val="000080"/>
        </w:rPr>
      </w:pPr>
      <w:bookmarkStart w:id="53" w:name="_Toc411603927"/>
      <w:bookmarkStart w:id="54" w:name="_Toc173941689"/>
      <w:bookmarkStart w:id="55" w:name="_Toc174434505"/>
      <w:bookmarkStart w:id="56" w:name="_Toc173941688"/>
      <w:bookmarkStart w:id="57" w:name="_Toc174434504"/>
      <w:r>
        <w:lastRenderedPageBreak/>
        <w:t xml:space="preserve">Chapter 5: </w:t>
      </w:r>
      <w:r w:rsidR="00067922" w:rsidRPr="002B4667">
        <w:t>Capital</w:t>
      </w:r>
      <w:r w:rsidR="00067922">
        <w:rPr>
          <w:color w:val="000080"/>
        </w:rPr>
        <w:t xml:space="preserve"> </w:t>
      </w:r>
      <w:r w:rsidR="00067922" w:rsidRPr="002B4667">
        <w:t>Expenditure</w:t>
      </w:r>
      <w:bookmarkEnd w:id="53"/>
      <w:r w:rsidR="00067922">
        <w:rPr>
          <w:color w:val="000080"/>
        </w:rPr>
        <w:t xml:space="preserve"> </w:t>
      </w:r>
      <w:bookmarkEnd w:id="54"/>
      <w:bookmarkEnd w:id="55"/>
    </w:p>
    <w:bookmarkEnd w:id="56"/>
    <w:bookmarkEnd w:id="57"/>
    <w:p w:rsidR="002B4667" w:rsidRDefault="002B4667" w:rsidP="002B4667">
      <w:pPr>
        <w:pStyle w:val="StyleHeading216ptJustifiedLinespacing15lines"/>
        <w:numPr>
          <w:ilvl w:val="1"/>
          <w:numId w:val="16"/>
        </w:numPr>
        <w:rPr>
          <w:sz w:val="22"/>
          <w:szCs w:val="22"/>
        </w:rPr>
      </w:pPr>
      <w:r>
        <w:rPr>
          <w:sz w:val="22"/>
          <w:szCs w:val="22"/>
        </w:rPr>
        <w:t xml:space="preserve"> </w:t>
      </w:r>
      <w:bookmarkStart w:id="58" w:name="_Toc411603928"/>
      <w:r w:rsidRPr="002B4667">
        <w:rPr>
          <w:color w:val="000080"/>
        </w:rPr>
        <w:t>Capital</w:t>
      </w:r>
      <w:r>
        <w:rPr>
          <w:sz w:val="22"/>
          <w:szCs w:val="22"/>
        </w:rPr>
        <w:t xml:space="preserve"> </w:t>
      </w:r>
      <w:r w:rsidRPr="002B4667">
        <w:rPr>
          <w:color w:val="000080"/>
        </w:rPr>
        <w:t>Expenditure</w:t>
      </w:r>
      <w:bookmarkEnd w:id="58"/>
      <w:r>
        <w:rPr>
          <w:sz w:val="22"/>
          <w:szCs w:val="22"/>
        </w:rPr>
        <w:t xml:space="preserve"> </w:t>
      </w:r>
    </w:p>
    <w:p w:rsidR="00A5101D" w:rsidRDefault="00A5101D" w:rsidP="000F42A1">
      <w:pPr>
        <w:ind w:left="600"/>
        <w:rPr>
          <w:sz w:val="22"/>
          <w:szCs w:val="22"/>
        </w:rPr>
      </w:pPr>
      <w:r>
        <w:rPr>
          <w:sz w:val="22"/>
          <w:szCs w:val="22"/>
        </w:rPr>
        <w:t>In this regard, Petitioner may like to submit that PPS-I is designated consumer under PAT Scheme of Bureau of Energy Efficiency</w:t>
      </w:r>
      <w:r w:rsidR="00F17445">
        <w:rPr>
          <w:sz w:val="22"/>
          <w:szCs w:val="22"/>
        </w:rPr>
        <w:t>, Ministry of Power, GOI, Notification on 30</w:t>
      </w:r>
      <w:r w:rsidR="00F17445" w:rsidRPr="00F17445">
        <w:rPr>
          <w:sz w:val="22"/>
          <w:szCs w:val="22"/>
          <w:vertAlign w:val="superscript"/>
        </w:rPr>
        <w:t>th</w:t>
      </w:r>
      <w:r w:rsidR="00F17445">
        <w:rPr>
          <w:sz w:val="22"/>
          <w:szCs w:val="22"/>
        </w:rPr>
        <w:t xml:space="preserve"> March, 2012.  </w:t>
      </w:r>
      <w:r w:rsidR="000C4B07">
        <w:rPr>
          <w:sz w:val="22"/>
          <w:szCs w:val="22"/>
        </w:rPr>
        <w:t xml:space="preserve">The PAT framework has been developed considering the legal requirement under EC Act, 2010.  </w:t>
      </w:r>
      <w:r w:rsidR="0031575B">
        <w:rPr>
          <w:sz w:val="22"/>
          <w:szCs w:val="22"/>
        </w:rPr>
        <w:t xml:space="preserve">The PAT scheme is involved in Order to incentivize industry to </w:t>
      </w:r>
      <w:r w:rsidR="00110D73">
        <w:rPr>
          <w:sz w:val="22"/>
          <w:szCs w:val="22"/>
        </w:rPr>
        <w:t>achieve</w:t>
      </w:r>
      <w:r w:rsidR="0031575B">
        <w:rPr>
          <w:sz w:val="22"/>
          <w:szCs w:val="22"/>
        </w:rPr>
        <w:t xml:space="preserve"> better e</w:t>
      </w:r>
      <w:r w:rsidR="00415C9E">
        <w:rPr>
          <w:sz w:val="22"/>
          <w:szCs w:val="22"/>
        </w:rPr>
        <w:t>nergy efficiency improvement tha</w:t>
      </w:r>
      <w:r w:rsidR="0031575B">
        <w:rPr>
          <w:sz w:val="22"/>
          <w:szCs w:val="22"/>
        </w:rPr>
        <w:t>n their specified SEC improvement targets in a cost effective manner. BEE, the nodal agency for implementation of PAT had given target to petitioner to reduce its</w:t>
      </w:r>
      <w:r w:rsidR="00415C9E">
        <w:rPr>
          <w:sz w:val="22"/>
          <w:szCs w:val="22"/>
        </w:rPr>
        <w:t xml:space="preserve"> net</w:t>
      </w:r>
      <w:r w:rsidR="0031575B">
        <w:rPr>
          <w:sz w:val="22"/>
          <w:szCs w:val="22"/>
        </w:rPr>
        <w:t xml:space="preserve"> specific heat rate (</w:t>
      </w:r>
      <w:r w:rsidR="00415C9E">
        <w:rPr>
          <w:sz w:val="22"/>
          <w:szCs w:val="22"/>
        </w:rPr>
        <w:t>N</w:t>
      </w:r>
      <w:r w:rsidR="0031575B">
        <w:rPr>
          <w:sz w:val="22"/>
          <w:szCs w:val="22"/>
        </w:rPr>
        <w:t>SHR) from average heat rat of 2068 to 2061 Kcal/kWh during 2012-13 to 2014-15.</w:t>
      </w:r>
      <w:r w:rsidR="00110D73">
        <w:rPr>
          <w:sz w:val="22"/>
          <w:szCs w:val="22"/>
        </w:rPr>
        <w:t xml:space="preserve">  This has been computed for average annual net generation of </w:t>
      </w:r>
      <w:r w:rsidR="00362054">
        <w:rPr>
          <w:sz w:val="22"/>
          <w:szCs w:val="22"/>
        </w:rPr>
        <w:t xml:space="preserve">2352 MU.  </w:t>
      </w:r>
      <w:r w:rsidR="00996B7B">
        <w:rPr>
          <w:sz w:val="22"/>
          <w:szCs w:val="22"/>
        </w:rPr>
        <w:t>Earlier, the petitioner had submitted energy efficiency improvement scheme of the station of the petitioner.  The schemes undertaken for energy efficiency improvement are capital in nature, therefore, schemes like replacement of fan coolers, BFP speed reduction have been approved</w:t>
      </w:r>
      <w:r w:rsidR="00B03A2C">
        <w:rPr>
          <w:sz w:val="22"/>
          <w:szCs w:val="22"/>
        </w:rPr>
        <w:t xml:space="preserve"> as capex</w:t>
      </w:r>
      <w:r w:rsidR="00996B7B">
        <w:rPr>
          <w:sz w:val="22"/>
          <w:szCs w:val="22"/>
        </w:rPr>
        <w:t xml:space="preserve"> by Hon’ble Commission and implemented. </w:t>
      </w:r>
      <w:r w:rsidR="00331AA5">
        <w:rPr>
          <w:sz w:val="22"/>
          <w:szCs w:val="22"/>
        </w:rPr>
        <w:t xml:space="preserve">Due to implementation of above schemes </w:t>
      </w:r>
      <w:r w:rsidR="00727F06">
        <w:rPr>
          <w:sz w:val="22"/>
          <w:szCs w:val="22"/>
        </w:rPr>
        <w:t>petitioner</w:t>
      </w:r>
      <w:r w:rsidR="00331AA5">
        <w:rPr>
          <w:sz w:val="22"/>
          <w:szCs w:val="22"/>
        </w:rPr>
        <w:t xml:space="preserve"> will be able to achieve target TOE </w:t>
      </w:r>
      <w:r w:rsidR="00727F06">
        <w:rPr>
          <w:sz w:val="22"/>
          <w:szCs w:val="22"/>
        </w:rPr>
        <w:t xml:space="preserve">(Tones of Oil Equivalent) </w:t>
      </w:r>
      <w:r w:rsidR="00331AA5">
        <w:rPr>
          <w:sz w:val="22"/>
          <w:szCs w:val="22"/>
        </w:rPr>
        <w:t xml:space="preserve">of 4939.2 during FY 2012-13 to 2014-15.  However, in the next PAT cycle of FY 15-16, 16-17, &amp; 17-18 petitioner needs to implement energy saving schemes </w:t>
      </w:r>
      <w:r w:rsidR="00F4281B">
        <w:rPr>
          <w:sz w:val="22"/>
          <w:szCs w:val="22"/>
        </w:rPr>
        <w:t>to achieve the target set by BEE for the period</w:t>
      </w:r>
      <w:r w:rsidR="00331AA5">
        <w:rPr>
          <w:sz w:val="22"/>
          <w:szCs w:val="22"/>
        </w:rPr>
        <w:t>.</w:t>
      </w:r>
      <w:r w:rsidR="007957C4">
        <w:rPr>
          <w:sz w:val="22"/>
          <w:szCs w:val="22"/>
        </w:rPr>
        <w:t xml:space="preserve"> </w:t>
      </w:r>
      <w:r w:rsidR="00EA2B05">
        <w:rPr>
          <w:sz w:val="22"/>
          <w:szCs w:val="22"/>
        </w:rPr>
        <w:t xml:space="preserve"> Petitioner had framed </w:t>
      </w:r>
      <w:r w:rsidR="00856CAC">
        <w:rPr>
          <w:sz w:val="22"/>
          <w:szCs w:val="22"/>
        </w:rPr>
        <w:t>some</w:t>
      </w:r>
      <w:r w:rsidR="00EA2B05">
        <w:rPr>
          <w:sz w:val="22"/>
          <w:szCs w:val="22"/>
        </w:rPr>
        <w:t xml:space="preserve"> action plan for energy efficiency </w:t>
      </w:r>
      <w:r w:rsidR="00856CAC">
        <w:rPr>
          <w:sz w:val="22"/>
          <w:szCs w:val="22"/>
        </w:rPr>
        <w:t xml:space="preserve">improvement </w:t>
      </w:r>
      <w:r w:rsidR="00EA2B05">
        <w:rPr>
          <w:sz w:val="22"/>
          <w:szCs w:val="22"/>
        </w:rPr>
        <w:t xml:space="preserve">during next PAT cycle before notification for next PAT cycle is issued. </w:t>
      </w:r>
      <w:r w:rsidR="007957C4">
        <w:rPr>
          <w:sz w:val="22"/>
          <w:szCs w:val="22"/>
        </w:rPr>
        <w:t xml:space="preserve"> Some of such schemes </w:t>
      </w:r>
      <w:r w:rsidR="001165E1">
        <w:rPr>
          <w:sz w:val="22"/>
          <w:szCs w:val="22"/>
        </w:rPr>
        <w:t>are</w:t>
      </w:r>
      <w:r w:rsidR="00F6601C">
        <w:rPr>
          <w:sz w:val="22"/>
          <w:szCs w:val="22"/>
        </w:rPr>
        <w:t xml:space="preserve"> variable frequency drive in boiler feed pumps to further reduce the auxiliary consumption, </w:t>
      </w:r>
      <w:r w:rsidR="00D97249">
        <w:rPr>
          <w:sz w:val="22"/>
          <w:szCs w:val="22"/>
        </w:rPr>
        <w:t>LED tube lights and bulbs in place of conventional tube lights and Bulbs</w:t>
      </w:r>
      <w:r w:rsidR="007957C4">
        <w:rPr>
          <w:sz w:val="22"/>
          <w:szCs w:val="22"/>
        </w:rPr>
        <w:t xml:space="preserve">.  </w:t>
      </w:r>
      <w:r w:rsidR="001165E1">
        <w:rPr>
          <w:sz w:val="22"/>
          <w:szCs w:val="22"/>
        </w:rPr>
        <w:t>Apart from above, there are certain expenditure required for arresting deterioration in output, reliability of equipments.  Such schemes being proposed by the petitioners includes procu</w:t>
      </w:r>
      <w:r w:rsidR="00192849">
        <w:rPr>
          <w:sz w:val="22"/>
          <w:szCs w:val="22"/>
        </w:rPr>
        <w:t xml:space="preserve">rement of spare </w:t>
      </w:r>
      <w:r w:rsidR="001165E1">
        <w:rPr>
          <w:sz w:val="22"/>
          <w:szCs w:val="22"/>
        </w:rPr>
        <w:t xml:space="preserve"> GT and STG generators, GT compressor rotor and IGV, replacement of cooling tower fills, renovation of side steam filtration of CW system</w:t>
      </w:r>
      <w:r w:rsidR="00E77B37">
        <w:rPr>
          <w:sz w:val="22"/>
          <w:szCs w:val="22"/>
        </w:rPr>
        <w:t xml:space="preserve">.  Apart from above, there </w:t>
      </w:r>
      <w:r w:rsidR="00D9775F">
        <w:rPr>
          <w:sz w:val="22"/>
          <w:szCs w:val="22"/>
        </w:rPr>
        <w:t>are some investments</w:t>
      </w:r>
      <w:r w:rsidR="00E77B37">
        <w:rPr>
          <w:sz w:val="22"/>
          <w:szCs w:val="22"/>
        </w:rPr>
        <w:t xml:space="preserve"> required for procuring software for HMI / DAS system</w:t>
      </w:r>
      <w:r w:rsidR="00114B82">
        <w:rPr>
          <w:sz w:val="22"/>
          <w:szCs w:val="22"/>
        </w:rPr>
        <w:t xml:space="preserve"> of steam turbine control system</w:t>
      </w:r>
      <w:r w:rsidR="00192849">
        <w:rPr>
          <w:sz w:val="22"/>
          <w:szCs w:val="22"/>
        </w:rPr>
        <w:t xml:space="preserve"> due to obsolen</w:t>
      </w:r>
      <w:r w:rsidR="00152ABB">
        <w:rPr>
          <w:sz w:val="22"/>
          <w:szCs w:val="22"/>
        </w:rPr>
        <w:t>c</w:t>
      </w:r>
      <w:r w:rsidR="00192849">
        <w:rPr>
          <w:sz w:val="22"/>
          <w:szCs w:val="22"/>
        </w:rPr>
        <w:t>e and non availability of spares</w:t>
      </w:r>
      <w:r w:rsidR="00420C88">
        <w:rPr>
          <w:sz w:val="22"/>
          <w:szCs w:val="22"/>
        </w:rPr>
        <w:t xml:space="preserve"> and services</w:t>
      </w:r>
      <w:r w:rsidR="00114B82">
        <w:rPr>
          <w:sz w:val="22"/>
          <w:szCs w:val="22"/>
        </w:rPr>
        <w:t xml:space="preserve">.  Petitioner may further like to submit that Delhi Pollution Control Board </w:t>
      </w:r>
      <w:r w:rsidR="00F4032B">
        <w:rPr>
          <w:sz w:val="22"/>
          <w:szCs w:val="22"/>
        </w:rPr>
        <w:t xml:space="preserve">have mandated </w:t>
      </w:r>
      <w:r w:rsidR="007136F9">
        <w:rPr>
          <w:sz w:val="22"/>
          <w:szCs w:val="22"/>
        </w:rPr>
        <w:t xml:space="preserve">to </w:t>
      </w:r>
      <w:r w:rsidR="007136F9">
        <w:rPr>
          <w:sz w:val="22"/>
          <w:szCs w:val="22"/>
        </w:rPr>
        <w:lastRenderedPageBreak/>
        <w:t>provide online pollution monitoring system at  main stack of both the HRSGs of PPS-I.</w:t>
      </w:r>
      <w:r w:rsidR="006A0D99">
        <w:rPr>
          <w:sz w:val="22"/>
          <w:szCs w:val="22"/>
        </w:rPr>
        <w:t xml:space="preserve">  This will require an expenditure of Rs.48.16 lacs.  </w:t>
      </w:r>
    </w:p>
    <w:p w:rsidR="006A0D99" w:rsidRDefault="006A0D99" w:rsidP="000F42A1">
      <w:pPr>
        <w:ind w:left="600"/>
        <w:rPr>
          <w:sz w:val="22"/>
          <w:szCs w:val="22"/>
        </w:rPr>
      </w:pPr>
      <w:r>
        <w:rPr>
          <w:sz w:val="22"/>
          <w:szCs w:val="22"/>
        </w:rPr>
        <w:t>In view of the above, petitioner have compiled list of Capex schemes along with their cost, year of implementation and possible impact on performance and reliability of the plant.</w:t>
      </w:r>
      <w:r w:rsidR="00B03A2C">
        <w:rPr>
          <w:sz w:val="22"/>
          <w:szCs w:val="22"/>
        </w:rPr>
        <w:t xml:space="preserve"> Further schemes in table 24 though approved by H</w:t>
      </w:r>
      <w:r w:rsidR="000E3724">
        <w:rPr>
          <w:sz w:val="22"/>
          <w:szCs w:val="22"/>
        </w:rPr>
        <w:t>on</w:t>
      </w:r>
      <w:r w:rsidR="00B03A2C">
        <w:rPr>
          <w:sz w:val="22"/>
          <w:szCs w:val="22"/>
        </w:rPr>
        <w:t>’</w:t>
      </w:r>
      <w:r w:rsidR="000E3724">
        <w:rPr>
          <w:sz w:val="22"/>
          <w:szCs w:val="22"/>
        </w:rPr>
        <w:t>ble Commssion for Implementation during F</w:t>
      </w:r>
      <w:r w:rsidR="00B03A2C">
        <w:rPr>
          <w:sz w:val="22"/>
          <w:szCs w:val="22"/>
        </w:rPr>
        <w:t>Y</w:t>
      </w:r>
      <w:r w:rsidR="000E3724">
        <w:rPr>
          <w:sz w:val="22"/>
          <w:szCs w:val="22"/>
        </w:rPr>
        <w:t xml:space="preserve"> 2012-12 ,</w:t>
      </w:r>
      <w:r w:rsidR="00B03A2C">
        <w:rPr>
          <w:sz w:val="22"/>
          <w:szCs w:val="22"/>
        </w:rPr>
        <w:t xml:space="preserve"> FY </w:t>
      </w:r>
      <w:r w:rsidR="000E3724">
        <w:rPr>
          <w:sz w:val="22"/>
          <w:szCs w:val="22"/>
        </w:rPr>
        <w:t>2013-14 and F</w:t>
      </w:r>
      <w:r w:rsidR="00B03A2C">
        <w:rPr>
          <w:sz w:val="22"/>
          <w:szCs w:val="22"/>
        </w:rPr>
        <w:t>Y</w:t>
      </w:r>
      <w:r w:rsidR="000E3724">
        <w:rPr>
          <w:sz w:val="22"/>
          <w:szCs w:val="22"/>
        </w:rPr>
        <w:t xml:space="preserve"> 2014-15 will get spilled over next years as per following details:</w:t>
      </w:r>
    </w:p>
    <w:p w:rsidR="00A5101D" w:rsidRDefault="000E3724" w:rsidP="00BD0736">
      <w:pPr>
        <w:pStyle w:val="Caption"/>
        <w:jc w:val="center"/>
        <w:rPr>
          <w:sz w:val="22"/>
          <w:szCs w:val="22"/>
        </w:rPr>
      </w:pPr>
      <w:bookmarkStart w:id="59" w:name="_Toc411525199"/>
      <w:r>
        <w:t xml:space="preserve">Table </w:t>
      </w:r>
      <w:fldSimple w:instr=" SEQ Table \* ARABIC ">
        <w:r w:rsidR="000F406F">
          <w:rPr>
            <w:noProof/>
          </w:rPr>
          <w:t>24</w:t>
        </w:r>
      </w:fldSimple>
      <w:r>
        <w:t xml:space="preserve"> :</w:t>
      </w:r>
      <w:r w:rsidRPr="00BE5536">
        <w:t xml:space="preserve"> </w:t>
      </w:r>
      <w:r>
        <w:t xml:space="preserve">Details of </w:t>
      </w:r>
      <w:r w:rsidR="00183CA2">
        <w:t>carry over capex schemes</w:t>
      </w:r>
      <w:bookmarkEnd w:id="59"/>
      <w:r w:rsidR="00183CA2">
        <w:t xml:space="preserve"> </w:t>
      </w:r>
      <w:r w:rsidRPr="00BE5536">
        <w:t xml:space="preserve"> </w:t>
      </w:r>
    </w:p>
    <w:tbl>
      <w:tblPr>
        <w:tblW w:w="543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1575"/>
        <w:gridCol w:w="982"/>
        <w:gridCol w:w="914"/>
        <w:gridCol w:w="890"/>
        <w:gridCol w:w="754"/>
        <w:gridCol w:w="754"/>
        <w:gridCol w:w="925"/>
        <w:gridCol w:w="657"/>
        <w:gridCol w:w="754"/>
        <w:gridCol w:w="1596"/>
      </w:tblGrid>
      <w:tr w:rsidR="00C2370F" w:rsidRPr="00BD0736" w:rsidTr="00350B98">
        <w:trPr>
          <w:trHeight w:val="600"/>
        </w:trPr>
        <w:tc>
          <w:tcPr>
            <w:tcW w:w="241" w:type="pct"/>
            <w:shd w:val="clear" w:color="auto" w:fill="00B0F0"/>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Sr. No.</w:t>
            </w:r>
          </w:p>
        </w:tc>
        <w:tc>
          <w:tcPr>
            <w:tcW w:w="765" w:type="pct"/>
            <w:shd w:val="clear" w:color="auto" w:fill="00B0F0"/>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Scheme</w:t>
            </w:r>
          </w:p>
        </w:tc>
        <w:tc>
          <w:tcPr>
            <w:tcW w:w="477" w:type="pct"/>
            <w:shd w:val="clear" w:color="auto" w:fill="00B0F0"/>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Approval from DERC</w:t>
            </w:r>
          </w:p>
        </w:tc>
        <w:tc>
          <w:tcPr>
            <w:tcW w:w="444"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Estimate (Rs. In Lacs)</w:t>
            </w:r>
          </w:p>
        </w:tc>
        <w:tc>
          <w:tcPr>
            <w:tcW w:w="432"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2014-15</w:t>
            </w:r>
          </w:p>
        </w:tc>
        <w:tc>
          <w:tcPr>
            <w:tcW w:w="366"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449"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2015-16</w:t>
            </w:r>
          </w:p>
        </w:tc>
        <w:tc>
          <w:tcPr>
            <w:tcW w:w="319"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00B0F0"/>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776" w:type="pct"/>
            <w:shd w:val="clear" w:color="auto" w:fill="00B0F0"/>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Status</w:t>
            </w:r>
          </w:p>
          <w:p w:rsidR="00C2370F" w:rsidRPr="00BD0736" w:rsidRDefault="00C2370F" w:rsidP="00F7207C">
            <w:pPr>
              <w:spacing w:line="240" w:lineRule="auto"/>
              <w:jc w:val="left"/>
              <w:rPr>
                <w:rFonts w:ascii="Calibri" w:hAnsi="Calibri" w:cs="Times New Roman"/>
                <w:b/>
                <w:bCs/>
                <w:sz w:val="18"/>
                <w:szCs w:val="18"/>
              </w:rPr>
            </w:pPr>
          </w:p>
        </w:tc>
      </w:tr>
      <w:tr w:rsidR="00C2370F" w:rsidRPr="00BD0736" w:rsidTr="00BD0736">
        <w:trPr>
          <w:trHeight w:val="18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1</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Up-gradation of Mark V control system to Mark Vie control system for GT#1 &amp; 2</w:t>
            </w:r>
          </w:p>
        </w:tc>
        <w:tc>
          <w:tcPr>
            <w:tcW w:w="477" w:type="pct"/>
            <w:shd w:val="clear" w:color="auto" w:fill="auto"/>
            <w:noWrap/>
            <w:vAlign w:val="center"/>
            <w:hideMark/>
          </w:tcPr>
          <w:p w:rsidR="00F7207C" w:rsidRPr="00BD0736" w:rsidRDefault="00F7207C" w:rsidP="00F7207C">
            <w:pPr>
              <w:spacing w:line="240" w:lineRule="auto"/>
              <w:jc w:val="center"/>
              <w:rPr>
                <w:rFonts w:ascii="Calibri" w:hAnsi="Calibri" w:cs="Times New Roman"/>
                <w:sz w:val="18"/>
                <w:szCs w:val="18"/>
              </w:rPr>
            </w:pPr>
            <w:r w:rsidRPr="00BD0736">
              <w:rPr>
                <w:rFonts w:ascii="Calibri" w:hAnsi="Calibri" w:cs="Times New Roman"/>
                <w:sz w:val="18"/>
                <w:szCs w:val="18"/>
              </w:rPr>
              <w:t>Approved</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1040</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628.20</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91.96</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720.16</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576.83</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84.70</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661.53</w:t>
            </w:r>
          </w:p>
        </w:tc>
        <w:tc>
          <w:tcPr>
            <w:tcW w:w="776" w:type="pct"/>
            <w:shd w:val="clear" w:color="auto" w:fill="auto"/>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PO placed on OEM for both GTs</w:t>
            </w:r>
            <w:r w:rsidRPr="00BD0736">
              <w:rPr>
                <w:rFonts w:ascii="Calibri" w:hAnsi="Calibri" w:cs="Times New Roman"/>
                <w:sz w:val="18"/>
                <w:szCs w:val="18"/>
              </w:rPr>
              <w:br/>
              <w:t>Implemented in GT 1.</w:t>
            </w:r>
            <w:r w:rsidRPr="00BD0736">
              <w:rPr>
                <w:rFonts w:ascii="Calibri" w:hAnsi="Calibri" w:cs="Times New Roman"/>
                <w:sz w:val="18"/>
                <w:szCs w:val="18"/>
              </w:rPr>
              <w:br/>
              <w:t>Shall be implemented in GT 2 during scheduled major overhauling / Major Inspection in Aug. 2015</w:t>
            </w:r>
          </w:p>
        </w:tc>
      </w:tr>
      <w:tr w:rsidR="00C2370F" w:rsidRPr="00BD0736" w:rsidTr="00BD0736">
        <w:trPr>
          <w:trHeight w:val="129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2</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Up-gradation of STG Pro control Progress 3 system for STG.</w:t>
            </w:r>
          </w:p>
        </w:tc>
        <w:tc>
          <w:tcPr>
            <w:tcW w:w="477" w:type="pct"/>
            <w:shd w:val="clear" w:color="auto" w:fill="auto"/>
            <w:noWrap/>
            <w:vAlign w:val="center"/>
            <w:hideMark/>
          </w:tcPr>
          <w:p w:rsidR="00F7207C" w:rsidRPr="00BD0736" w:rsidRDefault="00F7207C" w:rsidP="00F7207C">
            <w:pPr>
              <w:spacing w:line="240" w:lineRule="auto"/>
              <w:jc w:val="center"/>
              <w:rPr>
                <w:rFonts w:ascii="Calibri" w:hAnsi="Calibri" w:cs="Times New Roman"/>
                <w:sz w:val="18"/>
                <w:szCs w:val="18"/>
              </w:rPr>
            </w:pPr>
            <w:r w:rsidRPr="00BD0736">
              <w:rPr>
                <w:rFonts w:ascii="Calibri" w:hAnsi="Calibri" w:cs="Times New Roman"/>
                <w:sz w:val="18"/>
                <w:szCs w:val="18"/>
              </w:rPr>
              <w:t>Approved</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85</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82.00</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11.51</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93.51</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0</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 </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0.00</w:t>
            </w:r>
          </w:p>
        </w:tc>
        <w:tc>
          <w:tcPr>
            <w:tcW w:w="776" w:type="pct"/>
            <w:shd w:val="clear" w:color="auto" w:fill="auto"/>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Implemented</w:t>
            </w:r>
          </w:p>
        </w:tc>
      </w:tr>
      <w:tr w:rsidR="00C2370F" w:rsidRPr="00BD0736" w:rsidTr="00BD0736">
        <w:trPr>
          <w:trHeight w:val="21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3</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Retrofitting of generator / transformer protection relay with numerical relays including design, engineering, testing &amp; commissioning for GTs</w:t>
            </w:r>
          </w:p>
        </w:tc>
        <w:tc>
          <w:tcPr>
            <w:tcW w:w="477" w:type="pct"/>
            <w:shd w:val="clear" w:color="auto" w:fill="auto"/>
            <w:noWrap/>
            <w:vAlign w:val="center"/>
            <w:hideMark/>
          </w:tcPr>
          <w:p w:rsidR="00F7207C" w:rsidRPr="00BD0736" w:rsidRDefault="00F7207C" w:rsidP="00F7207C">
            <w:pPr>
              <w:spacing w:line="240" w:lineRule="auto"/>
              <w:jc w:val="center"/>
              <w:rPr>
                <w:rFonts w:ascii="Calibri" w:hAnsi="Calibri" w:cs="Times New Roman"/>
                <w:sz w:val="18"/>
                <w:szCs w:val="18"/>
              </w:rPr>
            </w:pPr>
            <w:r w:rsidRPr="00BD0736">
              <w:rPr>
                <w:rFonts w:ascii="Calibri" w:hAnsi="Calibri" w:cs="Times New Roman"/>
                <w:sz w:val="18"/>
                <w:szCs w:val="18"/>
              </w:rPr>
              <w:t>Approved</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82</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24.25</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3.53</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27.78</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24.25</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3.53</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27.78</w:t>
            </w:r>
          </w:p>
        </w:tc>
        <w:tc>
          <w:tcPr>
            <w:tcW w:w="776" w:type="pct"/>
            <w:shd w:val="clear" w:color="auto" w:fill="auto"/>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PO placed on ALSTOM  for both GTs</w:t>
            </w:r>
            <w:r w:rsidRPr="00BD0736">
              <w:rPr>
                <w:rFonts w:ascii="Calibri" w:hAnsi="Calibri" w:cs="Times New Roman"/>
                <w:sz w:val="18"/>
                <w:szCs w:val="18"/>
              </w:rPr>
              <w:br/>
              <w:t>Implemented in GT 1.</w:t>
            </w:r>
            <w:r w:rsidRPr="00BD0736">
              <w:rPr>
                <w:rFonts w:ascii="Calibri" w:hAnsi="Calibri" w:cs="Times New Roman"/>
                <w:sz w:val="18"/>
                <w:szCs w:val="18"/>
              </w:rPr>
              <w:br/>
              <w:t>Shall be implemented in GT 2 during scheduled major overhauling / Major Inspection in Aug. 2015</w:t>
            </w:r>
          </w:p>
        </w:tc>
      </w:tr>
      <w:tr w:rsidR="00C2370F" w:rsidRPr="00BD0736" w:rsidTr="00BD0736">
        <w:trPr>
          <w:trHeight w:val="9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4</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Procurement of two numbers of high pressure portable pumps for fire fighting</w:t>
            </w:r>
          </w:p>
        </w:tc>
        <w:tc>
          <w:tcPr>
            <w:tcW w:w="477" w:type="pct"/>
            <w:shd w:val="clear" w:color="auto" w:fill="auto"/>
            <w:noWrap/>
            <w:vAlign w:val="center"/>
            <w:hideMark/>
          </w:tcPr>
          <w:p w:rsidR="00F7207C" w:rsidRPr="00BD0736" w:rsidRDefault="00F7207C" w:rsidP="00F7207C">
            <w:pPr>
              <w:spacing w:line="240" w:lineRule="auto"/>
              <w:jc w:val="center"/>
              <w:rPr>
                <w:rFonts w:ascii="Calibri" w:hAnsi="Calibri" w:cs="Times New Roman"/>
                <w:sz w:val="18"/>
                <w:szCs w:val="18"/>
              </w:rPr>
            </w:pPr>
            <w:r w:rsidRPr="00BD0736">
              <w:rPr>
                <w:rFonts w:ascii="Calibri" w:hAnsi="Calibri" w:cs="Times New Roman"/>
                <w:sz w:val="18"/>
                <w:szCs w:val="18"/>
              </w:rPr>
              <w:t>Approved</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16</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14.42</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0.33</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14.75</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0</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 </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sz w:val="18"/>
                <w:szCs w:val="18"/>
              </w:rPr>
            </w:pPr>
            <w:r w:rsidRPr="00BD0736">
              <w:rPr>
                <w:rFonts w:ascii="Calibri" w:hAnsi="Calibri" w:cs="Times New Roman"/>
                <w:sz w:val="18"/>
                <w:szCs w:val="18"/>
              </w:rPr>
              <w:t>0.00</w:t>
            </w:r>
          </w:p>
        </w:tc>
        <w:tc>
          <w:tcPr>
            <w:tcW w:w="776" w:type="pct"/>
            <w:shd w:val="clear" w:color="auto" w:fill="auto"/>
            <w:hideMark/>
          </w:tcPr>
          <w:p w:rsidR="00F7207C" w:rsidRPr="00BD0736" w:rsidRDefault="00F7207C" w:rsidP="00F7207C">
            <w:pPr>
              <w:spacing w:line="240" w:lineRule="auto"/>
              <w:jc w:val="left"/>
              <w:rPr>
                <w:rFonts w:ascii="Calibri" w:hAnsi="Calibri" w:cs="Times New Roman"/>
                <w:sz w:val="18"/>
                <w:szCs w:val="18"/>
              </w:rPr>
            </w:pPr>
            <w:r w:rsidRPr="00BD0736">
              <w:rPr>
                <w:rFonts w:ascii="Calibri" w:hAnsi="Calibri" w:cs="Times New Roman"/>
                <w:sz w:val="18"/>
                <w:szCs w:val="18"/>
              </w:rPr>
              <w:t>Implemented</w:t>
            </w:r>
          </w:p>
        </w:tc>
      </w:tr>
      <w:tr w:rsidR="00C2370F" w:rsidRPr="00BD0736" w:rsidTr="00BD0736">
        <w:trPr>
          <w:trHeight w:val="3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TOTAL excluding taxes</w:t>
            </w:r>
          </w:p>
        </w:tc>
        <w:tc>
          <w:tcPr>
            <w:tcW w:w="477" w:type="pct"/>
            <w:shd w:val="clear" w:color="auto" w:fill="auto"/>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 </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1223</w:t>
            </w:r>
          </w:p>
        </w:tc>
        <w:tc>
          <w:tcPr>
            <w:tcW w:w="432" w:type="pct"/>
            <w:shd w:val="clear" w:color="auto" w:fill="auto"/>
            <w:noWrap/>
            <w:vAlign w:val="bottom"/>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748.87</w:t>
            </w:r>
          </w:p>
        </w:tc>
        <w:tc>
          <w:tcPr>
            <w:tcW w:w="366" w:type="pct"/>
            <w:shd w:val="clear" w:color="auto" w:fill="auto"/>
            <w:noWrap/>
            <w:vAlign w:val="bottom"/>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449" w:type="pct"/>
            <w:shd w:val="clear" w:color="auto" w:fill="FFFFFF" w:themeFill="background1"/>
            <w:noWrap/>
            <w:vAlign w:val="bottom"/>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601.08</w:t>
            </w:r>
          </w:p>
        </w:tc>
        <w:tc>
          <w:tcPr>
            <w:tcW w:w="319" w:type="pct"/>
            <w:shd w:val="clear" w:color="auto" w:fill="auto"/>
            <w:noWrap/>
            <w:vAlign w:val="bottom"/>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auto"/>
            <w:noWrap/>
            <w:vAlign w:val="bottom"/>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 </w:t>
            </w:r>
          </w:p>
        </w:tc>
        <w:tc>
          <w:tcPr>
            <w:tcW w:w="776" w:type="pct"/>
            <w:shd w:val="clear" w:color="auto" w:fill="auto"/>
            <w:noWrap/>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1,349.95</w:t>
            </w:r>
          </w:p>
        </w:tc>
      </w:tr>
      <w:tr w:rsidR="00C2370F" w:rsidRPr="00BD0736" w:rsidTr="00BD0736">
        <w:trPr>
          <w:trHeight w:val="3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Taxes</w:t>
            </w:r>
          </w:p>
        </w:tc>
        <w:tc>
          <w:tcPr>
            <w:tcW w:w="477" w:type="pct"/>
            <w:shd w:val="clear" w:color="auto" w:fill="auto"/>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 </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107.33</w:t>
            </w:r>
          </w:p>
        </w:tc>
        <w:tc>
          <w:tcPr>
            <w:tcW w:w="366" w:type="pct"/>
            <w:shd w:val="clear" w:color="auto" w:fill="FFFFFF" w:themeFill="background1"/>
            <w:noWrap/>
            <w:vAlign w:val="bottom"/>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 </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88.23</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776" w:type="pct"/>
            <w:shd w:val="clear" w:color="auto" w:fill="auto"/>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 xml:space="preserve">                                                     195.56 </w:t>
            </w:r>
          </w:p>
        </w:tc>
      </w:tr>
      <w:tr w:rsidR="00C2370F" w:rsidRPr="00BD0736" w:rsidTr="00BD0736">
        <w:trPr>
          <w:trHeight w:val="300"/>
        </w:trPr>
        <w:tc>
          <w:tcPr>
            <w:tcW w:w="241"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765" w:type="pct"/>
            <w:shd w:val="clear" w:color="auto" w:fill="auto"/>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TOTAL including taxes</w:t>
            </w:r>
          </w:p>
        </w:tc>
        <w:tc>
          <w:tcPr>
            <w:tcW w:w="477" w:type="pct"/>
            <w:shd w:val="clear" w:color="auto" w:fill="auto"/>
            <w:vAlign w:val="center"/>
            <w:hideMark/>
          </w:tcPr>
          <w:p w:rsidR="00F7207C" w:rsidRPr="00BD0736" w:rsidRDefault="00F7207C" w:rsidP="00F7207C">
            <w:pPr>
              <w:spacing w:line="240" w:lineRule="auto"/>
              <w:jc w:val="center"/>
              <w:rPr>
                <w:rFonts w:ascii="Calibri" w:hAnsi="Calibri" w:cs="Times New Roman"/>
                <w:b/>
                <w:bCs/>
                <w:sz w:val="18"/>
                <w:szCs w:val="18"/>
              </w:rPr>
            </w:pPr>
            <w:r w:rsidRPr="00BD0736">
              <w:rPr>
                <w:rFonts w:ascii="Calibri" w:hAnsi="Calibri" w:cs="Times New Roman"/>
                <w:b/>
                <w:bCs/>
                <w:sz w:val="18"/>
                <w:szCs w:val="18"/>
              </w:rPr>
              <w:t> </w:t>
            </w:r>
          </w:p>
        </w:tc>
        <w:tc>
          <w:tcPr>
            <w:tcW w:w="444"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432"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856.20</w:t>
            </w:r>
          </w:p>
        </w:tc>
        <w:tc>
          <w:tcPr>
            <w:tcW w:w="449" w:type="pct"/>
            <w:shd w:val="clear" w:color="auto" w:fill="FFFFFF" w:themeFill="background1"/>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19"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 </w:t>
            </w:r>
          </w:p>
        </w:tc>
        <w:tc>
          <w:tcPr>
            <w:tcW w:w="366" w:type="pct"/>
            <w:shd w:val="clear" w:color="auto" w:fill="auto"/>
            <w:noWrap/>
            <w:vAlign w:val="center"/>
            <w:hideMark/>
          </w:tcPr>
          <w:p w:rsidR="00F7207C" w:rsidRPr="00BD0736" w:rsidRDefault="00F7207C" w:rsidP="00F7207C">
            <w:pPr>
              <w:spacing w:line="240" w:lineRule="auto"/>
              <w:jc w:val="right"/>
              <w:rPr>
                <w:rFonts w:ascii="Calibri" w:hAnsi="Calibri" w:cs="Times New Roman"/>
                <w:b/>
                <w:bCs/>
                <w:sz w:val="18"/>
                <w:szCs w:val="18"/>
              </w:rPr>
            </w:pPr>
            <w:r w:rsidRPr="00BD0736">
              <w:rPr>
                <w:rFonts w:ascii="Calibri" w:hAnsi="Calibri" w:cs="Times New Roman"/>
                <w:b/>
                <w:bCs/>
                <w:sz w:val="18"/>
                <w:szCs w:val="18"/>
              </w:rPr>
              <w:t>689.31</w:t>
            </w:r>
          </w:p>
        </w:tc>
        <w:tc>
          <w:tcPr>
            <w:tcW w:w="776" w:type="pct"/>
            <w:shd w:val="clear" w:color="auto" w:fill="auto"/>
            <w:vAlign w:val="center"/>
            <w:hideMark/>
          </w:tcPr>
          <w:p w:rsidR="00F7207C" w:rsidRPr="00BD0736" w:rsidRDefault="00F7207C" w:rsidP="00F7207C">
            <w:pPr>
              <w:spacing w:line="240" w:lineRule="auto"/>
              <w:jc w:val="left"/>
              <w:rPr>
                <w:rFonts w:ascii="Calibri" w:hAnsi="Calibri" w:cs="Times New Roman"/>
                <w:b/>
                <w:bCs/>
                <w:sz w:val="18"/>
                <w:szCs w:val="18"/>
              </w:rPr>
            </w:pPr>
            <w:r w:rsidRPr="00BD0736">
              <w:rPr>
                <w:rFonts w:ascii="Calibri" w:hAnsi="Calibri" w:cs="Times New Roman"/>
                <w:b/>
                <w:bCs/>
                <w:sz w:val="18"/>
                <w:szCs w:val="18"/>
              </w:rPr>
              <w:t>1,545.51</w:t>
            </w:r>
          </w:p>
        </w:tc>
      </w:tr>
    </w:tbl>
    <w:p w:rsidR="00F7207C" w:rsidRDefault="00F7207C" w:rsidP="000F42A1">
      <w:pPr>
        <w:ind w:left="600"/>
        <w:rPr>
          <w:sz w:val="22"/>
          <w:szCs w:val="22"/>
        </w:rPr>
      </w:pPr>
    </w:p>
    <w:p w:rsidR="00F7207C" w:rsidRDefault="00F7207C" w:rsidP="000F42A1">
      <w:pPr>
        <w:ind w:left="600"/>
        <w:rPr>
          <w:sz w:val="22"/>
          <w:szCs w:val="22"/>
        </w:rPr>
      </w:pPr>
    </w:p>
    <w:p w:rsidR="00E1425B" w:rsidRDefault="00E1425B" w:rsidP="00E1425B">
      <w:pPr>
        <w:pStyle w:val="ListParagraph"/>
        <w:spacing w:after="200" w:line="276" w:lineRule="auto"/>
        <w:ind w:left="360"/>
        <w:contextualSpacing/>
        <w:rPr>
          <w:bCs/>
          <w:sz w:val="22"/>
          <w:szCs w:val="22"/>
        </w:rPr>
      </w:pPr>
      <w:bookmarkStart w:id="60" w:name="_Toc173941719"/>
      <w:bookmarkStart w:id="61" w:name="_Toc174434533"/>
      <w:bookmarkEnd w:id="60"/>
      <w:bookmarkEnd w:id="61"/>
      <w:r w:rsidRPr="00E1425B">
        <w:rPr>
          <w:bCs/>
          <w:sz w:val="22"/>
          <w:szCs w:val="22"/>
        </w:rPr>
        <w:lastRenderedPageBreak/>
        <w:t xml:space="preserve">The </w:t>
      </w:r>
      <w:r>
        <w:rPr>
          <w:bCs/>
          <w:sz w:val="22"/>
          <w:szCs w:val="22"/>
        </w:rPr>
        <w:t xml:space="preserve">description of major capital additions </w:t>
      </w:r>
      <w:r w:rsidR="004C04ED">
        <w:rPr>
          <w:bCs/>
          <w:sz w:val="22"/>
          <w:szCs w:val="22"/>
        </w:rPr>
        <w:t>proposed for FY 2015-16</w:t>
      </w:r>
      <w:r w:rsidR="006B32A0">
        <w:rPr>
          <w:bCs/>
          <w:sz w:val="22"/>
          <w:szCs w:val="22"/>
        </w:rPr>
        <w:t>, 2016-17 &amp; 2017-18 are</w:t>
      </w:r>
      <w:r>
        <w:rPr>
          <w:bCs/>
          <w:sz w:val="22"/>
          <w:szCs w:val="22"/>
        </w:rPr>
        <w:t xml:space="preserve"> as under:-</w:t>
      </w:r>
    </w:p>
    <w:p w:rsidR="00FF1984" w:rsidRPr="00F473AD" w:rsidRDefault="00FF1984" w:rsidP="00FF1984">
      <w:pPr>
        <w:pStyle w:val="Caption"/>
        <w:jc w:val="center"/>
      </w:pPr>
      <w:bookmarkStart w:id="62" w:name="_Toc411525200"/>
      <w:r>
        <w:t xml:space="preserve">Table </w:t>
      </w:r>
      <w:fldSimple w:instr=" SEQ Table \* ARABIC ">
        <w:r w:rsidR="000F406F">
          <w:rPr>
            <w:noProof/>
          </w:rPr>
          <w:t>25</w:t>
        </w:r>
      </w:fldSimple>
      <w:r>
        <w:t xml:space="preserve"> :</w:t>
      </w:r>
      <w:r w:rsidRPr="00BE5536">
        <w:t xml:space="preserve"> </w:t>
      </w:r>
      <w:r>
        <w:t>Details of proposed Capex Schemes</w:t>
      </w:r>
      <w:bookmarkEnd w:id="62"/>
      <w:r w:rsidRPr="00BE553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8"/>
        <w:gridCol w:w="2880"/>
        <w:gridCol w:w="1017"/>
        <w:gridCol w:w="854"/>
        <w:gridCol w:w="767"/>
        <w:gridCol w:w="793"/>
        <w:gridCol w:w="2649"/>
      </w:tblGrid>
      <w:tr w:rsidR="006A0D99" w:rsidRPr="0010669A" w:rsidTr="003E7D14">
        <w:trPr>
          <w:trHeight w:val="388"/>
        </w:trPr>
        <w:tc>
          <w:tcPr>
            <w:tcW w:w="268" w:type="pct"/>
            <w:shd w:val="clear" w:color="auto" w:fill="000080"/>
          </w:tcPr>
          <w:p w:rsidR="006A0D99" w:rsidRPr="0010669A" w:rsidRDefault="006A0D99" w:rsidP="000F7E71">
            <w:pPr>
              <w:spacing w:line="240" w:lineRule="auto"/>
              <w:jc w:val="center"/>
              <w:rPr>
                <w:b/>
                <w:bCs/>
                <w:sz w:val="20"/>
                <w:szCs w:val="20"/>
                <w:lang w:bidi="gu-IN"/>
              </w:rPr>
            </w:pPr>
          </w:p>
        </w:tc>
        <w:tc>
          <w:tcPr>
            <w:tcW w:w="1521" w:type="pct"/>
            <w:shd w:val="clear" w:color="auto" w:fill="000080"/>
            <w:vAlign w:val="center"/>
          </w:tcPr>
          <w:p w:rsidR="006A0D99" w:rsidRPr="0010669A" w:rsidRDefault="006A0D99" w:rsidP="000F7E71">
            <w:pPr>
              <w:spacing w:line="240" w:lineRule="auto"/>
              <w:jc w:val="center"/>
              <w:rPr>
                <w:b/>
                <w:bCs/>
                <w:sz w:val="20"/>
                <w:szCs w:val="20"/>
                <w:lang w:bidi="gu-IN"/>
              </w:rPr>
            </w:pPr>
            <w:r w:rsidRPr="0010669A">
              <w:rPr>
                <w:b/>
                <w:bCs/>
                <w:sz w:val="20"/>
                <w:szCs w:val="20"/>
                <w:lang w:bidi="gu-IN"/>
              </w:rPr>
              <w:t>Description (Rs.in lacs)</w:t>
            </w:r>
          </w:p>
        </w:tc>
        <w:tc>
          <w:tcPr>
            <w:tcW w:w="537" w:type="pct"/>
            <w:shd w:val="clear" w:color="auto" w:fill="000080"/>
            <w:noWrap/>
            <w:vAlign w:val="center"/>
          </w:tcPr>
          <w:p w:rsidR="006A0D99" w:rsidRPr="0010669A" w:rsidRDefault="006A0D99" w:rsidP="000F7E71">
            <w:pPr>
              <w:spacing w:line="240" w:lineRule="auto"/>
              <w:ind w:left="-104" w:right="-108"/>
              <w:jc w:val="center"/>
              <w:rPr>
                <w:b/>
                <w:bCs/>
                <w:sz w:val="20"/>
                <w:szCs w:val="20"/>
                <w:lang w:bidi="gu-IN"/>
              </w:rPr>
            </w:pPr>
            <w:r w:rsidRPr="0010669A">
              <w:rPr>
                <w:b/>
                <w:bCs/>
                <w:sz w:val="20"/>
                <w:szCs w:val="20"/>
                <w:lang w:bidi="gu-IN"/>
              </w:rPr>
              <w:t>Estimate</w:t>
            </w:r>
          </w:p>
        </w:tc>
        <w:tc>
          <w:tcPr>
            <w:tcW w:w="451" w:type="pct"/>
            <w:shd w:val="clear" w:color="auto" w:fill="000080"/>
          </w:tcPr>
          <w:p w:rsidR="006A0D99" w:rsidRPr="0010669A" w:rsidRDefault="006A0D99" w:rsidP="000F7E71">
            <w:pPr>
              <w:spacing w:line="240" w:lineRule="auto"/>
              <w:ind w:left="-104" w:right="-108"/>
              <w:jc w:val="center"/>
              <w:rPr>
                <w:b/>
                <w:bCs/>
                <w:sz w:val="20"/>
                <w:szCs w:val="20"/>
                <w:lang w:bidi="gu-IN"/>
              </w:rPr>
            </w:pPr>
            <w:r w:rsidRPr="0010669A">
              <w:rPr>
                <w:b/>
                <w:bCs/>
                <w:sz w:val="20"/>
                <w:szCs w:val="20"/>
                <w:lang w:bidi="gu-IN"/>
              </w:rPr>
              <w:t>15-16</w:t>
            </w:r>
          </w:p>
        </w:tc>
        <w:tc>
          <w:tcPr>
            <w:tcW w:w="405" w:type="pct"/>
            <w:shd w:val="clear" w:color="auto" w:fill="000080"/>
          </w:tcPr>
          <w:p w:rsidR="006A0D99" w:rsidRPr="0010669A" w:rsidRDefault="006A0D99" w:rsidP="000F7E71">
            <w:pPr>
              <w:spacing w:line="240" w:lineRule="auto"/>
              <w:ind w:left="-104" w:right="-108"/>
              <w:jc w:val="center"/>
              <w:rPr>
                <w:b/>
                <w:bCs/>
                <w:sz w:val="20"/>
                <w:szCs w:val="20"/>
                <w:lang w:bidi="gu-IN"/>
              </w:rPr>
            </w:pPr>
            <w:r w:rsidRPr="0010669A">
              <w:rPr>
                <w:b/>
                <w:bCs/>
                <w:sz w:val="20"/>
                <w:szCs w:val="20"/>
                <w:lang w:bidi="gu-IN"/>
              </w:rPr>
              <w:t>16-17</w:t>
            </w:r>
          </w:p>
        </w:tc>
        <w:tc>
          <w:tcPr>
            <w:tcW w:w="419" w:type="pct"/>
            <w:shd w:val="clear" w:color="auto" w:fill="000080"/>
          </w:tcPr>
          <w:p w:rsidR="006A0D99" w:rsidRPr="0010669A" w:rsidRDefault="006A0D99" w:rsidP="000F7E71">
            <w:pPr>
              <w:spacing w:line="240" w:lineRule="auto"/>
              <w:ind w:left="-104" w:right="-108"/>
              <w:jc w:val="center"/>
              <w:rPr>
                <w:b/>
                <w:bCs/>
                <w:sz w:val="20"/>
                <w:szCs w:val="20"/>
                <w:lang w:bidi="gu-IN"/>
              </w:rPr>
            </w:pPr>
            <w:r w:rsidRPr="0010669A">
              <w:rPr>
                <w:b/>
                <w:bCs/>
                <w:sz w:val="20"/>
                <w:szCs w:val="20"/>
                <w:lang w:bidi="gu-IN"/>
              </w:rPr>
              <w:t>17-18</w:t>
            </w:r>
          </w:p>
        </w:tc>
        <w:tc>
          <w:tcPr>
            <w:tcW w:w="1399" w:type="pct"/>
            <w:shd w:val="clear" w:color="auto" w:fill="000080"/>
          </w:tcPr>
          <w:p w:rsidR="006A0D99" w:rsidRPr="0010669A" w:rsidRDefault="006A0D99" w:rsidP="000F7E71">
            <w:pPr>
              <w:spacing w:line="240" w:lineRule="auto"/>
              <w:ind w:left="-104" w:right="-108"/>
              <w:jc w:val="center"/>
              <w:rPr>
                <w:b/>
                <w:bCs/>
                <w:sz w:val="20"/>
                <w:szCs w:val="20"/>
                <w:lang w:bidi="gu-IN"/>
              </w:rPr>
            </w:pPr>
            <w:r w:rsidRPr="0010669A">
              <w:rPr>
                <w:b/>
                <w:bCs/>
                <w:sz w:val="20"/>
                <w:szCs w:val="20"/>
                <w:lang w:bidi="gu-IN"/>
              </w:rPr>
              <w:t>Remarks</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1</w:t>
            </w:r>
          </w:p>
        </w:tc>
        <w:tc>
          <w:tcPr>
            <w:tcW w:w="1521" w:type="pct"/>
            <w:vAlign w:val="center"/>
          </w:tcPr>
          <w:p w:rsidR="006A0D99" w:rsidRPr="0010669A" w:rsidRDefault="006A0D99" w:rsidP="0010669A">
            <w:pPr>
              <w:spacing w:line="240" w:lineRule="auto"/>
              <w:jc w:val="left"/>
              <w:rPr>
                <w:b/>
                <w:color w:val="FF0000"/>
                <w:sz w:val="20"/>
                <w:szCs w:val="20"/>
                <w:lang w:bidi="gu-IN"/>
              </w:rPr>
            </w:pPr>
            <w:r w:rsidRPr="0010669A">
              <w:rPr>
                <w:sz w:val="20"/>
                <w:szCs w:val="20"/>
                <w:lang w:bidi="gu-IN"/>
              </w:rPr>
              <w:t>Procurement of automatic Tan delta test kit in test lab of PPS-I :</w:t>
            </w:r>
          </w:p>
        </w:tc>
        <w:tc>
          <w:tcPr>
            <w:tcW w:w="537" w:type="pct"/>
            <w:noWrap/>
            <w:vAlign w:val="center"/>
          </w:tcPr>
          <w:p w:rsidR="006A0D99" w:rsidRPr="0010669A" w:rsidRDefault="006A0D99" w:rsidP="00220B18">
            <w:pPr>
              <w:spacing w:line="240" w:lineRule="auto"/>
              <w:ind w:left="-104" w:right="-108"/>
              <w:jc w:val="center"/>
              <w:rPr>
                <w:color w:val="FF0000"/>
                <w:sz w:val="20"/>
                <w:szCs w:val="20"/>
                <w:lang w:bidi="gu-IN"/>
              </w:rPr>
            </w:pP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49.00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6A0D99" w:rsidP="00D819E4">
            <w:pPr>
              <w:spacing w:line="240" w:lineRule="auto"/>
              <w:ind w:right="72"/>
              <w:rPr>
                <w:sz w:val="18"/>
                <w:lang w:bidi="gu-IN"/>
              </w:rPr>
            </w:pPr>
            <w:r w:rsidRPr="00CD2103">
              <w:rPr>
                <w:sz w:val="18"/>
                <w:lang w:bidi="gu-IN"/>
              </w:rPr>
              <w:t>Required for safety &amp; reliability of the station</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2</w:t>
            </w:r>
          </w:p>
        </w:tc>
        <w:tc>
          <w:tcPr>
            <w:tcW w:w="1521" w:type="pct"/>
            <w:vAlign w:val="center"/>
          </w:tcPr>
          <w:p w:rsidR="006A0D99" w:rsidRPr="0010669A" w:rsidRDefault="006A0D99" w:rsidP="000F7E71">
            <w:pPr>
              <w:spacing w:line="240" w:lineRule="auto"/>
              <w:jc w:val="left"/>
              <w:rPr>
                <w:color w:val="FF0000"/>
                <w:sz w:val="20"/>
                <w:szCs w:val="20"/>
                <w:lang w:bidi="gu-IN"/>
              </w:rPr>
            </w:pPr>
            <w:r w:rsidRPr="0010669A">
              <w:rPr>
                <w:sz w:val="20"/>
                <w:szCs w:val="20"/>
              </w:rPr>
              <w:t>Procurement of automatic portable DGA kit in test lab of PPS-I</w:t>
            </w:r>
          </w:p>
        </w:tc>
        <w:tc>
          <w:tcPr>
            <w:tcW w:w="537" w:type="pct"/>
            <w:noWrap/>
            <w:vAlign w:val="center"/>
          </w:tcPr>
          <w:p w:rsidR="006A0D99" w:rsidRPr="0010669A" w:rsidRDefault="006A0D99" w:rsidP="00220B18">
            <w:pPr>
              <w:spacing w:line="240" w:lineRule="auto"/>
              <w:ind w:left="-104" w:right="-108"/>
              <w:jc w:val="center"/>
              <w:rPr>
                <w:color w:val="FF0000"/>
                <w:sz w:val="20"/>
                <w:szCs w:val="20"/>
                <w:lang w:bidi="gu-IN"/>
              </w:rPr>
            </w:pP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36.00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6A0D99" w:rsidP="00D819E4">
            <w:pPr>
              <w:spacing w:line="240" w:lineRule="auto"/>
              <w:ind w:right="72"/>
              <w:rPr>
                <w:sz w:val="18"/>
                <w:lang w:bidi="gu-IN"/>
              </w:rPr>
            </w:pPr>
            <w:r w:rsidRPr="00CD2103">
              <w:rPr>
                <w:sz w:val="18"/>
                <w:lang w:bidi="gu-IN"/>
              </w:rPr>
              <w:t>Required for safety &amp; reliability of the station</w:t>
            </w:r>
          </w:p>
        </w:tc>
      </w:tr>
      <w:tr w:rsidR="00571BC8" w:rsidRPr="00CD2103" w:rsidTr="00220B18">
        <w:trPr>
          <w:trHeight w:val="157"/>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3</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GT spare Generator rotor</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1376.00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138.00</w:t>
            </w:r>
          </w:p>
        </w:tc>
        <w:tc>
          <w:tcPr>
            <w:tcW w:w="405"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w:t>
            </w:r>
          </w:p>
        </w:tc>
        <w:tc>
          <w:tcPr>
            <w:tcW w:w="419"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1238.00</w:t>
            </w:r>
          </w:p>
        </w:tc>
        <w:tc>
          <w:tcPr>
            <w:tcW w:w="1399" w:type="pct"/>
          </w:tcPr>
          <w:p w:rsidR="006A0D99" w:rsidRPr="00CD2103" w:rsidRDefault="006A0D99" w:rsidP="00D819E4">
            <w:pPr>
              <w:spacing w:line="240" w:lineRule="auto"/>
              <w:ind w:right="72"/>
              <w:rPr>
                <w:sz w:val="18"/>
                <w:lang w:bidi="gu-IN"/>
              </w:rPr>
            </w:pPr>
            <w:r w:rsidRPr="00CD2103">
              <w:rPr>
                <w:sz w:val="18"/>
                <w:lang w:bidi="gu-IN"/>
              </w:rPr>
              <w:t>Required for reliability and availability of the station which may be effective due to ageing of present equipment.</w:t>
            </w:r>
          </w:p>
        </w:tc>
      </w:tr>
      <w:tr w:rsidR="00571BC8" w:rsidRPr="00CD2103" w:rsidTr="00220B18">
        <w:trPr>
          <w:trHeight w:val="131"/>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4</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STG spare Generator rotor</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1660.00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166.00</w:t>
            </w:r>
          </w:p>
        </w:tc>
        <w:tc>
          <w:tcPr>
            <w:tcW w:w="405"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w:t>
            </w:r>
          </w:p>
        </w:tc>
        <w:tc>
          <w:tcPr>
            <w:tcW w:w="419"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1494.00</w:t>
            </w:r>
          </w:p>
        </w:tc>
        <w:tc>
          <w:tcPr>
            <w:tcW w:w="1399" w:type="pct"/>
          </w:tcPr>
          <w:p w:rsidR="006A0D99" w:rsidRPr="00CD2103" w:rsidRDefault="006A0D99" w:rsidP="00D819E4">
            <w:pPr>
              <w:spacing w:line="240" w:lineRule="auto"/>
              <w:ind w:right="72"/>
              <w:rPr>
                <w:lang w:bidi="gu-IN"/>
              </w:rPr>
            </w:pPr>
            <w:r w:rsidRPr="00CD2103">
              <w:rPr>
                <w:sz w:val="18"/>
                <w:lang w:bidi="gu-IN"/>
              </w:rPr>
              <w:t>Required for reliability and availability of the station which may be effective due to ageing of present equipment.</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5</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GT Generator exciter assembly</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325.00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32.00</w:t>
            </w:r>
          </w:p>
        </w:tc>
        <w:tc>
          <w:tcPr>
            <w:tcW w:w="405"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w:t>
            </w:r>
          </w:p>
        </w:tc>
        <w:tc>
          <w:tcPr>
            <w:tcW w:w="419"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293.00</w:t>
            </w:r>
          </w:p>
        </w:tc>
        <w:tc>
          <w:tcPr>
            <w:tcW w:w="1399" w:type="pct"/>
          </w:tcPr>
          <w:p w:rsidR="006A0D99" w:rsidRPr="00CD2103" w:rsidRDefault="006A0D99" w:rsidP="00D819E4">
            <w:pPr>
              <w:spacing w:line="240" w:lineRule="auto"/>
              <w:ind w:right="72"/>
              <w:rPr>
                <w:lang w:bidi="gu-IN"/>
              </w:rPr>
            </w:pPr>
            <w:r w:rsidRPr="00CD2103">
              <w:rPr>
                <w:sz w:val="18"/>
                <w:lang w:bidi="gu-IN"/>
              </w:rPr>
              <w:t>Required for reliability and availability of the station which may be effective due to ageing of present equipment.</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6</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GT Compressor  rotor &amp; IGV</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2900.00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2900.00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6A0D99" w:rsidP="00D819E4">
            <w:pPr>
              <w:spacing w:line="240" w:lineRule="auto"/>
              <w:ind w:right="72"/>
              <w:rPr>
                <w:lang w:bidi="gu-IN"/>
              </w:rPr>
            </w:pPr>
            <w:r w:rsidRPr="00CD2103">
              <w:rPr>
                <w:sz w:val="18"/>
                <w:lang w:bidi="gu-IN"/>
              </w:rPr>
              <w:t>Required for reliability and availability of the station which may be effective due to ageing of present equipment.</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7</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Efficiency restoration of GT-2 during major inspection</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6330.00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6330.00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6A0D99" w:rsidP="00D819E4">
            <w:pPr>
              <w:spacing w:line="240" w:lineRule="auto"/>
              <w:ind w:right="72"/>
              <w:rPr>
                <w:lang w:bidi="gu-IN"/>
              </w:rPr>
            </w:pPr>
            <w:r w:rsidRPr="00CD2103">
              <w:rPr>
                <w:sz w:val="18"/>
                <w:lang w:bidi="gu-IN"/>
              </w:rPr>
              <w:t xml:space="preserve"> </w:t>
            </w:r>
            <w:r w:rsidR="00B027C4" w:rsidRPr="00CD2103">
              <w:rPr>
                <w:sz w:val="18"/>
                <w:lang w:bidi="gu-IN"/>
              </w:rPr>
              <w:t>Required for maintaining rated capacity of the Gas Turbine.</w:t>
            </w:r>
          </w:p>
        </w:tc>
      </w:tr>
      <w:tr w:rsidR="00571BC8" w:rsidRPr="00CD2103" w:rsidTr="00220B18">
        <w:trPr>
          <w:trHeight w:val="64"/>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8</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Further energy saving in BFP by use of VFD</w:t>
            </w:r>
            <w:r w:rsidR="00A84FC3" w:rsidRPr="0010669A">
              <w:rPr>
                <w:sz w:val="20"/>
                <w:szCs w:val="20"/>
                <w:lang w:bidi="gu-IN"/>
              </w:rPr>
              <w:t xml:space="preserve">/fluid coupling </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450.00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450.00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B027C4" w:rsidP="00D819E4">
            <w:pPr>
              <w:spacing w:line="240" w:lineRule="auto"/>
              <w:ind w:right="72"/>
              <w:rPr>
                <w:lang w:bidi="gu-IN"/>
              </w:rPr>
            </w:pPr>
            <w:r w:rsidRPr="00CD2103">
              <w:rPr>
                <w:sz w:val="18"/>
                <w:lang w:bidi="gu-IN"/>
              </w:rPr>
              <w:t>Required for meeting the PAT Target for PAT cycle the FY 2015-16 to 2017-18.</w:t>
            </w:r>
          </w:p>
        </w:tc>
      </w:tr>
      <w:tr w:rsidR="00571BC8" w:rsidRPr="00CD2103" w:rsidTr="00220B18">
        <w:trPr>
          <w:trHeight w:val="193"/>
        </w:trPr>
        <w:tc>
          <w:tcPr>
            <w:tcW w:w="268" w:type="pct"/>
          </w:tcPr>
          <w:p w:rsidR="006A0D99" w:rsidRPr="0010669A" w:rsidRDefault="006A0D99" w:rsidP="000F7E71">
            <w:pPr>
              <w:spacing w:line="240" w:lineRule="auto"/>
              <w:jc w:val="center"/>
              <w:rPr>
                <w:sz w:val="20"/>
                <w:szCs w:val="20"/>
                <w:lang w:bidi="gu-IN"/>
              </w:rPr>
            </w:pPr>
            <w:r w:rsidRPr="0010669A">
              <w:rPr>
                <w:sz w:val="20"/>
                <w:szCs w:val="20"/>
                <w:lang w:bidi="gu-IN"/>
              </w:rPr>
              <w:t>9</w:t>
            </w:r>
          </w:p>
        </w:tc>
        <w:tc>
          <w:tcPr>
            <w:tcW w:w="1521" w:type="pct"/>
            <w:vAlign w:val="center"/>
          </w:tcPr>
          <w:p w:rsidR="006A0D99" w:rsidRPr="0010669A" w:rsidRDefault="006A0D99" w:rsidP="000F7E71">
            <w:pPr>
              <w:spacing w:line="240" w:lineRule="auto"/>
              <w:jc w:val="left"/>
              <w:rPr>
                <w:sz w:val="20"/>
                <w:szCs w:val="20"/>
                <w:lang w:bidi="gu-IN"/>
              </w:rPr>
            </w:pPr>
            <w:r w:rsidRPr="0010669A">
              <w:rPr>
                <w:sz w:val="20"/>
                <w:szCs w:val="20"/>
                <w:lang w:bidi="gu-IN"/>
              </w:rPr>
              <w:t>Up gradation of HMI / DAS of STG</w:t>
            </w:r>
          </w:p>
        </w:tc>
        <w:tc>
          <w:tcPr>
            <w:tcW w:w="537" w:type="pct"/>
            <w:noWrap/>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154.00</w:t>
            </w:r>
          </w:p>
        </w:tc>
        <w:tc>
          <w:tcPr>
            <w:tcW w:w="451" w:type="pct"/>
            <w:vAlign w:val="center"/>
          </w:tcPr>
          <w:p w:rsidR="006A0D99" w:rsidRPr="0010669A" w:rsidRDefault="006A0D99" w:rsidP="00220B18">
            <w:pPr>
              <w:spacing w:line="240" w:lineRule="auto"/>
              <w:ind w:left="-104" w:right="-108"/>
              <w:jc w:val="center"/>
              <w:rPr>
                <w:sz w:val="20"/>
                <w:szCs w:val="20"/>
                <w:lang w:bidi="gu-IN"/>
              </w:rPr>
            </w:pPr>
            <w:r w:rsidRPr="0010669A">
              <w:rPr>
                <w:sz w:val="20"/>
                <w:szCs w:val="20"/>
                <w:lang w:bidi="gu-IN"/>
              </w:rPr>
              <w:t>154.00</w:t>
            </w:r>
          </w:p>
        </w:tc>
        <w:tc>
          <w:tcPr>
            <w:tcW w:w="405" w:type="pct"/>
            <w:vAlign w:val="center"/>
          </w:tcPr>
          <w:p w:rsidR="006A0D99" w:rsidRPr="0010669A" w:rsidRDefault="006A0D99" w:rsidP="00220B18">
            <w:pPr>
              <w:spacing w:line="240" w:lineRule="auto"/>
              <w:ind w:left="-104" w:right="-108"/>
              <w:jc w:val="center"/>
              <w:rPr>
                <w:sz w:val="20"/>
                <w:szCs w:val="20"/>
                <w:lang w:bidi="gu-IN"/>
              </w:rPr>
            </w:pPr>
          </w:p>
        </w:tc>
        <w:tc>
          <w:tcPr>
            <w:tcW w:w="419" w:type="pct"/>
            <w:vAlign w:val="center"/>
          </w:tcPr>
          <w:p w:rsidR="006A0D99" w:rsidRPr="0010669A" w:rsidRDefault="006A0D99" w:rsidP="00220B18">
            <w:pPr>
              <w:spacing w:line="240" w:lineRule="auto"/>
              <w:ind w:left="-104" w:right="-108"/>
              <w:jc w:val="center"/>
              <w:rPr>
                <w:sz w:val="20"/>
                <w:szCs w:val="20"/>
                <w:lang w:bidi="gu-IN"/>
              </w:rPr>
            </w:pPr>
          </w:p>
        </w:tc>
        <w:tc>
          <w:tcPr>
            <w:tcW w:w="1399" w:type="pct"/>
          </w:tcPr>
          <w:p w:rsidR="006A0D99" w:rsidRPr="00CD2103" w:rsidRDefault="00571BC8" w:rsidP="00D819E4">
            <w:pPr>
              <w:spacing w:line="240" w:lineRule="auto"/>
              <w:ind w:right="72"/>
              <w:rPr>
                <w:sz w:val="18"/>
                <w:lang w:bidi="gu-IN"/>
              </w:rPr>
            </w:pPr>
            <w:r w:rsidRPr="00CD2103">
              <w:rPr>
                <w:sz w:val="18"/>
                <w:lang w:bidi="gu-IN"/>
              </w:rPr>
              <w:t xml:space="preserve">Required for replacement of old obsolete system due to non-availability of spares and </w:t>
            </w:r>
            <w:r w:rsidR="00A84FC3" w:rsidRPr="00CD2103">
              <w:rPr>
                <w:sz w:val="18"/>
                <w:lang w:bidi="gu-IN"/>
              </w:rPr>
              <w:t>up gradation</w:t>
            </w:r>
            <w:r w:rsidRPr="00CD2103">
              <w:rPr>
                <w:sz w:val="18"/>
                <w:lang w:bidi="gu-IN"/>
              </w:rPr>
              <w:t xml:space="preserve"> of technology.</w:t>
            </w:r>
          </w:p>
        </w:tc>
      </w:tr>
      <w:tr w:rsidR="00571BC8" w:rsidRPr="00CD2103" w:rsidTr="00220B18">
        <w:trPr>
          <w:trHeight w:val="193"/>
        </w:trPr>
        <w:tc>
          <w:tcPr>
            <w:tcW w:w="268" w:type="pct"/>
          </w:tcPr>
          <w:p w:rsidR="00571BC8" w:rsidRPr="0010669A" w:rsidRDefault="00571BC8" w:rsidP="000F7E71">
            <w:pPr>
              <w:spacing w:line="240" w:lineRule="auto"/>
              <w:jc w:val="center"/>
              <w:rPr>
                <w:sz w:val="20"/>
                <w:szCs w:val="20"/>
                <w:lang w:bidi="gu-IN"/>
              </w:rPr>
            </w:pPr>
            <w:r w:rsidRPr="0010669A">
              <w:rPr>
                <w:sz w:val="20"/>
                <w:szCs w:val="20"/>
                <w:lang w:bidi="gu-IN"/>
              </w:rPr>
              <w:t>10</w:t>
            </w:r>
          </w:p>
        </w:tc>
        <w:tc>
          <w:tcPr>
            <w:tcW w:w="1521" w:type="pct"/>
            <w:vAlign w:val="center"/>
          </w:tcPr>
          <w:p w:rsidR="00571BC8" w:rsidRPr="0010669A" w:rsidRDefault="00571BC8" w:rsidP="000F7E71">
            <w:pPr>
              <w:spacing w:line="240" w:lineRule="auto"/>
              <w:jc w:val="left"/>
              <w:rPr>
                <w:sz w:val="20"/>
                <w:szCs w:val="20"/>
                <w:lang w:bidi="gu-IN"/>
              </w:rPr>
            </w:pPr>
            <w:r w:rsidRPr="0010669A">
              <w:rPr>
                <w:sz w:val="20"/>
                <w:szCs w:val="20"/>
                <w:lang w:bidi="gu-IN"/>
              </w:rPr>
              <w:t>Up gradation of processor of STG Control system</w:t>
            </w:r>
          </w:p>
        </w:tc>
        <w:tc>
          <w:tcPr>
            <w:tcW w:w="537" w:type="pct"/>
            <w:noWrap/>
            <w:vAlign w:val="center"/>
          </w:tcPr>
          <w:p w:rsidR="00571BC8" w:rsidRPr="0010669A" w:rsidRDefault="00571BC8" w:rsidP="00220B18">
            <w:pPr>
              <w:spacing w:line="240" w:lineRule="auto"/>
              <w:ind w:left="-104" w:right="-108"/>
              <w:jc w:val="center"/>
              <w:rPr>
                <w:sz w:val="20"/>
                <w:szCs w:val="20"/>
                <w:lang w:bidi="gu-IN"/>
              </w:rPr>
            </w:pPr>
            <w:r w:rsidRPr="0010669A">
              <w:rPr>
                <w:sz w:val="20"/>
                <w:szCs w:val="20"/>
                <w:lang w:bidi="gu-IN"/>
              </w:rPr>
              <w:t>150.00</w:t>
            </w:r>
          </w:p>
        </w:tc>
        <w:tc>
          <w:tcPr>
            <w:tcW w:w="451" w:type="pct"/>
            <w:vAlign w:val="center"/>
          </w:tcPr>
          <w:p w:rsidR="00571BC8" w:rsidRPr="0010669A" w:rsidRDefault="00571BC8" w:rsidP="00220B18">
            <w:pPr>
              <w:spacing w:line="240" w:lineRule="auto"/>
              <w:ind w:left="-104" w:right="-108"/>
              <w:jc w:val="center"/>
              <w:rPr>
                <w:sz w:val="20"/>
                <w:szCs w:val="20"/>
                <w:lang w:bidi="gu-IN"/>
              </w:rPr>
            </w:pPr>
            <w:r w:rsidRPr="0010669A">
              <w:rPr>
                <w:sz w:val="20"/>
                <w:szCs w:val="20"/>
                <w:lang w:bidi="gu-IN"/>
              </w:rPr>
              <w:t>150.00</w:t>
            </w:r>
          </w:p>
        </w:tc>
        <w:tc>
          <w:tcPr>
            <w:tcW w:w="405" w:type="pct"/>
            <w:vAlign w:val="center"/>
          </w:tcPr>
          <w:p w:rsidR="00571BC8" w:rsidRPr="0010669A" w:rsidRDefault="00571BC8" w:rsidP="00220B18">
            <w:pPr>
              <w:spacing w:line="240" w:lineRule="auto"/>
              <w:ind w:left="-104" w:right="-108"/>
              <w:jc w:val="center"/>
              <w:rPr>
                <w:sz w:val="20"/>
                <w:szCs w:val="20"/>
                <w:lang w:bidi="gu-IN"/>
              </w:rPr>
            </w:pPr>
          </w:p>
        </w:tc>
        <w:tc>
          <w:tcPr>
            <w:tcW w:w="419" w:type="pct"/>
            <w:vAlign w:val="center"/>
          </w:tcPr>
          <w:p w:rsidR="00571BC8" w:rsidRPr="0010669A" w:rsidRDefault="00571BC8" w:rsidP="00220B18">
            <w:pPr>
              <w:spacing w:line="240" w:lineRule="auto"/>
              <w:ind w:left="-104" w:right="-108"/>
              <w:jc w:val="center"/>
              <w:rPr>
                <w:sz w:val="20"/>
                <w:szCs w:val="20"/>
                <w:lang w:bidi="gu-IN"/>
              </w:rPr>
            </w:pPr>
          </w:p>
        </w:tc>
        <w:tc>
          <w:tcPr>
            <w:tcW w:w="1399" w:type="pct"/>
          </w:tcPr>
          <w:p w:rsidR="00571BC8" w:rsidRPr="00CD2103" w:rsidRDefault="00571BC8" w:rsidP="00D819E4">
            <w:pPr>
              <w:spacing w:line="240" w:lineRule="auto"/>
              <w:ind w:right="72"/>
              <w:rPr>
                <w:sz w:val="18"/>
                <w:lang w:bidi="gu-IN"/>
              </w:rPr>
            </w:pPr>
            <w:r w:rsidRPr="00CD2103">
              <w:rPr>
                <w:sz w:val="18"/>
                <w:lang w:bidi="gu-IN"/>
              </w:rPr>
              <w:t>Required for replacement of old obsolete system due to non-availability of spares and upgradation of technology.</w:t>
            </w:r>
          </w:p>
        </w:tc>
      </w:tr>
      <w:tr w:rsidR="00571BC8" w:rsidRPr="00CD2103" w:rsidTr="00220B18">
        <w:trPr>
          <w:trHeight w:val="193"/>
        </w:trPr>
        <w:tc>
          <w:tcPr>
            <w:tcW w:w="268" w:type="pct"/>
          </w:tcPr>
          <w:p w:rsidR="00571BC8" w:rsidRPr="0010669A" w:rsidRDefault="00571BC8" w:rsidP="00433405">
            <w:pPr>
              <w:spacing w:line="240" w:lineRule="auto"/>
              <w:jc w:val="center"/>
              <w:rPr>
                <w:sz w:val="20"/>
                <w:szCs w:val="20"/>
                <w:lang w:bidi="gu-IN"/>
              </w:rPr>
            </w:pPr>
            <w:r w:rsidRPr="0010669A">
              <w:rPr>
                <w:sz w:val="20"/>
                <w:szCs w:val="20"/>
                <w:lang w:bidi="gu-IN"/>
              </w:rPr>
              <w:t>11</w:t>
            </w:r>
          </w:p>
        </w:tc>
        <w:tc>
          <w:tcPr>
            <w:tcW w:w="1521" w:type="pct"/>
            <w:vAlign w:val="center"/>
          </w:tcPr>
          <w:p w:rsidR="00571BC8" w:rsidRPr="0010669A" w:rsidRDefault="00685ACD" w:rsidP="000F7E71">
            <w:pPr>
              <w:spacing w:line="240" w:lineRule="auto"/>
              <w:jc w:val="left"/>
              <w:rPr>
                <w:sz w:val="20"/>
                <w:szCs w:val="20"/>
                <w:lang w:bidi="gu-IN"/>
              </w:rPr>
            </w:pPr>
            <w:r w:rsidRPr="0010669A">
              <w:rPr>
                <w:sz w:val="20"/>
                <w:szCs w:val="20"/>
                <w:lang w:bidi="gu-IN"/>
              </w:rPr>
              <w:t>Providing</w:t>
            </w:r>
            <w:r w:rsidR="00571BC8" w:rsidRPr="0010669A">
              <w:rPr>
                <w:sz w:val="20"/>
                <w:szCs w:val="20"/>
                <w:lang w:bidi="gu-IN"/>
              </w:rPr>
              <w:t xml:space="preserve"> online fuel gas analyzers for environmental emission monitoring</w:t>
            </w:r>
          </w:p>
        </w:tc>
        <w:tc>
          <w:tcPr>
            <w:tcW w:w="537" w:type="pct"/>
            <w:noWrap/>
            <w:vAlign w:val="center"/>
          </w:tcPr>
          <w:p w:rsidR="00571BC8" w:rsidRPr="0010669A" w:rsidRDefault="00571BC8" w:rsidP="00220B18">
            <w:pPr>
              <w:spacing w:line="240" w:lineRule="auto"/>
              <w:ind w:left="-104" w:right="-108"/>
              <w:jc w:val="center"/>
              <w:rPr>
                <w:sz w:val="20"/>
                <w:szCs w:val="20"/>
                <w:lang w:bidi="gu-IN"/>
              </w:rPr>
            </w:pPr>
            <w:r w:rsidRPr="0010669A">
              <w:rPr>
                <w:sz w:val="20"/>
                <w:szCs w:val="20"/>
                <w:lang w:bidi="gu-IN"/>
              </w:rPr>
              <w:t>48.16</w:t>
            </w:r>
          </w:p>
        </w:tc>
        <w:tc>
          <w:tcPr>
            <w:tcW w:w="451" w:type="pct"/>
            <w:vAlign w:val="center"/>
          </w:tcPr>
          <w:p w:rsidR="00571BC8" w:rsidRPr="0010669A" w:rsidRDefault="00571BC8" w:rsidP="00220B18">
            <w:pPr>
              <w:spacing w:line="240" w:lineRule="auto"/>
              <w:ind w:left="-104" w:right="-108"/>
              <w:jc w:val="center"/>
              <w:rPr>
                <w:sz w:val="20"/>
                <w:szCs w:val="20"/>
                <w:lang w:bidi="gu-IN"/>
              </w:rPr>
            </w:pPr>
            <w:r w:rsidRPr="0010669A">
              <w:rPr>
                <w:sz w:val="20"/>
                <w:szCs w:val="20"/>
                <w:lang w:bidi="gu-IN"/>
              </w:rPr>
              <w:t>48.16</w:t>
            </w:r>
          </w:p>
        </w:tc>
        <w:tc>
          <w:tcPr>
            <w:tcW w:w="405" w:type="pct"/>
            <w:vAlign w:val="center"/>
          </w:tcPr>
          <w:p w:rsidR="00571BC8" w:rsidRPr="0010669A" w:rsidRDefault="00571BC8" w:rsidP="00220B18">
            <w:pPr>
              <w:spacing w:line="240" w:lineRule="auto"/>
              <w:ind w:left="-104" w:right="-108"/>
              <w:jc w:val="center"/>
              <w:rPr>
                <w:sz w:val="20"/>
                <w:szCs w:val="20"/>
                <w:lang w:bidi="gu-IN"/>
              </w:rPr>
            </w:pPr>
          </w:p>
        </w:tc>
        <w:tc>
          <w:tcPr>
            <w:tcW w:w="419" w:type="pct"/>
            <w:vAlign w:val="center"/>
          </w:tcPr>
          <w:p w:rsidR="00571BC8" w:rsidRPr="0010669A" w:rsidRDefault="00571BC8" w:rsidP="00220B18">
            <w:pPr>
              <w:spacing w:line="240" w:lineRule="auto"/>
              <w:ind w:left="-104" w:right="-108"/>
              <w:jc w:val="center"/>
              <w:rPr>
                <w:sz w:val="20"/>
                <w:szCs w:val="20"/>
                <w:lang w:bidi="gu-IN"/>
              </w:rPr>
            </w:pPr>
          </w:p>
        </w:tc>
        <w:tc>
          <w:tcPr>
            <w:tcW w:w="1399" w:type="pct"/>
          </w:tcPr>
          <w:p w:rsidR="00571BC8" w:rsidRPr="00CD2103" w:rsidRDefault="00B4179C" w:rsidP="00D819E4">
            <w:pPr>
              <w:spacing w:line="240" w:lineRule="auto"/>
              <w:ind w:right="72"/>
              <w:rPr>
                <w:sz w:val="18"/>
                <w:lang w:bidi="gu-IN"/>
              </w:rPr>
            </w:pPr>
            <w:r w:rsidRPr="00CD2103">
              <w:rPr>
                <w:sz w:val="18"/>
                <w:lang w:bidi="gu-IN"/>
              </w:rPr>
              <w:t>Statutory  requirement as per DPCC.</w:t>
            </w:r>
          </w:p>
        </w:tc>
      </w:tr>
      <w:tr w:rsidR="00B4179C" w:rsidRPr="00CD2103" w:rsidTr="00220B18">
        <w:trPr>
          <w:trHeight w:val="193"/>
        </w:trPr>
        <w:tc>
          <w:tcPr>
            <w:tcW w:w="268" w:type="pct"/>
          </w:tcPr>
          <w:p w:rsidR="00B4179C" w:rsidRPr="0010669A" w:rsidRDefault="00B4179C" w:rsidP="00433405">
            <w:pPr>
              <w:spacing w:line="240" w:lineRule="auto"/>
              <w:jc w:val="center"/>
              <w:rPr>
                <w:sz w:val="20"/>
                <w:szCs w:val="20"/>
                <w:lang w:bidi="gu-IN"/>
              </w:rPr>
            </w:pPr>
            <w:r w:rsidRPr="0010669A">
              <w:rPr>
                <w:sz w:val="20"/>
                <w:szCs w:val="20"/>
                <w:lang w:bidi="gu-IN"/>
              </w:rPr>
              <w:t>12</w:t>
            </w:r>
          </w:p>
        </w:tc>
        <w:tc>
          <w:tcPr>
            <w:tcW w:w="1521" w:type="pct"/>
            <w:vAlign w:val="center"/>
          </w:tcPr>
          <w:p w:rsidR="00B4179C" w:rsidRPr="0010669A" w:rsidRDefault="00B4179C" w:rsidP="000F7E71">
            <w:pPr>
              <w:spacing w:line="240" w:lineRule="auto"/>
              <w:jc w:val="left"/>
              <w:rPr>
                <w:sz w:val="20"/>
                <w:szCs w:val="20"/>
                <w:lang w:bidi="gu-IN"/>
              </w:rPr>
            </w:pPr>
            <w:r w:rsidRPr="0010669A">
              <w:rPr>
                <w:sz w:val="20"/>
                <w:szCs w:val="20"/>
                <w:lang w:bidi="gu-IN"/>
              </w:rPr>
              <w:t>Energy efficient lighting in various areas</w:t>
            </w:r>
          </w:p>
        </w:tc>
        <w:tc>
          <w:tcPr>
            <w:tcW w:w="537" w:type="pct"/>
            <w:noWrap/>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22.44</w:t>
            </w:r>
          </w:p>
        </w:tc>
        <w:tc>
          <w:tcPr>
            <w:tcW w:w="451" w:type="pct"/>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22.44</w:t>
            </w:r>
          </w:p>
        </w:tc>
        <w:tc>
          <w:tcPr>
            <w:tcW w:w="405" w:type="pct"/>
            <w:vAlign w:val="center"/>
          </w:tcPr>
          <w:p w:rsidR="00B4179C" w:rsidRPr="0010669A" w:rsidRDefault="00B4179C" w:rsidP="00220B18">
            <w:pPr>
              <w:spacing w:line="240" w:lineRule="auto"/>
              <w:ind w:left="-104" w:right="-108"/>
              <w:jc w:val="center"/>
              <w:rPr>
                <w:sz w:val="20"/>
                <w:szCs w:val="20"/>
                <w:lang w:bidi="gu-IN"/>
              </w:rPr>
            </w:pPr>
          </w:p>
        </w:tc>
        <w:tc>
          <w:tcPr>
            <w:tcW w:w="419" w:type="pct"/>
            <w:vAlign w:val="center"/>
          </w:tcPr>
          <w:p w:rsidR="00B4179C" w:rsidRPr="0010669A" w:rsidRDefault="00B4179C" w:rsidP="00220B18">
            <w:pPr>
              <w:spacing w:line="240" w:lineRule="auto"/>
              <w:ind w:left="-104" w:right="-108"/>
              <w:jc w:val="center"/>
              <w:rPr>
                <w:sz w:val="20"/>
                <w:szCs w:val="20"/>
                <w:lang w:bidi="gu-IN"/>
              </w:rPr>
            </w:pPr>
          </w:p>
        </w:tc>
        <w:tc>
          <w:tcPr>
            <w:tcW w:w="1399" w:type="pct"/>
          </w:tcPr>
          <w:p w:rsidR="00B4179C" w:rsidRPr="00CD2103" w:rsidRDefault="00B4179C" w:rsidP="00D819E4">
            <w:pPr>
              <w:spacing w:line="240" w:lineRule="auto"/>
              <w:ind w:right="72"/>
              <w:rPr>
                <w:sz w:val="18"/>
                <w:lang w:bidi="gu-IN"/>
              </w:rPr>
            </w:pPr>
            <w:r w:rsidRPr="00CD2103">
              <w:rPr>
                <w:sz w:val="18"/>
                <w:lang w:bidi="gu-IN"/>
              </w:rPr>
              <w:t>Required for meeting the PAT Target for PAT cycle the FY 2015-16 to 2017-18.</w:t>
            </w:r>
          </w:p>
        </w:tc>
      </w:tr>
      <w:tr w:rsidR="00B4179C" w:rsidRPr="00CD2103" w:rsidTr="00220B18">
        <w:trPr>
          <w:trHeight w:val="193"/>
        </w:trPr>
        <w:tc>
          <w:tcPr>
            <w:tcW w:w="268" w:type="pct"/>
          </w:tcPr>
          <w:p w:rsidR="00B4179C" w:rsidRPr="0010669A" w:rsidRDefault="00B4179C" w:rsidP="00433405">
            <w:pPr>
              <w:spacing w:line="240" w:lineRule="auto"/>
              <w:jc w:val="center"/>
              <w:rPr>
                <w:sz w:val="20"/>
                <w:szCs w:val="20"/>
                <w:lang w:bidi="gu-IN"/>
              </w:rPr>
            </w:pPr>
            <w:r w:rsidRPr="0010669A">
              <w:rPr>
                <w:sz w:val="20"/>
                <w:szCs w:val="20"/>
                <w:lang w:bidi="gu-IN"/>
              </w:rPr>
              <w:t>13</w:t>
            </w:r>
          </w:p>
        </w:tc>
        <w:tc>
          <w:tcPr>
            <w:tcW w:w="1521" w:type="pct"/>
            <w:vAlign w:val="center"/>
          </w:tcPr>
          <w:p w:rsidR="00B4179C" w:rsidRPr="0010669A" w:rsidRDefault="00B4179C" w:rsidP="000F7E71">
            <w:pPr>
              <w:spacing w:line="240" w:lineRule="auto"/>
              <w:jc w:val="left"/>
              <w:rPr>
                <w:sz w:val="20"/>
                <w:szCs w:val="20"/>
                <w:lang w:bidi="gu-IN"/>
              </w:rPr>
            </w:pPr>
            <w:r w:rsidRPr="0010669A">
              <w:rPr>
                <w:sz w:val="20"/>
                <w:szCs w:val="20"/>
                <w:lang w:bidi="gu-IN"/>
              </w:rPr>
              <w:t>Refurbishment of cooling tower cells by replacing fills</w:t>
            </w:r>
          </w:p>
        </w:tc>
        <w:tc>
          <w:tcPr>
            <w:tcW w:w="537" w:type="pct"/>
            <w:noWrap/>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40.00</w:t>
            </w:r>
          </w:p>
        </w:tc>
        <w:tc>
          <w:tcPr>
            <w:tcW w:w="451" w:type="pct"/>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40.00</w:t>
            </w:r>
          </w:p>
        </w:tc>
        <w:tc>
          <w:tcPr>
            <w:tcW w:w="405" w:type="pct"/>
            <w:vAlign w:val="center"/>
          </w:tcPr>
          <w:p w:rsidR="00B4179C" w:rsidRPr="0010669A" w:rsidRDefault="00B4179C" w:rsidP="00220B18">
            <w:pPr>
              <w:spacing w:line="240" w:lineRule="auto"/>
              <w:ind w:left="-104" w:right="-108"/>
              <w:jc w:val="center"/>
              <w:rPr>
                <w:sz w:val="20"/>
                <w:szCs w:val="20"/>
                <w:lang w:bidi="gu-IN"/>
              </w:rPr>
            </w:pPr>
          </w:p>
        </w:tc>
        <w:tc>
          <w:tcPr>
            <w:tcW w:w="419" w:type="pct"/>
            <w:vAlign w:val="center"/>
          </w:tcPr>
          <w:p w:rsidR="00B4179C" w:rsidRPr="0010669A" w:rsidRDefault="00B4179C" w:rsidP="00220B18">
            <w:pPr>
              <w:spacing w:line="240" w:lineRule="auto"/>
              <w:ind w:left="-104" w:right="-108"/>
              <w:jc w:val="center"/>
              <w:rPr>
                <w:sz w:val="20"/>
                <w:szCs w:val="20"/>
                <w:lang w:bidi="gu-IN"/>
              </w:rPr>
            </w:pPr>
          </w:p>
        </w:tc>
        <w:tc>
          <w:tcPr>
            <w:tcW w:w="1399" w:type="pct"/>
          </w:tcPr>
          <w:p w:rsidR="00B4179C" w:rsidRPr="00CD2103" w:rsidRDefault="00B4179C" w:rsidP="00D819E4">
            <w:pPr>
              <w:spacing w:line="240" w:lineRule="auto"/>
              <w:ind w:right="72"/>
              <w:rPr>
                <w:sz w:val="18"/>
                <w:lang w:bidi="gu-IN"/>
              </w:rPr>
            </w:pPr>
            <w:r w:rsidRPr="00CD2103">
              <w:rPr>
                <w:sz w:val="18"/>
                <w:lang w:bidi="gu-IN"/>
              </w:rPr>
              <w:t>Required to replace old fills due to heavy scaling resulting in deterioration of heat transfer.</w:t>
            </w:r>
          </w:p>
        </w:tc>
      </w:tr>
      <w:tr w:rsidR="00B4179C" w:rsidRPr="00CD2103" w:rsidTr="00220B18">
        <w:trPr>
          <w:trHeight w:val="193"/>
        </w:trPr>
        <w:tc>
          <w:tcPr>
            <w:tcW w:w="268" w:type="pct"/>
          </w:tcPr>
          <w:p w:rsidR="00B4179C" w:rsidRPr="0010669A" w:rsidRDefault="00B4179C" w:rsidP="000F7E71">
            <w:pPr>
              <w:spacing w:line="240" w:lineRule="auto"/>
              <w:jc w:val="center"/>
              <w:rPr>
                <w:sz w:val="20"/>
                <w:szCs w:val="20"/>
                <w:lang w:bidi="gu-IN"/>
              </w:rPr>
            </w:pPr>
            <w:r w:rsidRPr="0010669A">
              <w:rPr>
                <w:sz w:val="20"/>
                <w:szCs w:val="20"/>
                <w:lang w:bidi="gu-IN"/>
              </w:rPr>
              <w:lastRenderedPageBreak/>
              <w:t>14</w:t>
            </w:r>
          </w:p>
        </w:tc>
        <w:tc>
          <w:tcPr>
            <w:tcW w:w="1521" w:type="pct"/>
            <w:vAlign w:val="center"/>
          </w:tcPr>
          <w:p w:rsidR="00B4179C" w:rsidRPr="0010669A" w:rsidRDefault="00B4179C" w:rsidP="000F7E71">
            <w:pPr>
              <w:spacing w:line="240" w:lineRule="auto"/>
              <w:jc w:val="left"/>
              <w:rPr>
                <w:sz w:val="20"/>
                <w:szCs w:val="20"/>
                <w:lang w:bidi="gu-IN"/>
              </w:rPr>
            </w:pPr>
            <w:r w:rsidRPr="0010669A">
              <w:rPr>
                <w:sz w:val="20"/>
                <w:szCs w:val="20"/>
                <w:lang w:bidi="gu-IN"/>
              </w:rPr>
              <w:t>Renovation of side stream filteration of CW system</w:t>
            </w:r>
          </w:p>
        </w:tc>
        <w:tc>
          <w:tcPr>
            <w:tcW w:w="537" w:type="pct"/>
            <w:noWrap/>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76.30</w:t>
            </w:r>
          </w:p>
        </w:tc>
        <w:tc>
          <w:tcPr>
            <w:tcW w:w="451" w:type="pct"/>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76.30</w:t>
            </w:r>
          </w:p>
        </w:tc>
        <w:tc>
          <w:tcPr>
            <w:tcW w:w="405" w:type="pct"/>
            <w:vAlign w:val="center"/>
          </w:tcPr>
          <w:p w:rsidR="00B4179C" w:rsidRPr="0010669A" w:rsidRDefault="00B4179C" w:rsidP="00220B18">
            <w:pPr>
              <w:spacing w:line="240" w:lineRule="auto"/>
              <w:ind w:left="-104" w:right="-108"/>
              <w:jc w:val="center"/>
              <w:rPr>
                <w:sz w:val="20"/>
                <w:szCs w:val="20"/>
                <w:lang w:bidi="gu-IN"/>
              </w:rPr>
            </w:pPr>
          </w:p>
        </w:tc>
        <w:tc>
          <w:tcPr>
            <w:tcW w:w="419" w:type="pct"/>
          </w:tcPr>
          <w:p w:rsidR="00B4179C" w:rsidRPr="00CD2103" w:rsidRDefault="00B4179C" w:rsidP="000F7E71">
            <w:pPr>
              <w:spacing w:line="240" w:lineRule="auto"/>
              <w:ind w:left="-104" w:right="-108"/>
              <w:jc w:val="center"/>
              <w:rPr>
                <w:lang w:bidi="gu-IN"/>
              </w:rPr>
            </w:pPr>
          </w:p>
        </w:tc>
        <w:tc>
          <w:tcPr>
            <w:tcW w:w="1399" w:type="pct"/>
          </w:tcPr>
          <w:p w:rsidR="00B4179C" w:rsidRPr="00CD2103" w:rsidRDefault="00B4179C" w:rsidP="00D819E4">
            <w:pPr>
              <w:spacing w:line="240" w:lineRule="auto"/>
              <w:ind w:right="72"/>
              <w:rPr>
                <w:sz w:val="18"/>
                <w:lang w:bidi="gu-IN"/>
              </w:rPr>
            </w:pPr>
            <w:r w:rsidRPr="00CD2103">
              <w:rPr>
                <w:sz w:val="18"/>
                <w:lang w:bidi="gu-IN"/>
              </w:rPr>
              <w:t>Required due to rusting of various parts which are beyond repair.</w:t>
            </w:r>
          </w:p>
        </w:tc>
      </w:tr>
      <w:tr w:rsidR="00B4179C" w:rsidRPr="00CD2103" w:rsidTr="00220B18">
        <w:trPr>
          <w:trHeight w:val="193"/>
        </w:trPr>
        <w:tc>
          <w:tcPr>
            <w:tcW w:w="268" w:type="pct"/>
          </w:tcPr>
          <w:p w:rsidR="00B4179C" w:rsidRPr="0010669A" w:rsidRDefault="00B4179C" w:rsidP="000F7E71">
            <w:pPr>
              <w:spacing w:line="240" w:lineRule="auto"/>
              <w:jc w:val="center"/>
              <w:rPr>
                <w:sz w:val="20"/>
                <w:szCs w:val="20"/>
                <w:lang w:bidi="gu-IN"/>
              </w:rPr>
            </w:pPr>
            <w:r w:rsidRPr="0010669A">
              <w:rPr>
                <w:sz w:val="20"/>
                <w:szCs w:val="20"/>
                <w:lang w:bidi="gu-IN"/>
              </w:rPr>
              <w:t>15</w:t>
            </w:r>
          </w:p>
        </w:tc>
        <w:tc>
          <w:tcPr>
            <w:tcW w:w="1521" w:type="pct"/>
            <w:vAlign w:val="center"/>
          </w:tcPr>
          <w:p w:rsidR="00B4179C" w:rsidRPr="0010669A" w:rsidRDefault="00B4179C" w:rsidP="000F7E71">
            <w:pPr>
              <w:spacing w:line="240" w:lineRule="auto"/>
              <w:jc w:val="left"/>
              <w:rPr>
                <w:sz w:val="20"/>
                <w:szCs w:val="20"/>
                <w:lang w:bidi="gu-IN"/>
              </w:rPr>
            </w:pPr>
            <w:r w:rsidRPr="0010669A">
              <w:rPr>
                <w:sz w:val="20"/>
                <w:szCs w:val="20"/>
                <w:lang w:bidi="gu-IN"/>
              </w:rPr>
              <w:t>Common lift for HRSG-1 &amp; 2</w:t>
            </w:r>
          </w:p>
        </w:tc>
        <w:tc>
          <w:tcPr>
            <w:tcW w:w="537" w:type="pct"/>
            <w:noWrap/>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250.00</w:t>
            </w:r>
          </w:p>
        </w:tc>
        <w:tc>
          <w:tcPr>
            <w:tcW w:w="451" w:type="pct"/>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50.00</w:t>
            </w:r>
          </w:p>
        </w:tc>
        <w:tc>
          <w:tcPr>
            <w:tcW w:w="405" w:type="pct"/>
            <w:vAlign w:val="center"/>
          </w:tcPr>
          <w:p w:rsidR="00B4179C" w:rsidRPr="0010669A" w:rsidRDefault="00B4179C" w:rsidP="00220B18">
            <w:pPr>
              <w:spacing w:line="240" w:lineRule="auto"/>
              <w:ind w:left="-104" w:right="-108"/>
              <w:jc w:val="center"/>
              <w:rPr>
                <w:sz w:val="20"/>
                <w:szCs w:val="20"/>
                <w:lang w:bidi="gu-IN"/>
              </w:rPr>
            </w:pPr>
            <w:r w:rsidRPr="0010669A">
              <w:rPr>
                <w:sz w:val="20"/>
                <w:szCs w:val="20"/>
                <w:lang w:bidi="gu-IN"/>
              </w:rPr>
              <w:t>200.00</w:t>
            </w:r>
          </w:p>
        </w:tc>
        <w:tc>
          <w:tcPr>
            <w:tcW w:w="419" w:type="pct"/>
          </w:tcPr>
          <w:p w:rsidR="00B4179C" w:rsidRPr="00CD2103" w:rsidRDefault="00B4179C" w:rsidP="000F7E71">
            <w:pPr>
              <w:spacing w:line="240" w:lineRule="auto"/>
              <w:ind w:left="-104" w:right="-108"/>
              <w:jc w:val="center"/>
              <w:rPr>
                <w:lang w:bidi="gu-IN"/>
              </w:rPr>
            </w:pPr>
          </w:p>
        </w:tc>
        <w:tc>
          <w:tcPr>
            <w:tcW w:w="1399" w:type="pct"/>
          </w:tcPr>
          <w:p w:rsidR="00B4179C" w:rsidRPr="00CD2103" w:rsidRDefault="003C3DC6" w:rsidP="00D819E4">
            <w:pPr>
              <w:spacing w:line="240" w:lineRule="auto"/>
              <w:ind w:right="72"/>
              <w:rPr>
                <w:sz w:val="18"/>
                <w:lang w:bidi="gu-IN"/>
              </w:rPr>
            </w:pPr>
            <w:r w:rsidRPr="00CD2103">
              <w:rPr>
                <w:sz w:val="18"/>
                <w:lang w:bidi="gu-IN"/>
              </w:rPr>
              <w:t xml:space="preserve">Required to meet out increased maintenance work and handling of spares </w:t>
            </w:r>
            <w:r w:rsidR="00AE6357" w:rsidRPr="00CD2103">
              <w:rPr>
                <w:sz w:val="18"/>
                <w:lang w:bidi="gu-IN"/>
              </w:rPr>
              <w:t>at</w:t>
            </w:r>
            <w:r w:rsidRPr="00CD2103">
              <w:rPr>
                <w:sz w:val="18"/>
                <w:lang w:bidi="gu-IN"/>
              </w:rPr>
              <w:t xml:space="preserve"> drum level of boilers</w:t>
            </w:r>
            <w:r w:rsidR="00AE6357" w:rsidRPr="00CD2103">
              <w:rPr>
                <w:sz w:val="18"/>
                <w:lang w:bidi="gu-IN"/>
              </w:rPr>
              <w:t xml:space="preserve"> due to ageing.</w:t>
            </w:r>
          </w:p>
        </w:tc>
      </w:tr>
    </w:tbl>
    <w:p w:rsidR="006B32A0" w:rsidRDefault="006B32A0" w:rsidP="00E1425B">
      <w:pPr>
        <w:pStyle w:val="ListParagraph"/>
        <w:spacing w:after="200" w:line="276" w:lineRule="auto"/>
        <w:ind w:left="360"/>
        <w:contextualSpacing/>
        <w:rPr>
          <w:bCs/>
          <w:sz w:val="22"/>
          <w:szCs w:val="22"/>
        </w:rPr>
      </w:pPr>
    </w:p>
    <w:p w:rsidR="006B32A0" w:rsidRDefault="006B32A0" w:rsidP="00E1425B">
      <w:pPr>
        <w:pStyle w:val="ListParagraph"/>
        <w:spacing w:after="200" w:line="276" w:lineRule="auto"/>
        <w:ind w:left="360"/>
        <w:contextualSpacing/>
        <w:rPr>
          <w:bCs/>
          <w:sz w:val="22"/>
          <w:szCs w:val="22"/>
        </w:rPr>
      </w:pPr>
    </w:p>
    <w:p w:rsidR="00BE5E8D" w:rsidRPr="00E1425B" w:rsidRDefault="00DF139D" w:rsidP="00E1425B">
      <w:pPr>
        <w:pStyle w:val="ListParagraph"/>
        <w:spacing w:after="200" w:line="276" w:lineRule="auto"/>
        <w:ind w:left="360"/>
        <w:contextualSpacing/>
        <w:rPr>
          <w:bCs/>
          <w:sz w:val="22"/>
          <w:szCs w:val="22"/>
        </w:rPr>
      </w:pPr>
      <w:r>
        <w:rPr>
          <w:bCs/>
          <w:sz w:val="22"/>
          <w:szCs w:val="22"/>
        </w:rPr>
        <w:t>Petitioner may like  to further submit that above schemes are in process of approval within petitioner’s administrative set up and after approval of the Board of Directors of the petitioner</w:t>
      </w:r>
      <w:r w:rsidR="00A4160C">
        <w:rPr>
          <w:bCs/>
          <w:sz w:val="22"/>
          <w:szCs w:val="22"/>
        </w:rPr>
        <w:t>, the Capex Schemes will</w:t>
      </w:r>
      <w:r w:rsidR="005A2892">
        <w:rPr>
          <w:bCs/>
          <w:sz w:val="22"/>
          <w:szCs w:val="22"/>
        </w:rPr>
        <w:t xml:space="preserve"> be submitted with</w:t>
      </w:r>
      <w:r>
        <w:rPr>
          <w:bCs/>
          <w:sz w:val="22"/>
          <w:szCs w:val="22"/>
        </w:rPr>
        <w:t xml:space="preserve"> detailed analysis, pay back period and implementation plan of above schemes as per above details.</w:t>
      </w:r>
    </w:p>
    <w:p w:rsidR="004D5721" w:rsidRDefault="004D5721" w:rsidP="004D5721"/>
    <w:p w:rsidR="004D5721" w:rsidRDefault="004D5721" w:rsidP="004D5721"/>
    <w:p w:rsidR="004D5721" w:rsidRDefault="004D5721" w:rsidP="004D5721"/>
    <w:p w:rsidR="008244FF" w:rsidRDefault="008244FF" w:rsidP="004D5721"/>
    <w:p w:rsidR="008244FF" w:rsidRDefault="008244FF" w:rsidP="004D5721"/>
    <w:p w:rsidR="008244FF" w:rsidRDefault="008244FF" w:rsidP="004D5721"/>
    <w:p w:rsidR="008244FF" w:rsidRDefault="008244FF" w:rsidP="004D5721"/>
    <w:p w:rsidR="000108A2" w:rsidRDefault="000108A2" w:rsidP="004D5721"/>
    <w:p w:rsidR="000108A2" w:rsidRDefault="000108A2" w:rsidP="004D5721"/>
    <w:p w:rsidR="000108A2" w:rsidRDefault="000108A2" w:rsidP="004D5721"/>
    <w:p w:rsidR="000108A2" w:rsidRDefault="000108A2" w:rsidP="004D5721"/>
    <w:p w:rsidR="008244FF" w:rsidRDefault="008244FF" w:rsidP="004D5721"/>
    <w:p w:rsidR="00220B18" w:rsidRDefault="00220B18" w:rsidP="004D5721"/>
    <w:p w:rsidR="00220B18" w:rsidRDefault="00220B18" w:rsidP="004D5721"/>
    <w:p w:rsidR="00220B18" w:rsidRDefault="00220B18" w:rsidP="004D5721"/>
    <w:p w:rsidR="00220B18" w:rsidRDefault="00220B18" w:rsidP="004D5721"/>
    <w:p w:rsidR="00220B18" w:rsidRDefault="00220B18" w:rsidP="004D5721"/>
    <w:p w:rsidR="00220B18" w:rsidRDefault="00220B18" w:rsidP="004D5721"/>
    <w:p w:rsidR="00220B18" w:rsidRDefault="00220B18" w:rsidP="004D5721"/>
    <w:p w:rsidR="00220B18" w:rsidRDefault="00220B18" w:rsidP="004D5721"/>
    <w:p w:rsidR="000F7069" w:rsidRDefault="0033070D" w:rsidP="0033070D">
      <w:pPr>
        <w:pStyle w:val="Heading1"/>
        <w:numPr>
          <w:ilvl w:val="0"/>
          <w:numId w:val="0"/>
        </w:numPr>
        <w:jc w:val="center"/>
      </w:pPr>
      <w:bookmarkStart w:id="63" w:name="_Ref146459147"/>
      <w:bookmarkStart w:id="64" w:name="_Toc411603929"/>
      <w:r>
        <w:lastRenderedPageBreak/>
        <w:t>Chapter 6:</w:t>
      </w:r>
      <w:r w:rsidR="000F7069">
        <w:t xml:space="preserve"> Prayer</w:t>
      </w:r>
      <w:bookmarkEnd w:id="63"/>
      <w:bookmarkEnd w:id="64"/>
    </w:p>
    <w:p w:rsidR="000F7069" w:rsidRDefault="00AE0C14" w:rsidP="00AE0C14">
      <w:pPr>
        <w:pStyle w:val="StyleHeading216ptJustifiedLinespacing15lines"/>
        <w:numPr>
          <w:ilvl w:val="0"/>
          <w:numId w:val="0"/>
        </w:numPr>
        <w:rPr>
          <w:color w:val="000080"/>
        </w:rPr>
      </w:pPr>
      <w:bookmarkStart w:id="65" w:name="_Toc115252385"/>
      <w:bookmarkStart w:id="66" w:name="_Toc411603930"/>
      <w:r>
        <w:rPr>
          <w:color w:val="000080"/>
        </w:rPr>
        <w:t>6.1</w:t>
      </w:r>
      <w:r w:rsidR="00C47AE3">
        <w:rPr>
          <w:color w:val="000080"/>
        </w:rPr>
        <w:t xml:space="preserve"> </w:t>
      </w:r>
      <w:r w:rsidR="000F7069">
        <w:rPr>
          <w:color w:val="000080"/>
        </w:rPr>
        <w:t>Prayer</w:t>
      </w:r>
      <w:bookmarkEnd w:id="65"/>
      <w:bookmarkEnd w:id="66"/>
    </w:p>
    <w:p w:rsidR="000F7069" w:rsidRDefault="00C47AE3">
      <w:pPr>
        <w:rPr>
          <w:sz w:val="22"/>
          <w:szCs w:val="22"/>
        </w:rPr>
      </w:pPr>
      <w:r w:rsidRPr="008911CD">
        <w:rPr>
          <w:sz w:val="22"/>
          <w:szCs w:val="22"/>
        </w:rPr>
        <w:t>Petitioner</w:t>
      </w:r>
      <w:r>
        <w:rPr>
          <w:sz w:val="22"/>
          <w:szCs w:val="22"/>
        </w:rPr>
        <w:t xml:space="preserve"> </w:t>
      </w:r>
      <w:r w:rsidR="000F7069">
        <w:rPr>
          <w:sz w:val="22"/>
          <w:szCs w:val="22"/>
        </w:rPr>
        <w:t>respectfully prays to the Hon'ble Commission;</w:t>
      </w:r>
    </w:p>
    <w:p w:rsidR="00A53F76" w:rsidRDefault="00A53F76" w:rsidP="004267DD">
      <w:pPr>
        <w:numPr>
          <w:ilvl w:val="0"/>
          <w:numId w:val="5"/>
        </w:numPr>
        <w:tabs>
          <w:tab w:val="clear" w:pos="360"/>
          <w:tab w:val="num" w:pos="720"/>
        </w:tabs>
        <w:ind w:left="720"/>
        <w:rPr>
          <w:sz w:val="22"/>
          <w:szCs w:val="22"/>
        </w:rPr>
      </w:pPr>
      <w:r>
        <w:rPr>
          <w:sz w:val="22"/>
          <w:szCs w:val="22"/>
        </w:rPr>
        <w:t xml:space="preserve">To admit this petition. </w:t>
      </w:r>
    </w:p>
    <w:p w:rsidR="00CA1EF3" w:rsidRDefault="00CA1EF3" w:rsidP="00CA1EF3">
      <w:pPr>
        <w:ind w:left="360"/>
        <w:rPr>
          <w:sz w:val="22"/>
          <w:szCs w:val="22"/>
        </w:rPr>
      </w:pPr>
    </w:p>
    <w:p w:rsidR="00C23F93" w:rsidRDefault="00C23F93" w:rsidP="004267DD">
      <w:pPr>
        <w:numPr>
          <w:ilvl w:val="0"/>
          <w:numId w:val="5"/>
        </w:numPr>
        <w:tabs>
          <w:tab w:val="clear" w:pos="360"/>
          <w:tab w:val="num" w:pos="720"/>
        </w:tabs>
        <w:ind w:left="720"/>
        <w:rPr>
          <w:sz w:val="22"/>
          <w:szCs w:val="22"/>
        </w:rPr>
      </w:pPr>
      <w:r>
        <w:rPr>
          <w:sz w:val="22"/>
          <w:szCs w:val="22"/>
        </w:rPr>
        <w:t xml:space="preserve">To </w:t>
      </w:r>
      <w:r w:rsidRPr="000E5651">
        <w:rPr>
          <w:sz w:val="22"/>
          <w:szCs w:val="22"/>
        </w:rPr>
        <w:t xml:space="preserve">true up the tariff for </w:t>
      </w:r>
      <w:r w:rsidR="008E2200">
        <w:rPr>
          <w:sz w:val="22"/>
          <w:szCs w:val="22"/>
        </w:rPr>
        <w:t>FY 2012-13, 2013-14 and FY 2014-15 (Provisional)</w:t>
      </w:r>
      <w:r w:rsidRPr="000E5651">
        <w:rPr>
          <w:sz w:val="22"/>
          <w:szCs w:val="22"/>
        </w:rPr>
        <w:t xml:space="preserve"> and approve</w:t>
      </w:r>
      <w:r>
        <w:rPr>
          <w:sz w:val="22"/>
          <w:szCs w:val="22"/>
        </w:rPr>
        <w:t xml:space="preserve"> the tariff for the </w:t>
      </w:r>
      <w:r w:rsidR="00587BA2">
        <w:rPr>
          <w:sz w:val="22"/>
          <w:szCs w:val="22"/>
        </w:rPr>
        <w:t xml:space="preserve">FY </w:t>
      </w:r>
      <w:r w:rsidR="008E2200">
        <w:rPr>
          <w:sz w:val="22"/>
          <w:szCs w:val="22"/>
        </w:rPr>
        <w:t>2015-16</w:t>
      </w:r>
      <w:r w:rsidR="007C592D">
        <w:rPr>
          <w:sz w:val="22"/>
          <w:szCs w:val="22"/>
        </w:rPr>
        <w:t>.</w:t>
      </w:r>
    </w:p>
    <w:p w:rsidR="00CA1EF3" w:rsidRDefault="00CA1EF3" w:rsidP="00CA1EF3">
      <w:pPr>
        <w:rPr>
          <w:sz w:val="22"/>
          <w:szCs w:val="22"/>
        </w:rPr>
      </w:pPr>
    </w:p>
    <w:p w:rsidR="000F7069" w:rsidRDefault="000F7069" w:rsidP="004267DD">
      <w:pPr>
        <w:numPr>
          <w:ilvl w:val="0"/>
          <w:numId w:val="5"/>
        </w:numPr>
        <w:tabs>
          <w:tab w:val="clear" w:pos="360"/>
          <w:tab w:val="num" w:pos="720"/>
        </w:tabs>
        <w:ind w:left="720"/>
        <w:rPr>
          <w:sz w:val="22"/>
          <w:szCs w:val="22"/>
        </w:rPr>
      </w:pPr>
      <w:r>
        <w:rPr>
          <w:sz w:val="22"/>
          <w:szCs w:val="22"/>
        </w:rPr>
        <w:t xml:space="preserve">To approve the operational and financial parameters as proposed </w:t>
      </w:r>
      <w:r w:rsidR="00EA481E">
        <w:rPr>
          <w:sz w:val="22"/>
          <w:szCs w:val="22"/>
        </w:rPr>
        <w:t>for FY 201</w:t>
      </w:r>
      <w:r w:rsidR="00AE0C14">
        <w:rPr>
          <w:sz w:val="22"/>
          <w:szCs w:val="22"/>
        </w:rPr>
        <w:t>2</w:t>
      </w:r>
      <w:r w:rsidR="00EA481E">
        <w:rPr>
          <w:sz w:val="22"/>
          <w:szCs w:val="22"/>
        </w:rPr>
        <w:t>-1</w:t>
      </w:r>
      <w:r w:rsidR="00AE0C14">
        <w:rPr>
          <w:sz w:val="22"/>
          <w:szCs w:val="22"/>
        </w:rPr>
        <w:t>3 to FY 2014-15</w:t>
      </w:r>
      <w:r w:rsidR="008E2200">
        <w:rPr>
          <w:sz w:val="22"/>
          <w:szCs w:val="22"/>
        </w:rPr>
        <w:t xml:space="preserve"> and FY 2015-16</w:t>
      </w:r>
      <w:r>
        <w:rPr>
          <w:sz w:val="22"/>
          <w:szCs w:val="22"/>
        </w:rPr>
        <w:t>.</w:t>
      </w:r>
    </w:p>
    <w:p w:rsidR="00CA1EF3" w:rsidRDefault="00CA1EF3" w:rsidP="00CA1EF3">
      <w:pPr>
        <w:rPr>
          <w:sz w:val="22"/>
          <w:szCs w:val="22"/>
        </w:rPr>
      </w:pPr>
    </w:p>
    <w:p w:rsidR="00825C7D" w:rsidRDefault="00A12C83" w:rsidP="004267DD">
      <w:pPr>
        <w:numPr>
          <w:ilvl w:val="0"/>
          <w:numId w:val="5"/>
        </w:numPr>
        <w:tabs>
          <w:tab w:val="clear" w:pos="360"/>
          <w:tab w:val="num" w:pos="720"/>
        </w:tabs>
        <w:ind w:left="720"/>
        <w:rPr>
          <w:sz w:val="22"/>
          <w:szCs w:val="22"/>
        </w:rPr>
      </w:pPr>
      <w:r>
        <w:rPr>
          <w:sz w:val="22"/>
          <w:szCs w:val="22"/>
        </w:rPr>
        <w:t>To allow taxes,</w:t>
      </w:r>
      <w:r w:rsidR="00996B0D">
        <w:rPr>
          <w:sz w:val="22"/>
          <w:szCs w:val="22"/>
        </w:rPr>
        <w:t xml:space="preserve"> property/service </w:t>
      </w:r>
      <w:r w:rsidR="000F225F">
        <w:rPr>
          <w:sz w:val="22"/>
          <w:szCs w:val="22"/>
        </w:rPr>
        <w:t xml:space="preserve">tax, cess, etc </w:t>
      </w:r>
      <w:r>
        <w:rPr>
          <w:sz w:val="22"/>
          <w:szCs w:val="22"/>
        </w:rPr>
        <w:t>as pass through on actual basis</w:t>
      </w:r>
      <w:r w:rsidR="00821CC2">
        <w:rPr>
          <w:sz w:val="22"/>
          <w:szCs w:val="22"/>
        </w:rPr>
        <w:t xml:space="preserve"> for FY</w:t>
      </w:r>
      <w:r w:rsidR="00CB66A6">
        <w:rPr>
          <w:sz w:val="22"/>
          <w:szCs w:val="22"/>
        </w:rPr>
        <w:t xml:space="preserve"> </w:t>
      </w:r>
      <w:r w:rsidR="00821CC2">
        <w:rPr>
          <w:sz w:val="22"/>
          <w:szCs w:val="22"/>
        </w:rPr>
        <w:t>201</w:t>
      </w:r>
      <w:r w:rsidR="00AE0C14">
        <w:rPr>
          <w:sz w:val="22"/>
          <w:szCs w:val="22"/>
        </w:rPr>
        <w:t>2</w:t>
      </w:r>
      <w:r w:rsidR="00821CC2">
        <w:rPr>
          <w:sz w:val="22"/>
          <w:szCs w:val="22"/>
        </w:rPr>
        <w:t>-1</w:t>
      </w:r>
      <w:r w:rsidR="00AE0C14">
        <w:rPr>
          <w:sz w:val="22"/>
          <w:szCs w:val="22"/>
        </w:rPr>
        <w:t>3 to FY 2014-15</w:t>
      </w:r>
      <w:r w:rsidR="00A31607">
        <w:rPr>
          <w:sz w:val="22"/>
          <w:szCs w:val="22"/>
        </w:rPr>
        <w:t xml:space="preserve"> and extended period FY 2015-16</w:t>
      </w:r>
      <w:r w:rsidR="00825C7D">
        <w:rPr>
          <w:sz w:val="22"/>
          <w:szCs w:val="22"/>
        </w:rPr>
        <w:t>.</w:t>
      </w:r>
    </w:p>
    <w:p w:rsidR="00CA1EF3" w:rsidRDefault="00CA1EF3" w:rsidP="00CA1EF3">
      <w:pPr>
        <w:ind w:left="360"/>
        <w:rPr>
          <w:sz w:val="22"/>
          <w:szCs w:val="22"/>
        </w:rPr>
      </w:pPr>
    </w:p>
    <w:p w:rsidR="000E5651" w:rsidRDefault="000E5651" w:rsidP="009669DD">
      <w:pPr>
        <w:numPr>
          <w:ilvl w:val="0"/>
          <w:numId w:val="5"/>
        </w:numPr>
        <w:tabs>
          <w:tab w:val="clear" w:pos="360"/>
          <w:tab w:val="num" w:pos="720"/>
        </w:tabs>
        <w:ind w:left="720"/>
        <w:rPr>
          <w:sz w:val="22"/>
          <w:szCs w:val="22"/>
        </w:rPr>
      </w:pPr>
      <w:r>
        <w:rPr>
          <w:sz w:val="22"/>
          <w:szCs w:val="22"/>
        </w:rPr>
        <w:t>To</w:t>
      </w:r>
      <w:r w:rsidR="008C3764">
        <w:rPr>
          <w:sz w:val="22"/>
          <w:szCs w:val="22"/>
        </w:rPr>
        <w:t xml:space="preserve"> relax </w:t>
      </w:r>
      <w:r w:rsidR="00FA116D">
        <w:rPr>
          <w:sz w:val="22"/>
          <w:szCs w:val="22"/>
        </w:rPr>
        <w:t xml:space="preserve">the norm of Return on Equity </w:t>
      </w:r>
      <w:r w:rsidR="008C3764">
        <w:rPr>
          <w:sz w:val="22"/>
          <w:szCs w:val="22"/>
        </w:rPr>
        <w:t xml:space="preserve">and </w:t>
      </w:r>
      <w:r w:rsidR="00584E27">
        <w:rPr>
          <w:sz w:val="22"/>
          <w:szCs w:val="22"/>
        </w:rPr>
        <w:t xml:space="preserve">increase the Return on Equity from 14% to 15.5% </w:t>
      </w:r>
      <w:r w:rsidR="0086387F">
        <w:rPr>
          <w:sz w:val="22"/>
          <w:szCs w:val="22"/>
        </w:rPr>
        <w:t xml:space="preserve">in line </w:t>
      </w:r>
      <w:r w:rsidR="00584E27">
        <w:rPr>
          <w:sz w:val="22"/>
          <w:szCs w:val="22"/>
        </w:rPr>
        <w:t xml:space="preserve">with </w:t>
      </w:r>
      <w:r w:rsidR="0086387F">
        <w:rPr>
          <w:sz w:val="22"/>
          <w:szCs w:val="22"/>
        </w:rPr>
        <w:t xml:space="preserve"> the </w:t>
      </w:r>
      <w:r w:rsidR="00584E27">
        <w:rPr>
          <w:sz w:val="22"/>
          <w:szCs w:val="22"/>
        </w:rPr>
        <w:t>CERC Tariff Regulations, 2009</w:t>
      </w:r>
      <w:r w:rsidR="00CA1EF3">
        <w:rPr>
          <w:sz w:val="22"/>
          <w:szCs w:val="22"/>
        </w:rPr>
        <w:t>.</w:t>
      </w:r>
    </w:p>
    <w:p w:rsidR="005D35A3" w:rsidRDefault="005D35A3" w:rsidP="005D35A3">
      <w:pPr>
        <w:pStyle w:val="ListParagraph"/>
        <w:rPr>
          <w:sz w:val="22"/>
          <w:szCs w:val="22"/>
        </w:rPr>
      </w:pPr>
    </w:p>
    <w:p w:rsidR="005D35A3" w:rsidRDefault="005D35A3" w:rsidP="009669DD">
      <w:pPr>
        <w:numPr>
          <w:ilvl w:val="0"/>
          <w:numId w:val="5"/>
        </w:numPr>
        <w:tabs>
          <w:tab w:val="clear" w:pos="360"/>
          <w:tab w:val="num" w:pos="720"/>
        </w:tabs>
        <w:ind w:left="720"/>
        <w:rPr>
          <w:sz w:val="22"/>
          <w:szCs w:val="22"/>
        </w:rPr>
      </w:pPr>
      <w:r>
        <w:rPr>
          <w:sz w:val="22"/>
          <w:szCs w:val="22"/>
        </w:rPr>
        <w:t>To allow submission of details of capex scheme at later stage.</w:t>
      </w:r>
    </w:p>
    <w:p w:rsidR="00CA1EF3" w:rsidRDefault="00CA1EF3" w:rsidP="00CA1EF3">
      <w:pPr>
        <w:rPr>
          <w:sz w:val="22"/>
          <w:szCs w:val="22"/>
        </w:rPr>
      </w:pPr>
    </w:p>
    <w:p w:rsidR="00CA1EF3" w:rsidRDefault="00C800C8" w:rsidP="002B66F2">
      <w:pPr>
        <w:numPr>
          <w:ilvl w:val="0"/>
          <w:numId w:val="5"/>
        </w:numPr>
        <w:tabs>
          <w:tab w:val="clear" w:pos="360"/>
          <w:tab w:val="num" w:pos="720"/>
        </w:tabs>
        <w:ind w:left="720"/>
        <w:rPr>
          <w:sz w:val="22"/>
          <w:szCs w:val="22"/>
        </w:rPr>
      </w:pPr>
      <w:r>
        <w:rPr>
          <w:sz w:val="22"/>
          <w:szCs w:val="22"/>
        </w:rPr>
        <w:t>To grant any other relief as Hon'ble Commission may consider appropriate. The petitioner craves leave of the Hon'ble Commission to allow further submissions, addition and alteration to this Petition as may be necess</w:t>
      </w:r>
      <w:r w:rsidR="009F5242">
        <w:rPr>
          <w:sz w:val="22"/>
          <w:szCs w:val="22"/>
        </w:rPr>
        <w:t>ary</w:t>
      </w:r>
      <w:r>
        <w:rPr>
          <w:sz w:val="22"/>
          <w:szCs w:val="22"/>
        </w:rPr>
        <w:t xml:space="preserve"> from time to time.</w:t>
      </w:r>
    </w:p>
    <w:p w:rsidR="000108A2" w:rsidRDefault="000108A2" w:rsidP="00CA1EF3">
      <w:pPr>
        <w:ind w:left="360"/>
        <w:rPr>
          <w:sz w:val="22"/>
          <w:szCs w:val="22"/>
        </w:rPr>
      </w:pPr>
    </w:p>
    <w:p w:rsidR="000F7069" w:rsidRDefault="000F7069" w:rsidP="004267DD">
      <w:pPr>
        <w:numPr>
          <w:ilvl w:val="0"/>
          <w:numId w:val="5"/>
        </w:numPr>
        <w:tabs>
          <w:tab w:val="clear" w:pos="360"/>
          <w:tab w:val="num" w:pos="720"/>
        </w:tabs>
        <w:ind w:left="720"/>
        <w:rPr>
          <w:sz w:val="22"/>
          <w:szCs w:val="22"/>
        </w:rPr>
      </w:pPr>
      <w:r>
        <w:rPr>
          <w:sz w:val="22"/>
          <w:szCs w:val="22"/>
        </w:rPr>
        <w:t>Pass any other order as Hon’ble Commission may deem fit and appropriate under the circumstances of the case and in the interest of justice.</w:t>
      </w:r>
    </w:p>
    <w:p w:rsidR="005700B2" w:rsidRDefault="005700B2">
      <w:pPr>
        <w:rPr>
          <w:sz w:val="22"/>
          <w:szCs w:val="22"/>
        </w:rPr>
      </w:pPr>
    </w:p>
    <w:p w:rsidR="00C021A9" w:rsidRDefault="00C021A9">
      <w:pPr>
        <w:rPr>
          <w:sz w:val="22"/>
          <w:szCs w:val="22"/>
        </w:rPr>
      </w:pPr>
    </w:p>
    <w:p w:rsidR="00C021A9" w:rsidRDefault="00C021A9">
      <w:pPr>
        <w:rPr>
          <w:sz w:val="22"/>
          <w:szCs w:val="22"/>
        </w:rPr>
      </w:pPr>
    </w:p>
    <w:p w:rsidR="000F7069" w:rsidRPr="00B94A85" w:rsidRDefault="00B94A85" w:rsidP="000108A2">
      <w:pPr>
        <w:spacing w:line="240" w:lineRule="auto"/>
        <w:jc w:val="right"/>
        <w:rPr>
          <w:b/>
          <w:bCs/>
          <w:sz w:val="22"/>
          <w:szCs w:val="22"/>
        </w:rPr>
      </w:pPr>
      <w:r w:rsidRPr="00B94A85">
        <w:rPr>
          <w:b/>
          <w:bCs/>
          <w:sz w:val="22"/>
          <w:szCs w:val="22"/>
        </w:rPr>
        <w:t>(</w:t>
      </w:r>
      <w:r w:rsidR="0081174E">
        <w:rPr>
          <w:b/>
          <w:bCs/>
          <w:sz w:val="22"/>
          <w:szCs w:val="22"/>
        </w:rPr>
        <w:t>JAGDISH KUMAR</w:t>
      </w:r>
      <w:r w:rsidRPr="00B94A85">
        <w:rPr>
          <w:b/>
          <w:bCs/>
          <w:sz w:val="22"/>
          <w:szCs w:val="22"/>
        </w:rPr>
        <w:t>)</w:t>
      </w:r>
    </w:p>
    <w:p w:rsidR="00CC3D90" w:rsidRPr="00B94A85" w:rsidRDefault="0081174E" w:rsidP="000108A2">
      <w:pPr>
        <w:spacing w:line="240" w:lineRule="auto"/>
        <w:jc w:val="right"/>
        <w:rPr>
          <w:b/>
          <w:bCs/>
          <w:sz w:val="22"/>
          <w:szCs w:val="22"/>
        </w:rPr>
      </w:pPr>
      <w:r>
        <w:rPr>
          <w:b/>
          <w:bCs/>
          <w:sz w:val="22"/>
          <w:szCs w:val="22"/>
        </w:rPr>
        <w:t>DIRECTOR (TECH.)</w:t>
      </w:r>
    </w:p>
    <w:p w:rsidR="00CC3D90" w:rsidRDefault="00CC3D90" w:rsidP="000108A2">
      <w:pPr>
        <w:spacing w:line="240" w:lineRule="auto"/>
        <w:jc w:val="right"/>
        <w:rPr>
          <w:b/>
          <w:bCs/>
          <w:sz w:val="22"/>
          <w:szCs w:val="22"/>
        </w:rPr>
      </w:pPr>
      <w:bookmarkStart w:id="67" w:name="_Toc114398504"/>
      <w:r>
        <w:rPr>
          <w:b/>
          <w:bCs/>
          <w:sz w:val="22"/>
          <w:szCs w:val="22"/>
        </w:rPr>
        <w:t>Pragati Power Corporation Limited</w:t>
      </w:r>
    </w:p>
    <w:p w:rsidR="000F7069" w:rsidRDefault="000F7069" w:rsidP="000108A2">
      <w:pPr>
        <w:spacing w:line="240" w:lineRule="auto"/>
        <w:jc w:val="right"/>
        <w:rPr>
          <w:b/>
          <w:bCs/>
          <w:sz w:val="22"/>
          <w:szCs w:val="22"/>
        </w:rPr>
      </w:pPr>
      <w:r>
        <w:rPr>
          <w:b/>
          <w:bCs/>
          <w:sz w:val="22"/>
          <w:szCs w:val="22"/>
        </w:rPr>
        <w:t>PETITIONER</w:t>
      </w:r>
      <w:bookmarkEnd w:id="67"/>
    </w:p>
    <w:p w:rsidR="000F7069" w:rsidRPr="00DE3F74" w:rsidRDefault="000F7069" w:rsidP="00172B2D">
      <w:pPr>
        <w:spacing w:line="240" w:lineRule="auto"/>
        <w:jc w:val="left"/>
      </w:pPr>
    </w:p>
    <w:sectPr w:rsidR="000F7069" w:rsidRPr="00DE3F74" w:rsidSect="00D96DDC">
      <w:headerReference w:type="default" r:id="rId8"/>
      <w:footerReference w:type="even" r:id="rId9"/>
      <w:footerReference w:type="default" r:id="rId10"/>
      <w:pgSz w:w="11909" w:h="16834" w:code="9"/>
      <w:pgMar w:top="1555" w:right="929" w:bottom="1440" w:left="1728"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E34" w:rsidRDefault="00654E34">
      <w:r>
        <w:separator/>
      </w:r>
    </w:p>
  </w:endnote>
  <w:endnote w:type="continuationSeparator" w:id="1">
    <w:p w:rsidR="00654E34" w:rsidRDefault="00654E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4E0" w:rsidRDefault="009F72BB" w:rsidP="00827636">
    <w:pPr>
      <w:pStyle w:val="Footer"/>
      <w:framePr w:wrap="around" w:vAnchor="text" w:hAnchor="margin" w:xAlign="right" w:y="1"/>
      <w:rPr>
        <w:rStyle w:val="PageNumber"/>
      </w:rPr>
    </w:pPr>
    <w:r>
      <w:rPr>
        <w:rStyle w:val="PageNumber"/>
      </w:rPr>
      <w:fldChar w:fldCharType="begin"/>
    </w:r>
    <w:r w:rsidR="005B54E0">
      <w:rPr>
        <w:rStyle w:val="PageNumber"/>
      </w:rPr>
      <w:instrText xml:space="preserve">PAGE  </w:instrText>
    </w:r>
    <w:r>
      <w:rPr>
        <w:rStyle w:val="PageNumber"/>
      </w:rPr>
      <w:fldChar w:fldCharType="end"/>
    </w:r>
  </w:p>
  <w:p w:rsidR="005B54E0" w:rsidRDefault="005B54E0" w:rsidP="008276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4E0" w:rsidRDefault="009F72BB" w:rsidP="00827636">
    <w:pPr>
      <w:pStyle w:val="Footer"/>
      <w:framePr w:wrap="around" w:vAnchor="text" w:hAnchor="margin" w:xAlign="right" w:y="1"/>
      <w:rPr>
        <w:rStyle w:val="PageNumber"/>
      </w:rPr>
    </w:pPr>
    <w:r>
      <w:rPr>
        <w:rStyle w:val="PageNumber"/>
      </w:rPr>
      <w:fldChar w:fldCharType="begin"/>
    </w:r>
    <w:r w:rsidR="005B54E0">
      <w:rPr>
        <w:rStyle w:val="PageNumber"/>
      </w:rPr>
      <w:instrText xml:space="preserve">PAGE  </w:instrText>
    </w:r>
    <w:r>
      <w:rPr>
        <w:rStyle w:val="PageNumber"/>
      </w:rPr>
      <w:fldChar w:fldCharType="separate"/>
    </w:r>
    <w:r w:rsidR="009447AA">
      <w:rPr>
        <w:rStyle w:val="PageNumber"/>
        <w:noProof/>
      </w:rPr>
      <w:t>1</w:t>
    </w:r>
    <w:r>
      <w:rPr>
        <w:rStyle w:val="PageNumber"/>
      </w:rPr>
      <w:fldChar w:fldCharType="end"/>
    </w:r>
  </w:p>
  <w:p w:rsidR="005B54E0" w:rsidRDefault="005B54E0" w:rsidP="00827636">
    <w:pPr>
      <w:pStyle w:val="Footer"/>
      <w:pBdr>
        <w:top w:val="single" w:sz="4" w:space="1" w:color="auto"/>
      </w:pBdr>
      <w:ind w:right="360"/>
    </w:pPr>
    <w:r>
      <w:t xml:space="preserve">PPS-I                                                                                              </w:t>
    </w:r>
    <w: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E34" w:rsidRDefault="00654E34">
      <w:r>
        <w:separator/>
      </w:r>
    </w:p>
  </w:footnote>
  <w:footnote w:type="continuationSeparator" w:id="1">
    <w:p w:rsidR="00654E34" w:rsidRDefault="00654E34">
      <w:r>
        <w:continuationSeparator/>
      </w:r>
    </w:p>
  </w:footnote>
  <w:footnote w:id="2">
    <w:p w:rsidR="005B54E0" w:rsidRDefault="005B54E0">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4E0" w:rsidRPr="00D536D5" w:rsidRDefault="005B54E0" w:rsidP="00CE5C41">
    <w:pPr>
      <w:pStyle w:val="Header"/>
      <w:pBdr>
        <w:bottom w:val="single" w:sz="4" w:space="1" w:color="auto"/>
      </w:pBdr>
      <w:tabs>
        <w:tab w:val="clear" w:pos="8640"/>
      </w:tabs>
      <w:spacing w:line="240" w:lineRule="auto"/>
      <w:ind w:right="-532"/>
      <w:rPr>
        <w:b/>
        <w:sz w:val="20"/>
      </w:rPr>
    </w:pPr>
    <w:r w:rsidRPr="00D536D5">
      <w:rPr>
        <w:bCs/>
        <w:sz w:val="20"/>
      </w:rPr>
      <w:t xml:space="preserve">Tariff Petition for </w:t>
    </w:r>
    <w:r>
      <w:rPr>
        <w:bCs/>
        <w:sz w:val="20"/>
      </w:rPr>
      <w:t xml:space="preserve">determination of </w:t>
    </w:r>
    <w:r w:rsidRPr="00D536D5">
      <w:rPr>
        <w:bCs/>
        <w:sz w:val="20"/>
      </w:rPr>
      <w:t xml:space="preserve">the </w:t>
    </w:r>
    <w:r>
      <w:rPr>
        <w:sz w:val="22"/>
        <w:szCs w:val="22"/>
      </w:rPr>
      <w:t>Tariff for the Financial Year 2015-16, truing up for FY 2012-13 to 2013-14 and approval of revised estimate for FY 2014-15of current MYT.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1440"/>
        </w:tabs>
        <w:ind w:left="1440" w:hanging="360"/>
      </w:pPr>
      <w:rPr>
        <w:rFonts w:ascii="Symbol" w:hAnsi="Symbol"/>
      </w:rPr>
    </w:lvl>
  </w:abstractNum>
  <w:abstractNum w:abstractNumId="1">
    <w:nsid w:val="02011861"/>
    <w:multiLevelType w:val="multilevel"/>
    <w:tmpl w:val="5504110A"/>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980"/>
        </w:tabs>
        <w:ind w:left="1980" w:hanging="144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700"/>
        </w:tabs>
        <w:ind w:left="2700" w:hanging="216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2">
    <w:nsid w:val="035330ED"/>
    <w:multiLevelType w:val="hybridMultilevel"/>
    <w:tmpl w:val="69CAE4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41E2F3B"/>
    <w:multiLevelType w:val="hybridMultilevel"/>
    <w:tmpl w:val="9A4034BE"/>
    <w:lvl w:ilvl="0" w:tplc="7472DD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703B41"/>
    <w:multiLevelType w:val="hybridMultilevel"/>
    <w:tmpl w:val="524C8AA6"/>
    <w:lvl w:ilvl="0" w:tplc="9716C65E">
      <w:start w:val="1"/>
      <w:numFmt w:val="decimal"/>
      <w:lvlText w:val="%1."/>
      <w:lvlJc w:val="left"/>
      <w:pPr>
        <w:tabs>
          <w:tab w:val="num" w:pos="900"/>
        </w:tabs>
        <w:ind w:left="900" w:hanging="360"/>
      </w:pPr>
      <w:rPr>
        <w:rFonts w:hint="default"/>
        <w:sz w:val="24"/>
        <w:szCs w:val="24"/>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086A6DCC"/>
    <w:multiLevelType w:val="hybridMultilevel"/>
    <w:tmpl w:val="54548EBC"/>
    <w:lvl w:ilvl="0" w:tplc="57ACCA26">
      <w:start w:val="1"/>
      <w:numFmt w:val="lowerLetter"/>
      <w:lvlText w:val="%1."/>
      <w:lvlJc w:val="left"/>
      <w:pPr>
        <w:tabs>
          <w:tab w:val="num" w:pos="360"/>
        </w:tabs>
        <w:ind w:left="360" w:hanging="360"/>
      </w:pPr>
      <w:rPr>
        <w:rFonts w:ascii="Century Gothic" w:hAnsi="Century Gothic" w:cs="Times New Roman" w:hint="default"/>
      </w:rPr>
    </w:lvl>
    <w:lvl w:ilvl="1" w:tplc="04090019">
      <w:start w:val="1"/>
      <w:numFmt w:val="lowerLetter"/>
      <w:lvlText w:val="%2."/>
      <w:lvlJc w:val="left"/>
      <w:pPr>
        <w:tabs>
          <w:tab w:val="num" w:pos="1440"/>
        </w:tabs>
        <w:ind w:left="1440" w:hanging="360"/>
      </w:pPr>
    </w:lvl>
    <w:lvl w:ilvl="2" w:tplc="64A463CE">
      <w:start w:val="1"/>
      <w:numFmt w:val="decimal"/>
      <w:lvlText w:val="%3."/>
      <w:lvlJc w:val="left"/>
      <w:pPr>
        <w:tabs>
          <w:tab w:val="num" w:pos="2340"/>
        </w:tabs>
        <w:ind w:left="234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735FC4"/>
    <w:multiLevelType w:val="hybridMultilevel"/>
    <w:tmpl w:val="778816CA"/>
    <w:lvl w:ilvl="0" w:tplc="45AAEC72">
      <w:start w:val="8"/>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152A2DA8"/>
    <w:multiLevelType w:val="hybridMultilevel"/>
    <w:tmpl w:val="543E3DF0"/>
    <w:lvl w:ilvl="0" w:tplc="CA76A688">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181B68D2"/>
    <w:multiLevelType w:val="hybridMultilevel"/>
    <w:tmpl w:val="DFB847B4"/>
    <w:lvl w:ilvl="0" w:tplc="747C4808">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1A781339"/>
    <w:multiLevelType w:val="multilevel"/>
    <w:tmpl w:val="5846F4D8"/>
    <w:lvl w:ilvl="0">
      <w:start w:val="11"/>
      <w:numFmt w:val="decimal"/>
      <w:lvlText w:val="%1"/>
      <w:lvlJc w:val="left"/>
      <w:pPr>
        <w:ind w:left="630" w:hanging="630"/>
      </w:pPr>
      <w:rPr>
        <w:rFonts w:hint="default"/>
      </w:rPr>
    </w:lvl>
    <w:lvl w:ilvl="1">
      <w:start w:val="10"/>
      <w:numFmt w:val="decimal"/>
      <w:lvlText w:val="%1.%2"/>
      <w:lvlJc w:val="left"/>
      <w:pPr>
        <w:ind w:left="2430" w:hanging="63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0">
    <w:nsid w:val="1ADE6008"/>
    <w:multiLevelType w:val="hybridMultilevel"/>
    <w:tmpl w:val="19427BEA"/>
    <w:lvl w:ilvl="0" w:tplc="596AA474">
      <w:start w:val="1"/>
      <w:numFmt w:val="decimal"/>
      <w:lvlText w:val="%1."/>
      <w:lvlJc w:val="left"/>
      <w:pPr>
        <w:tabs>
          <w:tab w:val="num" w:pos="900"/>
        </w:tabs>
        <w:ind w:left="900" w:hanging="360"/>
      </w:pPr>
      <w:rPr>
        <w:rFonts w:hint="default"/>
        <w:color w:val="auto"/>
      </w:rPr>
    </w:lvl>
    <w:lvl w:ilvl="1" w:tplc="04090001">
      <w:start w:val="1"/>
      <w:numFmt w:val="bullet"/>
      <w:lvlText w:val=""/>
      <w:lvlJc w:val="left"/>
      <w:pPr>
        <w:tabs>
          <w:tab w:val="num" w:pos="1620"/>
        </w:tabs>
        <w:ind w:left="1620" w:hanging="360"/>
      </w:pPr>
      <w:rPr>
        <w:rFonts w:ascii="Symbol" w:hAnsi="Symbol" w:hint="default"/>
      </w:rPr>
    </w:lvl>
    <w:lvl w:ilvl="2" w:tplc="E2E0350C">
      <w:start w:val="5"/>
      <w:numFmt w:val="decimal"/>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24243F8A"/>
    <w:multiLevelType w:val="hybridMultilevel"/>
    <w:tmpl w:val="F842B0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7367F98"/>
    <w:multiLevelType w:val="hybridMultilevel"/>
    <w:tmpl w:val="6BBC99B6"/>
    <w:lvl w:ilvl="0" w:tplc="FF1A39F2">
      <w:start w:val="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2DFB37C4"/>
    <w:multiLevelType w:val="multilevel"/>
    <w:tmpl w:val="66A075A4"/>
    <w:lvl w:ilvl="0">
      <w:start w:val="1"/>
      <w:numFmt w:val="decimal"/>
      <w:lvlText w:val="%1."/>
      <w:lvlJc w:val="left"/>
      <w:pPr>
        <w:tabs>
          <w:tab w:val="num" w:pos="360"/>
        </w:tabs>
        <w:ind w:left="360" w:hanging="360"/>
      </w:pPr>
      <w:rPr>
        <w:rFonts w:hint="default"/>
      </w:rPr>
    </w:lvl>
    <w:lvl w:ilvl="1">
      <w:start w:val="1"/>
      <w:numFmt w:val="decimal"/>
      <w:pStyle w:val="StyleHeading216ptJustifiedLinespacing15lines"/>
      <w:lvlText w:val="2.%2."/>
      <w:lvlJc w:val="left"/>
      <w:pPr>
        <w:tabs>
          <w:tab w:val="num" w:pos="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316238D8"/>
    <w:multiLevelType w:val="hybridMultilevel"/>
    <w:tmpl w:val="0A8ACCCA"/>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5">
    <w:nsid w:val="336A199D"/>
    <w:multiLevelType w:val="hybridMultilevel"/>
    <w:tmpl w:val="2BB41372"/>
    <w:lvl w:ilvl="0" w:tplc="22D81E8C">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34F71AD3"/>
    <w:multiLevelType w:val="hybridMultilevel"/>
    <w:tmpl w:val="5554E63E"/>
    <w:lvl w:ilvl="0" w:tplc="B7467A80">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393F77FD"/>
    <w:multiLevelType w:val="multilevel"/>
    <w:tmpl w:val="03A662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A976CED"/>
    <w:multiLevelType w:val="hybridMultilevel"/>
    <w:tmpl w:val="52B2C6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27E14BD"/>
    <w:multiLevelType w:val="hybridMultilevel"/>
    <w:tmpl w:val="30C8CC7A"/>
    <w:lvl w:ilvl="0" w:tplc="CD8853E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40655C7"/>
    <w:multiLevelType w:val="hybridMultilevel"/>
    <w:tmpl w:val="F842B0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55808AB"/>
    <w:multiLevelType w:val="hybridMultilevel"/>
    <w:tmpl w:val="F842B0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D9B7DAE"/>
    <w:multiLevelType w:val="hybridMultilevel"/>
    <w:tmpl w:val="E4704636"/>
    <w:lvl w:ilvl="0" w:tplc="2E9A245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587E2AF1"/>
    <w:multiLevelType w:val="hybridMultilevel"/>
    <w:tmpl w:val="11F425C2"/>
    <w:lvl w:ilvl="0" w:tplc="4AE82FA2">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59C0742F"/>
    <w:multiLevelType w:val="hybridMultilevel"/>
    <w:tmpl w:val="F9528BAC"/>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5E8F5FF0"/>
    <w:multiLevelType w:val="hybridMultilevel"/>
    <w:tmpl w:val="E4FA006A"/>
    <w:lvl w:ilvl="0" w:tplc="04090001">
      <w:start w:val="1"/>
      <w:numFmt w:val="bullet"/>
      <w:lvlText w:val=""/>
      <w:lvlJc w:val="left"/>
      <w:pPr>
        <w:ind w:left="1710" w:hanging="360"/>
      </w:pPr>
      <w:rPr>
        <w:rFonts w:ascii="Symbol" w:hAnsi="Symbol"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3B14736"/>
    <w:multiLevelType w:val="multilevel"/>
    <w:tmpl w:val="2CE4934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95E1AFE"/>
    <w:multiLevelType w:val="hybridMultilevel"/>
    <w:tmpl w:val="817280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96C2397"/>
    <w:multiLevelType w:val="hybridMultilevel"/>
    <w:tmpl w:val="2AFED284"/>
    <w:lvl w:ilvl="0" w:tplc="E53267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98F539A"/>
    <w:multiLevelType w:val="hybridMultilevel"/>
    <w:tmpl w:val="14D6B11A"/>
    <w:lvl w:ilvl="0" w:tplc="03AE872E">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1620"/>
        </w:tabs>
        <w:ind w:left="1620" w:hanging="360"/>
      </w:pPr>
      <w:rPr>
        <w:rFonts w:ascii="Symbol" w:hAnsi="Symbol" w:hint="default"/>
      </w:rPr>
    </w:lvl>
    <w:lvl w:ilvl="2" w:tplc="E2E0350C">
      <w:start w:val="5"/>
      <w:numFmt w:val="decimal"/>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nsid w:val="6AFC202D"/>
    <w:multiLevelType w:val="hybridMultilevel"/>
    <w:tmpl w:val="0F36DAE4"/>
    <w:lvl w:ilvl="0" w:tplc="364C806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FAB4432"/>
    <w:multiLevelType w:val="hybridMultilevel"/>
    <w:tmpl w:val="EC3085CE"/>
    <w:lvl w:ilvl="0" w:tplc="CD188D3E">
      <w:start w:val="5"/>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72C82B64"/>
    <w:multiLevelType w:val="hybridMultilevel"/>
    <w:tmpl w:val="A7EE0090"/>
    <w:lvl w:ilvl="0" w:tplc="BDBC519E">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72DB1B9A"/>
    <w:multiLevelType w:val="hybridMultilevel"/>
    <w:tmpl w:val="98FA2C20"/>
    <w:lvl w:ilvl="0" w:tplc="38FCA2D8">
      <w:start w:val="1"/>
      <w:numFmt w:val="decimal"/>
      <w:lvlText w:val="%1."/>
      <w:lvlJc w:val="left"/>
      <w:pPr>
        <w:tabs>
          <w:tab w:val="num" w:pos="900"/>
        </w:tabs>
        <w:ind w:left="90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3474869"/>
    <w:multiLevelType w:val="hybridMultilevel"/>
    <w:tmpl w:val="3E1C2EE8"/>
    <w:lvl w:ilvl="0" w:tplc="9F50338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nsid w:val="77431210"/>
    <w:multiLevelType w:val="multilevel"/>
    <w:tmpl w:val="60AC2CC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094C15"/>
    <w:multiLevelType w:val="multilevel"/>
    <w:tmpl w:val="D5C81174"/>
    <w:lvl w:ilvl="0">
      <w:start w:val="2"/>
      <w:numFmt w:val="decimal"/>
      <w:lvlText w:val="%1."/>
      <w:lvlJc w:val="left"/>
      <w:pPr>
        <w:tabs>
          <w:tab w:val="num" w:pos="900"/>
        </w:tabs>
        <w:ind w:left="90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37">
    <w:nsid w:val="78965931"/>
    <w:multiLevelType w:val="hybridMultilevel"/>
    <w:tmpl w:val="B4BC40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BDD1ADE"/>
    <w:multiLevelType w:val="hybridMultilevel"/>
    <w:tmpl w:val="B4BAD2E8"/>
    <w:lvl w:ilvl="0" w:tplc="BBA89432">
      <w:start w:val="2"/>
      <w:numFmt w:val="decimal"/>
      <w:lvlText w:val="%1."/>
      <w:lvlJc w:val="left"/>
      <w:pPr>
        <w:tabs>
          <w:tab w:val="num" w:pos="900"/>
        </w:tabs>
        <w:ind w:left="900" w:hanging="360"/>
      </w:pPr>
      <w:rPr>
        <w:rFonts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C745492"/>
    <w:multiLevelType w:val="multilevel"/>
    <w:tmpl w:val="18A26F28"/>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num w:numId="1">
    <w:abstractNumId w:val="13"/>
  </w:num>
  <w:num w:numId="2">
    <w:abstractNumId w:val="39"/>
  </w:num>
  <w:num w:numId="3">
    <w:abstractNumId w:val="17"/>
  </w:num>
  <w:num w:numId="4">
    <w:abstractNumId w:val="2"/>
  </w:num>
  <w:num w:numId="5">
    <w:abstractNumId w:val="23"/>
  </w:num>
  <w:num w:numId="6">
    <w:abstractNumId w:val="5"/>
  </w:num>
  <w:num w:numId="7">
    <w:abstractNumId w:val="24"/>
  </w:num>
  <w:num w:numId="8">
    <w:abstractNumId w:val="27"/>
  </w:num>
  <w:num w:numId="9">
    <w:abstractNumId w:val="35"/>
  </w:num>
  <w:num w:numId="10">
    <w:abstractNumId w:val="12"/>
  </w:num>
  <w:num w:numId="11">
    <w:abstractNumId w:val="18"/>
  </w:num>
  <w:num w:numId="12">
    <w:abstractNumId w:val="1"/>
  </w:num>
  <w:num w:numId="13">
    <w:abstractNumId w:val="7"/>
  </w:num>
  <w:num w:numId="14">
    <w:abstractNumId w:val="4"/>
  </w:num>
  <w:num w:numId="15">
    <w:abstractNumId w:val="29"/>
  </w:num>
  <w:num w:numId="16">
    <w:abstractNumId w:val="26"/>
  </w:num>
  <w:num w:numId="17">
    <w:abstractNumId w:val="30"/>
  </w:num>
  <w:num w:numId="18">
    <w:abstractNumId w:val="36"/>
  </w:num>
  <w:num w:numId="19">
    <w:abstractNumId w:val="38"/>
  </w:num>
  <w:num w:numId="20">
    <w:abstractNumId w:val="33"/>
  </w:num>
  <w:num w:numId="21">
    <w:abstractNumId w:val="14"/>
  </w:num>
  <w:num w:numId="22">
    <w:abstractNumId w:val="16"/>
  </w:num>
  <w:num w:numId="23">
    <w:abstractNumId w:val="32"/>
  </w:num>
  <w:num w:numId="24">
    <w:abstractNumId w:val="6"/>
  </w:num>
  <w:num w:numId="25">
    <w:abstractNumId w:val="31"/>
  </w:num>
  <w:num w:numId="26">
    <w:abstractNumId w:val="8"/>
  </w:num>
  <w:num w:numId="27">
    <w:abstractNumId w:val="37"/>
  </w:num>
  <w:num w:numId="28">
    <w:abstractNumId w:val="13"/>
  </w:num>
  <w:num w:numId="29">
    <w:abstractNumId w:val="20"/>
  </w:num>
  <w:num w:numId="30">
    <w:abstractNumId w:val="21"/>
  </w:num>
  <w:num w:numId="31">
    <w:abstractNumId w:val="34"/>
  </w:num>
  <w:num w:numId="32">
    <w:abstractNumId w:val="15"/>
  </w:num>
  <w:num w:numId="33">
    <w:abstractNumId w:val="3"/>
  </w:num>
  <w:num w:numId="34">
    <w:abstractNumId w:val="28"/>
  </w:num>
  <w:num w:numId="35">
    <w:abstractNumId w:val="25"/>
  </w:num>
  <w:num w:numId="36">
    <w:abstractNumId w:val="9"/>
  </w:num>
  <w:num w:numId="37">
    <w:abstractNumId w:val="11"/>
  </w:num>
  <w:num w:numId="38">
    <w:abstractNumId w:val="22"/>
  </w:num>
  <w:num w:numId="39">
    <w:abstractNumId w:val="10"/>
  </w:num>
  <w:num w:numId="40">
    <w:abstractNumId w:val="19"/>
  </w:num>
  <w:num w:numId="41">
    <w:abstractNumId w:val="3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footnotePr>
    <w:footnote w:id="0"/>
    <w:footnote w:id="1"/>
  </w:footnotePr>
  <w:endnotePr>
    <w:endnote w:id="0"/>
    <w:endnote w:id="1"/>
  </w:endnotePr>
  <w:compat/>
  <w:rsids>
    <w:rsidRoot w:val="00DE089C"/>
    <w:rsid w:val="0000047D"/>
    <w:rsid w:val="000005A7"/>
    <w:rsid w:val="00000B74"/>
    <w:rsid w:val="00000CCF"/>
    <w:rsid w:val="00001CE3"/>
    <w:rsid w:val="000022DF"/>
    <w:rsid w:val="00003227"/>
    <w:rsid w:val="00003F32"/>
    <w:rsid w:val="00004579"/>
    <w:rsid w:val="00006BCD"/>
    <w:rsid w:val="000070EE"/>
    <w:rsid w:val="00007511"/>
    <w:rsid w:val="000102D4"/>
    <w:rsid w:val="00010549"/>
    <w:rsid w:val="000108A2"/>
    <w:rsid w:val="00010C07"/>
    <w:rsid w:val="00010D87"/>
    <w:rsid w:val="00012808"/>
    <w:rsid w:val="00012FF2"/>
    <w:rsid w:val="000130D0"/>
    <w:rsid w:val="00013472"/>
    <w:rsid w:val="000137E0"/>
    <w:rsid w:val="00016889"/>
    <w:rsid w:val="000176CA"/>
    <w:rsid w:val="00017B59"/>
    <w:rsid w:val="00017BB3"/>
    <w:rsid w:val="00020593"/>
    <w:rsid w:val="0002091A"/>
    <w:rsid w:val="000211A1"/>
    <w:rsid w:val="00021230"/>
    <w:rsid w:val="000213D3"/>
    <w:rsid w:val="00022B2F"/>
    <w:rsid w:val="00023335"/>
    <w:rsid w:val="00023F76"/>
    <w:rsid w:val="00024296"/>
    <w:rsid w:val="00026366"/>
    <w:rsid w:val="00027F0F"/>
    <w:rsid w:val="00030447"/>
    <w:rsid w:val="00031472"/>
    <w:rsid w:val="0003274F"/>
    <w:rsid w:val="00033956"/>
    <w:rsid w:val="00034CE1"/>
    <w:rsid w:val="00036214"/>
    <w:rsid w:val="00036360"/>
    <w:rsid w:val="00036425"/>
    <w:rsid w:val="0003663E"/>
    <w:rsid w:val="00037E89"/>
    <w:rsid w:val="00040179"/>
    <w:rsid w:val="00040598"/>
    <w:rsid w:val="00040663"/>
    <w:rsid w:val="00040B87"/>
    <w:rsid w:val="00040F28"/>
    <w:rsid w:val="0004100A"/>
    <w:rsid w:val="0004161E"/>
    <w:rsid w:val="00041C2A"/>
    <w:rsid w:val="000421B7"/>
    <w:rsid w:val="0004264E"/>
    <w:rsid w:val="00042D3A"/>
    <w:rsid w:val="000458DF"/>
    <w:rsid w:val="0004702B"/>
    <w:rsid w:val="00047BEF"/>
    <w:rsid w:val="000505F9"/>
    <w:rsid w:val="000507D5"/>
    <w:rsid w:val="000507E5"/>
    <w:rsid w:val="000510DE"/>
    <w:rsid w:val="00051B2C"/>
    <w:rsid w:val="00052E98"/>
    <w:rsid w:val="00053625"/>
    <w:rsid w:val="00054982"/>
    <w:rsid w:val="0005530C"/>
    <w:rsid w:val="00055310"/>
    <w:rsid w:val="000561BF"/>
    <w:rsid w:val="00060358"/>
    <w:rsid w:val="000604DF"/>
    <w:rsid w:val="00060851"/>
    <w:rsid w:val="0006116B"/>
    <w:rsid w:val="00061532"/>
    <w:rsid w:val="0006179C"/>
    <w:rsid w:val="0006323F"/>
    <w:rsid w:val="00064127"/>
    <w:rsid w:val="000643F7"/>
    <w:rsid w:val="00065AEE"/>
    <w:rsid w:val="00065B8F"/>
    <w:rsid w:val="000666E5"/>
    <w:rsid w:val="00066CAF"/>
    <w:rsid w:val="00066DD6"/>
    <w:rsid w:val="00066F8D"/>
    <w:rsid w:val="0006724B"/>
    <w:rsid w:val="00067922"/>
    <w:rsid w:val="00067B08"/>
    <w:rsid w:val="00070DF6"/>
    <w:rsid w:val="00070E50"/>
    <w:rsid w:val="00071DC8"/>
    <w:rsid w:val="00072701"/>
    <w:rsid w:val="0007297B"/>
    <w:rsid w:val="00072FCC"/>
    <w:rsid w:val="00073D7A"/>
    <w:rsid w:val="00074895"/>
    <w:rsid w:val="00074D5E"/>
    <w:rsid w:val="00076E14"/>
    <w:rsid w:val="000776AD"/>
    <w:rsid w:val="00077D28"/>
    <w:rsid w:val="00082A1B"/>
    <w:rsid w:val="00082C49"/>
    <w:rsid w:val="00082FE1"/>
    <w:rsid w:val="0008308B"/>
    <w:rsid w:val="000832D1"/>
    <w:rsid w:val="00084553"/>
    <w:rsid w:val="0008519F"/>
    <w:rsid w:val="00085E44"/>
    <w:rsid w:val="00086ABA"/>
    <w:rsid w:val="00087F8E"/>
    <w:rsid w:val="000903DA"/>
    <w:rsid w:val="000906BF"/>
    <w:rsid w:val="0009151E"/>
    <w:rsid w:val="000917EC"/>
    <w:rsid w:val="000928A2"/>
    <w:rsid w:val="00092A48"/>
    <w:rsid w:val="0009374D"/>
    <w:rsid w:val="0009385F"/>
    <w:rsid w:val="00093FAF"/>
    <w:rsid w:val="000940B9"/>
    <w:rsid w:val="00095563"/>
    <w:rsid w:val="00095769"/>
    <w:rsid w:val="00097A94"/>
    <w:rsid w:val="000A0366"/>
    <w:rsid w:val="000A1214"/>
    <w:rsid w:val="000A14B0"/>
    <w:rsid w:val="000A14D0"/>
    <w:rsid w:val="000A1961"/>
    <w:rsid w:val="000A1DA1"/>
    <w:rsid w:val="000A3015"/>
    <w:rsid w:val="000A52D2"/>
    <w:rsid w:val="000A57E3"/>
    <w:rsid w:val="000A6775"/>
    <w:rsid w:val="000B04B2"/>
    <w:rsid w:val="000B11EC"/>
    <w:rsid w:val="000B1D1A"/>
    <w:rsid w:val="000B2524"/>
    <w:rsid w:val="000B25B7"/>
    <w:rsid w:val="000B27DB"/>
    <w:rsid w:val="000B2AB0"/>
    <w:rsid w:val="000B3425"/>
    <w:rsid w:val="000B34FE"/>
    <w:rsid w:val="000B3551"/>
    <w:rsid w:val="000B36F6"/>
    <w:rsid w:val="000B3C58"/>
    <w:rsid w:val="000B4B2B"/>
    <w:rsid w:val="000B5731"/>
    <w:rsid w:val="000B6EF6"/>
    <w:rsid w:val="000B7353"/>
    <w:rsid w:val="000B7561"/>
    <w:rsid w:val="000B79D0"/>
    <w:rsid w:val="000C0327"/>
    <w:rsid w:val="000C0499"/>
    <w:rsid w:val="000C07C3"/>
    <w:rsid w:val="000C1720"/>
    <w:rsid w:val="000C25BE"/>
    <w:rsid w:val="000C44F5"/>
    <w:rsid w:val="000C4562"/>
    <w:rsid w:val="000C4A9D"/>
    <w:rsid w:val="000C4B07"/>
    <w:rsid w:val="000C4F93"/>
    <w:rsid w:val="000C50BE"/>
    <w:rsid w:val="000C6798"/>
    <w:rsid w:val="000C67E3"/>
    <w:rsid w:val="000C70F6"/>
    <w:rsid w:val="000D0050"/>
    <w:rsid w:val="000D0494"/>
    <w:rsid w:val="000D07C4"/>
    <w:rsid w:val="000D0A29"/>
    <w:rsid w:val="000D1EF6"/>
    <w:rsid w:val="000D246E"/>
    <w:rsid w:val="000D2575"/>
    <w:rsid w:val="000D3C85"/>
    <w:rsid w:val="000D4426"/>
    <w:rsid w:val="000D6644"/>
    <w:rsid w:val="000D7196"/>
    <w:rsid w:val="000E0128"/>
    <w:rsid w:val="000E1B22"/>
    <w:rsid w:val="000E1D2B"/>
    <w:rsid w:val="000E240D"/>
    <w:rsid w:val="000E28E7"/>
    <w:rsid w:val="000E2AC7"/>
    <w:rsid w:val="000E2DCB"/>
    <w:rsid w:val="000E359C"/>
    <w:rsid w:val="000E3724"/>
    <w:rsid w:val="000E3971"/>
    <w:rsid w:val="000E3F08"/>
    <w:rsid w:val="000E5651"/>
    <w:rsid w:val="000E59B2"/>
    <w:rsid w:val="000E5ADC"/>
    <w:rsid w:val="000E611F"/>
    <w:rsid w:val="000E631D"/>
    <w:rsid w:val="000E677C"/>
    <w:rsid w:val="000E72AE"/>
    <w:rsid w:val="000E78A7"/>
    <w:rsid w:val="000E7B89"/>
    <w:rsid w:val="000F008D"/>
    <w:rsid w:val="000F025F"/>
    <w:rsid w:val="000F10AD"/>
    <w:rsid w:val="000F1EB4"/>
    <w:rsid w:val="000F225F"/>
    <w:rsid w:val="000F406F"/>
    <w:rsid w:val="000F42A1"/>
    <w:rsid w:val="000F4977"/>
    <w:rsid w:val="000F547E"/>
    <w:rsid w:val="000F6698"/>
    <w:rsid w:val="000F7069"/>
    <w:rsid w:val="000F75F4"/>
    <w:rsid w:val="000F7E71"/>
    <w:rsid w:val="00100D1E"/>
    <w:rsid w:val="00100E36"/>
    <w:rsid w:val="00101BFB"/>
    <w:rsid w:val="0010218B"/>
    <w:rsid w:val="0010332E"/>
    <w:rsid w:val="001037F1"/>
    <w:rsid w:val="00103894"/>
    <w:rsid w:val="00104182"/>
    <w:rsid w:val="001047B7"/>
    <w:rsid w:val="00104980"/>
    <w:rsid w:val="00104AEB"/>
    <w:rsid w:val="001052F2"/>
    <w:rsid w:val="001057E2"/>
    <w:rsid w:val="00105ABC"/>
    <w:rsid w:val="00105D1A"/>
    <w:rsid w:val="00106066"/>
    <w:rsid w:val="001062A5"/>
    <w:rsid w:val="0010669A"/>
    <w:rsid w:val="001066D7"/>
    <w:rsid w:val="001074C4"/>
    <w:rsid w:val="00110D73"/>
    <w:rsid w:val="00110E65"/>
    <w:rsid w:val="00111E1C"/>
    <w:rsid w:val="00111F74"/>
    <w:rsid w:val="0011209A"/>
    <w:rsid w:val="0011219F"/>
    <w:rsid w:val="00113B51"/>
    <w:rsid w:val="00113EF7"/>
    <w:rsid w:val="00113F8E"/>
    <w:rsid w:val="001145AD"/>
    <w:rsid w:val="00114AF1"/>
    <w:rsid w:val="00114B82"/>
    <w:rsid w:val="00114BED"/>
    <w:rsid w:val="001153E0"/>
    <w:rsid w:val="0011586B"/>
    <w:rsid w:val="001160F4"/>
    <w:rsid w:val="001165E1"/>
    <w:rsid w:val="001173B9"/>
    <w:rsid w:val="00120227"/>
    <w:rsid w:val="00120C2F"/>
    <w:rsid w:val="001219E1"/>
    <w:rsid w:val="00121F01"/>
    <w:rsid w:val="0012250D"/>
    <w:rsid w:val="00122977"/>
    <w:rsid w:val="00122BBF"/>
    <w:rsid w:val="00122CB1"/>
    <w:rsid w:val="0012472D"/>
    <w:rsid w:val="00125745"/>
    <w:rsid w:val="00127029"/>
    <w:rsid w:val="001277B9"/>
    <w:rsid w:val="00127E70"/>
    <w:rsid w:val="00131586"/>
    <w:rsid w:val="001318BD"/>
    <w:rsid w:val="00131958"/>
    <w:rsid w:val="00132469"/>
    <w:rsid w:val="001328A7"/>
    <w:rsid w:val="00132A04"/>
    <w:rsid w:val="00133151"/>
    <w:rsid w:val="00133E03"/>
    <w:rsid w:val="00134DE7"/>
    <w:rsid w:val="001356B6"/>
    <w:rsid w:val="001358E2"/>
    <w:rsid w:val="001377F0"/>
    <w:rsid w:val="00137FAB"/>
    <w:rsid w:val="001404D2"/>
    <w:rsid w:val="00140B86"/>
    <w:rsid w:val="00140B8A"/>
    <w:rsid w:val="001430D4"/>
    <w:rsid w:val="0014367C"/>
    <w:rsid w:val="001437A6"/>
    <w:rsid w:val="00144261"/>
    <w:rsid w:val="001451B6"/>
    <w:rsid w:val="00145F3D"/>
    <w:rsid w:val="001502E6"/>
    <w:rsid w:val="00151B43"/>
    <w:rsid w:val="00151F64"/>
    <w:rsid w:val="00152ABB"/>
    <w:rsid w:val="0015380C"/>
    <w:rsid w:val="00153AC2"/>
    <w:rsid w:val="001545B5"/>
    <w:rsid w:val="001550D1"/>
    <w:rsid w:val="00155D47"/>
    <w:rsid w:val="00155E99"/>
    <w:rsid w:val="0015707D"/>
    <w:rsid w:val="0016016B"/>
    <w:rsid w:val="00160C3A"/>
    <w:rsid w:val="00161C56"/>
    <w:rsid w:val="00161EF4"/>
    <w:rsid w:val="00162DB7"/>
    <w:rsid w:val="00163590"/>
    <w:rsid w:val="00163AF8"/>
    <w:rsid w:val="00163DFE"/>
    <w:rsid w:val="00163FA5"/>
    <w:rsid w:val="0016418F"/>
    <w:rsid w:val="00164299"/>
    <w:rsid w:val="0016480D"/>
    <w:rsid w:val="00164CFE"/>
    <w:rsid w:val="0016551F"/>
    <w:rsid w:val="0016624D"/>
    <w:rsid w:val="00166AC8"/>
    <w:rsid w:val="00166F12"/>
    <w:rsid w:val="00167959"/>
    <w:rsid w:val="00167E39"/>
    <w:rsid w:val="00170F38"/>
    <w:rsid w:val="0017131F"/>
    <w:rsid w:val="001713E0"/>
    <w:rsid w:val="00172B2D"/>
    <w:rsid w:val="00172E36"/>
    <w:rsid w:val="001736AA"/>
    <w:rsid w:val="00174719"/>
    <w:rsid w:val="00174E79"/>
    <w:rsid w:val="00175984"/>
    <w:rsid w:val="00175B61"/>
    <w:rsid w:val="00175F2A"/>
    <w:rsid w:val="0018054C"/>
    <w:rsid w:val="001812EC"/>
    <w:rsid w:val="00181375"/>
    <w:rsid w:val="001813D7"/>
    <w:rsid w:val="0018141F"/>
    <w:rsid w:val="00181683"/>
    <w:rsid w:val="001822F1"/>
    <w:rsid w:val="00182A58"/>
    <w:rsid w:val="00183CA2"/>
    <w:rsid w:val="00183CC0"/>
    <w:rsid w:val="00184849"/>
    <w:rsid w:val="001856E1"/>
    <w:rsid w:val="001863D7"/>
    <w:rsid w:val="00186482"/>
    <w:rsid w:val="001868CA"/>
    <w:rsid w:val="00186C5B"/>
    <w:rsid w:val="00187909"/>
    <w:rsid w:val="00187CED"/>
    <w:rsid w:val="00187E22"/>
    <w:rsid w:val="001900E5"/>
    <w:rsid w:val="0019040C"/>
    <w:rsid w:val="00191477"/>
    <w:rsid w:val="00192849"/>
    <w:rsid w:val="001934AB"/>
    <w:rsid w:val="001937C7"/>
    <w:rsid w:val="00194067"/>
    <w:rsid w:val="001944C3"/>
    <w:rsid w:val="0019456B"/>
    <w:rsid w:val="001945FC"/>
    <w:rsid w:val="001948E8"/>
    <w:rsid w:val="0019678F"/>
    <w:rsid w:val="0019778B"/>
    <w:rsid w:val="001977D6"/>
    <w:rsid w:val="00197AA0"/>
    <w:rsid w:val="00197DE6"/>
    <w:rsid w:val="001A0192"/>
    <w:rsid w:val="001A0514"/>
    <w:rsid w:val="001A05BA"/>
    <w:rsid w:val="001A2134"/>
    <w:rsid w:val="001A30FC"/>
    <w:rsid w:val="001A3440"/>
    <w:rsid w:val="001A5059"/>
    <w:rsid w:val="001A5191"/>
    <w:rsid w:val="001A51B8"/>
    <w:rsid w:val="001A60A0"/>
    <w:rsid w:val="001A7C07"/>
    <w:rsid w:val="001B0443"/>
    <w:rsid w:val="001B0DD4"/>
    <w:rsid w:val="001B17A4"/>
    <w:rsid w:val="001B2FD6"/>
    <w:rsid w:val="001B3123"/>
    <w:rsid w:val="001B37B1"/>
    <w:rsid w:val="001B66D0"/>
    <w:rsid w:val="001B68EA"/>
    <w:rsid w:val="001B6C5B"/>
    <w:rsid w:val="001B6F60"/>
    <w:rsid w:val="001B6F92"/>
    <w:rsid w:val="001C0682"/>
    <w:rsid w:val="001C1F67"/>
    <w:rsid w:val="001C28EB"/>
    <w:rsid w:val="001C3E79"/>
    <w:rsid w:val="001C404D"/>
    <w:rsid w:val="001C4211"/>
    <w:rsid w:val="001C42F4"/>
    <w:rsid w:val="001C46E3"/>
    <w:rsid w:val="001C4B7E"/>
    <w:rsid w:val="001C5C83"/>
    <w:rsid w:val="001C5DDE"/>
    <w:rsid w:val="001C6524"/>
    <w:rsid w:val="001C76A5"/>
    <w:rsid w:val="001C771F"/>
    <w:rsid w:val="001C7BBB"/>
    <w:rsid w:val="001D05BC"/>
    <w:rsid w:val="001D18F5"/>
    <w:rsid w:val="001D226A"/>
    <w:rsid w:val="001D2D65"/>
    <w:rsid w:val="001D3393"/>
    <w:rsid w:val="001D3A45"/>
    <w:rsid w:val="001D3B4C"/>
    <w:rsid w:val="001D3E64"/>
    <w:rsid w:val="001D3E82"/>
    <w:rsid w:val="001D4906"/>
    <w:rsid w:val="001D4CE3"/>
    <w:rsid w:val="001D5E80"/>
    <w:rsid w:val="001D61D3"/>
    <w:rsid w:val="001D6660"/>
    <w:rsid w:val="001D6D87"/>
    <w:rsid w:val="001D7F05"/>
    <w:rsid w:val="001E12C5"/>
    <w:rsid w:val="001E19ED"/>
    <w:rsid w:val="001E4342"/>
    <w:rsid w:val="001E53E6"/>
    <w:rsid w:val="001E55AB"/>
    <w:rsid w:val="001E6118"/>
    <w:rsid w:val="001E7251"/>
    <w:rsid w:val="001F0017"/>
    <w:rsid w:val="001F301E"/>
    <w:rsid w:val="001F36DD"/>
    <w:rsid w:val="001F37CD"/>
    <w:rsid w:val="001F3C47"/>
    <w:rsid w:val="001F4297"/>
    <w:rsid w:val="001F4354"/>
    <w:rsid w:val="001F4417"/>
    <w:rsid w:val="001F488D"/>
    <w:rsid w:val="001F67FA"/>
    <w:rsid w:val="001F6AC8"/>
    <w:rsid w:val="001F77DB"/>
    <w:rsid w:val="001F7B6E"/>
    <w:rsid w:val="00201786"/>
    <w:rsid w:val="00202968"/>
    <w:rsid w:val="00202DBB"/>
    <w:rsid w:val="0020376F"/>
    <w:rsid w:val="002044DB"/>
    <w:rsid w:val="00204E2D"/>
    <w:rsid w:val="00206450"/>
    <w:rsid w:val="0020692E"/>
    <w:rsid w:val="00206B9F"/>
    <w:rsid w:val="00206BCF"/>
    <w:rsid w:val="00206EF5"/>
    <w:rsid w:val="0020788C"/>
    <w:rsid w:val="002100DE"/>
    <w:rsid w:val="00210128"/>
    <w:rsid w:val="00210838"/>
    <w:rsid w:val="002121C7"/>
    <w:rsid w:val="00212DAE"/>
    <w:rsid w:val="00213443"/>
    <w:rsid w:val="002136E8"/>
    <w:rsid w:val="00213D78"/>
    <w:rsid w:val="002141BA"/>
    <w:rsid w:val="002151D3"/>
    <w:rsid w:val="0021604A"/>
    <w:rsid w:val="0021666D"/>
    <w:rsid w:val="00216BEA"/>
    <w:rsid w:val="00216C33"/>
    <w:rsid w:val="0021745D"/>
    <w:rsid w:val="0021766B"/>
    <w:rsid w:val="00220B18"/>
    <w:rsid w:val="002219EB"/>
    <w:rsid w:val="00221A11"/>
    <w:rsid w:val="002220B8"/>
    <w:rsid w:val="00223111"/>
    <w:rsid w:val="00224041"/>
    <w:rsid w:val="00224FB5"/>
    <w:rsid w:val="00226E21"/>
    <w:rsid w:val="002270C9"/>
    <w:rsid w:val="00227265"/>
    <w:rsid w:val="00227BAC"/>
    <w:rsid w:val="00227E48"/>
    <w:rsid w:val="002305C4"/>
    <w:rsid w:val="00230B40"/>
    <w:rsid w:val="00231624"/>
    <w:rsid w:val="002316B5"/>
    <w:rsid w:val="002318D9"/>
    <w:rsid w:val="00231CFF"/>
    <w:rsid w:val="002320C2"/>
    <w:rsid w:val="0023210E"/>
    <w:rsid w:val="002326F3"/>
    <w:rsid w:val="00232D65"/>
    <w:rsid w:val="00233117"/>
    <w:rsid w:val="00233883"/>
    <w:rsid w:val="00235396"/>
    <w:rsid w:val="00237A94"/>
    <w:rsid w:val="002407DA"/>
    <w:rsid w:val="00240EE3"/>
    <w:rsid w:val="00241959"/>
    <w:rsid w:val="00242E30"/>
    <w:rsid w:val="00243445"/>
    <w:rsid w:val="002448EA"/>
    <w:rsid w:val="0024495F"/>
    <w:rsid w:val="00244BF2"/>
    <w:rsid w:val="0024604A"/>
    <w:rsid w:val="002468E6"/>
    <w:rsid w:val="002518F4"/>
    <w:rsid w:val="002523E6"/>
    <w:rsid w:val="0025271A"/>
    <w:rsid w:val="00254789"/>
    <w:rsid w:val="00254D9C"/>
    <w:rsid w:val="00254E3D"/>
    <w:rsid w:val="00255288"/>
    <w:rsid w:val="002557F7"/>
    <w:rsid w:val="00256522"/>
    <w:rsid w:val="00256983"/>
    <w:rsid w:val="00256AC6"/>
    <w:rsid w:val="00256D9A"/>
    <w:rsid w:val="00257764"/>
    <w:rsid w:val="0026033B"/>
    <w:rsid w:val="00260A65"/>
    <w:rsid w:val="00260EFB"/>
    <w:rsid w:val="00261D56"/>
    <w:rsid w:val="00262FD0"/>
    <w:rsid w:val="0026344B"/>
    <w:rsid w:val="00263BCB"/>
    <w:rsid w:val="00265D98"/>
    <w:rsid w:val="0026607A"/>
    <w:rsid w:val="002660C4"/>
    <w:rsid w:val="00266D87"/>
    <w:rsid w:val="00267160"/>
    <w:rsid w:val="002679D4"/>
    <w:rsid w:val="00270EF7"/>
    <w:rsid w:val="00272798"/>
    <w:rsid w:val="002729FA"/>
    <w:rsid w:val="002744AA"/>
    <w:rsid w:val="00275419"/>
    <w:rsid w:val="002764A0"/>
    <w:rsid w:val="00276BB3"/>
    <w:rsid w:val="00276D4A"/>
    <w:rsid w:val="00280394"/>
    <w:rsid w:val="00280AB5"/>
    <w:rsid w:val="00281D62"/>
    <w:rsid w:val="00282054"/>
    <w:rsid w:val="002841CA"/>
    <w:rsid w:val="00284236"/>
    <w:rsid w:val="00285361"/>
    <w:rsid w:val="0028675C"/>
    <w:rsid w:val="00286EDE"/>
    <w:rsid w:val="00287AE2"/>
    <w:rsid w:val="00287D59"/>
    <w:rsid w:val="00292301"/>
    <w:rsid w:val="00292A8C"/>
    <w:rsid w:val="00293D4E"/>
    <w:rsid w:val="00293EE2"/>
    <w:rsid w:val="002941D0"/>
    <w:rsid w:val="00294F64"/>
    <w:rsid w:val="002953B1"/>
    <w:rsid w:val="00295F89"/>
    <w:rsid w:val="0029604F"/>
    <w:rsid w:val="00296163"/>
    <w:rsid w:val="00296215"/>
    <w:rsid w:val="00297385"/>
    <w:rsid w:val="002A0059"/>
    <w:rsid w:val="002A0260"/>
    <w:rsid w:val="002A116A"/>
    <w:rsid w:val="002A1D6D"/>
    <w:rsid w:val="002A397C"/>
    <w:rsid w:val="002A4644"/>
    <w:rsid w:val="002A4EB8"/>
    <w:rsid w:val="002A528A"/>
    <w:rsid w:val="002A52DA"/>
    <w:rsid w:val="002A67F8"/>
    <w:rsid w:val="002A6818"/>
    <w:rsid w:val="002A6B62"/>
    <w:rsid w:val="002A712C"/>
    <w:rsid w:val="002A7D92"/>
    <w:rsid w:val="002B086E"/>
    <w:rsid w:val="002B1700"/>
    <w:rsid w:val="002B44E7"/>
    <w:rsid w:val="002B4667"/>
    <w:rsid w:val="002B4F44"/>
    <w:rsid w:val="002B543C"/>
    <w:rsid w:val="002B6020"/>
    <w:rsid w:val="002B66F2"/>
    <w:rsid w:val="002B6C58"/>
    <w:rsid w:val="002C04E5"/>
    <w:rsid w:val="002C0CBC"/>
    <w:rsid w:val="002C4F40"/>
    <w:rsid w:val="002C53A2"/>
    <w:rsid w:val="002C6149"/>
    <w:rsid w:val="002C6348"/>
    <w:rsid w:val="002C6734"/>
    <w:rsid w:val="002C6789"/>
    <w:rsid w:val="002C6EF3"/>
    <w:rsid w:val="002D169C"/>
    <w:rsid w:val="002D23ED"/>
    <w:rsid w:val="002D2E2D"/>
    <w:rsid w:val="002D335B"/>
    <w:rsid w:val="002D3B73"/>
    <w:rsid w:val="002D3E57"/>
    <w:rsid w:val="002D3E6C"/>
    <w:rsid w:val="002D440B"/>
    <w:rsid w:val="002D5FE6"/>
    <w:rsid w:val="002D6A14"/>
    <w:rsid w:val="002D703D"/>
    <w:rsid w:val="002D7EE2"/>
    <w:rsid w:val="002E0059"/>
    <w:rsid w:val="002E0514"/>
    <w:rsid w:val="002E0A9B"/>
    <w:rsid w:val="002E0C19"/>
    <w:rsid w:val="002E1202"/>
    <w:rsid w:val="002E227B"/>
    <w:rsid w:val="002E2D08"/>
    <w:rsid w:val="002E3501"/>
    <w:rsid w:val="002E3879"/>
    <w:rsid w:val="002E3AC1"/>
    <w:rsid w:val="002E3DD7"/>
    <w:rsid w:val="002E44ED"/>
    <w:rsid w:val="002E45A9"/>
    <w:rsid w:val="002E47AF"/>
    <w:rsid w:val="002E48CE"/>
    <w:rsid w:val="002E4B3E"/>
    <w:rsid w:val="002E4D3B"/>
    <w:rsid w:val="002E59D5"/>
    <w:rsid w:val="002E5E4D"/>
    <w:rsid w:val="002E683B"/>
    <w:rsid w:val="002F2312"/>
    <w:rsid w:val="002F28B9"/>
    <w:rsid w:val="002F4CEA"/>
    <w:rsid w:val="002F5649"/>
    <w:rsid w:val="002F6CE0"/>
    <w:rsid w:val="00302BDB"/>
    <w:rsid w:val="00303176"/>
    <w:rsid w:val="003033D6"/>
    <w:rsid w:val="003034F4"/>
    <w:rsid w:val="00303728"/>
    <w:rsid w:val="00304273"/>
    <w:rsid w:val="00304D91"/>
    <w:rsid w:val="0030634E"/>
    <w:rsid w:val="003066A2"/>
    <w:rsid w:val="00306870"/>
    <w:rsid w:val="003073AA"/>
    <w:rsid w:val="00311EED"/>
    <w:rsid w:val="00311F80"/>
    <w:rsid w:val="00312302"/>
    <w:rsid w:val="00312702"/>
    <w:rsid w:val="0031397F"/>
    <w:rsid w:val="00313F92"/>
    <w:rsid w:val="00314082"/>
    <w:rsid w:val="0031460F"/>
    <w:rsid w:val="003148A1"/>
    <w:rsid w:val="00314C8D"/>
    <w:rsid w:val="0031575B"/>
    <w:rsid w:val="00315C42"/>
    <w:rsid w:val="00315D95"/>
    <w:rsid w:val="00315EBD"/>
    <w:rsid w:val="003164CF"/>
    <w:rsid w:val="00317059"/>
    <w:rsid w:val="0032160B"/>
    <w:rsid w:val="00321FC1"/>
    <w:rsid w:val="00322B17"/>
    <w:rsid w:val="00323279"/>
    <w:rsid w:val="00323365"/>
    <w:rsid w:val="00323432"/>
    <w:rsid w:val="003248A2"/>
    <w:rsid w:val="00325200"/>
    <w:rsid w:val="00326596"/>
    <w:rsid w:val="003269D3"/>
    <w:rsid w:val="00326EEF"/>
    <w:rsid w:val="003276ED"/>
    <w:rsid w:val="0033070D"/>
    <w:rsid w:val="00330776"/>
    <w:rsid w:val="00330A3D"/>
    <w:rsid w:val="00330ACD"/>
    <w:rsid w:val="0033100D"/>
    <w:rsid w:val="0033192B"/>
    <w:rsid w:val="00331AA5"/>
    <w:rsid w:val="00331D37"/>
    <w:rsid w:val="0033241C"/>
    <w:rsid w:val="00332573"/>
    <w:rsid w:val="00334608"/>
    <w:rsid w:val="00334CE5"/>
    <w:rsid w:val="0033551B"/>
    <w:rsid w:val="00336EDF"/>
    <w:rsid w:val="0033715F"/>
    <w:rsid w:val="00337C17"/>
    <w:rsid w:val="00337E90"/>
    <w:rsid w:val="00342F96"/>
    <w:rsid w:val="00343739"/>
    <w:rsid w:val="0034474A"/>
    <w:rsid w:val="003459C1"/>
    <w:rsid w:val="00346254"/>
    <w:rsid w:val="003476F0"/>
    <w:rsid w:val="00347CFB"/>
    <w:rsid w:val="003502F9"/>
    <w:rsid w:val="003508C4"/>
    <w:rsid w:val="00350B98"/>
    <w:rsid w:val="00351226"/>
    <w:rsid w:val="00351924"/>
    <w:rsid w:val="00351F1F"/>
    <w:rsid w:val="003526FE"/>
    <w:rsid w:val="00352B68"/>
    <w:rsid w:val="00352B97"/>
    <w:rsid w:val="003536D8"/>
    <w:rsid w:val="00353865"/>
    <w:rsid w:val="003539C6"/>
    <w:rsid w:val="00354DAD"/>
    <w:rsid w:val="00354DD7"/>
    <w:rsid w:val="0035513F"/>
    <w:rsid w:val="003556FF"/>
    <w:rsid w:val="00356380"/>
    <w:rsid w:val="003563FD"/>
    <w:rsid w:val="00356828"/>
    <w:rsid w:val="003568AD"/>
    <w:rsid w:val="003571F3"/>
    <w:rsid w:val="0035762B"/>
    <w:rsid w:val="003603FE"/>
    <w:rsid w:val="00361E22"/>
    <w:rsid w:val="00362054"/>
    <w:rsid w:val="003628E5"/>
    <w:rsid w:val="00363547"/>
    <w:rsid w:val="003637CA"/>
    <w:rsid w:val="00363961"/>
    <w:rsid w:val="00363B06"/>
    <w:rsid w:val="00363D9D"/>
    <w:rsid w:val="003640EF"/>
    <w:rsid w:val="003675CD"/>
    <w:rsid w:val="00367CE5"/>
    <w:rsid w:val="00367D77"/>
    <w:rsid w:val="00371FB2"/>
    <w:rsid w:val="00371FD0"/>
    <w:rsid w:val="00372440"/>
    <w:rsid w:val="00373274"/>
    <w:rsid w:val="00373AC0"/>
    <w:rsid w:val="0037520C"/>
    <w:rsid w:val="00376118"/>
    <w:rsid w:val="00376313"/>
    <w:rsid w:val="00377537"/>
    <w:rsid w:val="00377641"/>
    <w:rsid w:val="003777FE"/>
    <w:rsid w:val="003779A6"/>
    <w:rsid w:val="003801A8"/>
    <w:rsid w:val="00380384"/>
    <w:rsid w:val="00381ABA"/>
    <w:rsid w:val="00383828"/>
    <w:rsid w:val="00383F3B"/>
    <w:rsid w:val="00384F2A"/>
    <w:rsid w:val="00385CCF"/>
    <w:rsid w:val="0038645A"/>
    <w:rsid w:val="00386B71"/>
    <w:rsid w:val="00386E02"/>
    <w:rsid w:val="00386FD1"/>
    <w:rsid w:val="00387688"/>
    <w:rsid w:val="00387988"/>
    <w:rsid w:val="00392858"/>
    <w:rsid w:val="003929A2"/>
    <w:rsid w:val="0039351D"/>
    <w:rsid w:val="00393610"/>
    <w:rsid w:val="00394135"/>
    <w:rsid w:val="00394AB9"/>
    <w:rsid w:val="0039523E"/>
    <w:rsid w:val="0039645E"/>
    <w:rsid w:val="003969FA"/>
    <w:rsid w:val="003970FE"/>
    <w:rsid w:val="0039723E"/>
    <w:rsid w:val="00397B51"/>
    <w:rsid w:val="003A182E"/>
    <w:rsid w:val="003A1DB7"/>
    <w:rsid w:val="003A1FA3"/>
    <w:rsid w:val="003A21EC"/>
    <w:rsid w:val="003A2370"/>
    <w:rsid w:val="003A37FA"/>
    <w:rsid w:val="003A3D34"/>
    <w:rsid w:val="003A3E3B"/>
    <w:rsid w:val="003A41EF"/>
    <w:rsid w:val="003A4A9B"/>
    <w:rsid w:val="003A625B"/>
    <w:rsid w:val="003A65E6"/>
    <w:rsid w:val="003A7400"/>
    <w:rsid w:val="003A78B6"/>
    <w:rsid w:val="003B0077"/>
    <w:rsid w:val="003B0228"/>
    <w:rsid w:val="003B04EA"/>
    <w:rsid w:val="003B0572"/>
    <w:rsid w:val="003B068F"/>
    <w:rsid w:val="003B0F07"/>
    <w:rsid w:val="003B2E0A"/>
    <w:rsid w:val="003B2E82"/>
    <w:rsid w:val="003B305B"/>
    <w:rsid w:val="003B4AD8"/>
    <w:rsid w:val="003B5612"/>
    <w:rsid w:val="003B59D2"/>
    <w:rsid w:val="003B5DE3"/>
    <w:rsid w:val="003B7825"/>
    <w:rsid w:val="003B7B68"/>
    <w:rsid w:val="003B7BE8"/>
    <w:rsid w:val="003B7CFA"/>
    <w:rsid w:val="003B7F69"/>
    <w:rsid w:val="003C068D"/>
    <w:rsid w:val="003C0905"/>
    <w:rsid w:val="003C0B4A"/>
    <w:rsid w:val="003C0E65"/>
    <w:rsid w:val="003C1FB6"/>
    <w:rsid w:val="003C2965"/>
    <w:rsid w:val="003C36AD"/>
    <w:rsid w:val="003C3AC8"/>
    <w:rsid w:val="003C3DC6"/>
    <w:rsid w:val="003C4E26"/>
    <w:rsid w:val="003C4FA5"/>
    <w:rsid w:val="003C5AC2"/>
    <w:rsid w:val="003C6CAB"/>
    <w:rsid w:val="003C6CD0"/>
    <w:rsid w:val="003C7962"/>
    <w:rsid w:val="003C7EF1"/>
    <w:rsid w:val="003D09B2"/>
    <w:rsid w:val="003D18A4"/>
    <w:rsid w:val="003D1B7E"/>
    <w:rsid w:val="003D2A41"/>
    <w:rsid w:val="003D2C92"/>
    <w:rsid w:val="003D4F5D"/>
    <w:rsid w:val="003D63B0"/>
    <w:rsid w:val="003D68F2"/>
    <w:rsid w:val="003D7304"/>
    <w:rsid w:val="003D75B1"/>
    <w:rsid w:val="003D7989"/>
    <w:rsid w:val="003D7B32"/>
    <w:rsid w:val="003D7B70"/>
    <w:rsid w:val="003E016E"/>
    <w:rsid w:val="003E08D1"/>
    <w:rsid w:val="003E0D7B"/>
    <w:rsid w:val="003E0E99"/>
    <w:rsid w:val="003E1A55"/>
    <w:rsid w:val="003E1FC0"/>
    <w:rsid w:val="003E271C"/>
    <w:rsid w:val="003E27C3"/>
    <w:rsid w:val="003E2BFE"/>
    <w:rsid w:val="003E37FE"/>
    <w:rsid w:val="003E3B31"/>
    <w:rsid w:val="003E4451"/>
    <w:rsid w:val="003E5796"/>
    <w:rsid w:val="003E5A5F"/>
    <w:rsid w:val="003E6672"/>
    <w:rsid w:val="003E67F8"/>
    <w:rsid w:val="003E6840"/>
    <w:rsid w:val="003E7D14"/>
    <w:rsid w:val="003F00F9"/>
    <w:rsid w:val="003F09CE"/>
    <w:rsid w:val="003F0C91"/>
    <w:rsid w:val="003F2FF0"/>
    <w:rsid w:val="003F34E4"/>
    <w:rsid w:val="003F4123"/>
    <w:rsid w:val="003F4C11"/>
    <w:rsid w:val="003F5527"/>
    <w:rsid w:val="003F55BD"/>
    <w:rsid w:val="003F696F"/>
    <w:rsid w:val="003F717F"/>
    <w:rsid w:val="003F7665"/>
    <w:rsid w:val="003F7F56"/>
    <w:rsid w:val="004003F7"/>
    <w:rsid w:val="00401D55"/>
    <w:rsid w:val="004045B1"/>
    <w:rsid w:val="004045B5"/>
    <w:rsid w:val="00404E70"/>
    <w:rsid w:val="004054BF"/>
    <w:rsid w:val="00405E25"/>
    <w:rsid w:val="004061C4"/>
    <w:rsid w:val="00406EB5"/>
    <w:rsid w:val="0040709E"/>
    <w:rsid w:val="00407556"/>
    <w:rsid w:val="004102F7"/>
    <w:rsid w:val="0041064B"/>
    <w:rsid w:val="0041080A"/>
    <w:rsid w:val="00410E49"/>
    <w:rsid w:val="004112CF"/>
    <w:rsid w:val="00411888"/>
    <w:rsid w:val="00411D97"/>
    <w:rsid w:val="004126BA"/>
    <w:rsid w:val="00413435"/>
    <w:rsid w:val="004150F5"/>
    <w:rsid w:val="004157DC"/>
    <w:rsid w:val="00415C9E"/>
    <w:rsid w:val="00415EBD"/>
    <w:rsid w:val="004177A3"/>
    <w:rsid w:val="00417816"/>
    <w:rsid w:val="00417918"/>
    <w:rsid w:val="00420340"/>
    <w:rsid w:val="0042099D"/>
    <w:rsid w:val="00420C88"/>
    <w:rsid w:val="0042331C"/>
    <w:rsid w:val="00424126"/>
    <w:rsid w:val="004255AC"/>
    <w:rsid w:val="00425FBA"/>
    <w:rsid w:val="00426660"/>
    <w:rsid w:val="004267DD"/>
    <w:rsid w:val="0042731B"/>
    <w:rsid w:val="004302E4"/>
    <w:rsid w:val="004304FA"/>
    <w:rsid w:val="00430D6E"/>
    <w:rsid w:val="00433405"/>
    <w:rsid w:val="00433A0B"/>
    <w:rsid w:val="0043531B"/>
    <w:rsid w:val="00435C6A"/>
    <w:rsid w:val="00435F46"/>
    <w:rsid w:val="00435F9D"/>
    <w:rsid w:val="004363DB"/>
    <w:rsid w:val="00436996"/>
    <w:rsid w:val="00437147"/>
    <w:rsid w:val="00440B70"/>
    <w:rsid w:val="00441E10"/>
    <w:rsid w:val="00442C36"/>
    <w:rsid w:val="004436FF"/>
    <w:rsid w:val="00443AF4"/>
    <w:rsid w:val="0044482F"/>
    <w:rsid w:val="00445477"/>
    <w:rsid w:val="00446BC6"/>
    <w:rsid w:val="00447A39"/>
    <w:rsid w:val="00447EF9"/>
    <w:rsid w:val="00450906"/>
    <w:rsid w:val="00450DDE"/>
    <w:rsid w:val="004517A8"/>
    <w:rsid w:val="004517DB"/>
    <w:rsid w:val="00453814"/>
    <w:rsid w:val="004546D5"/>
    <w:rsid w:val="00454974"/>
    <w:rsid w:val="00455373"/>
    <w:rsid w:val="004602DB"/>
    <w:rsid w:val="00460695"/>
    <w:rsid w:val="00460DC1"/>
    <w:rsid w:val="00460FE6"/>
    <w:rsid w:val="0046153F"/>
    <w:rsid w:val="00461C1F"/>
    <w:rsid w:val="00462DBE"/>
    <w:rsid w:val="00462E94"/>
    <w:rsid w:val="00464169"/>
    <w:rsid w:val="004648F2"/>
    <w:rsid w:val="00465262"/>
    <w:rsid w:val="00466A99"/>
    <w:rsid w:val="00466C30"/>
    <w:rsid w:val="0046739D"/>
    <w:rsid w:val="004674E2"/>
    <w:rsid w:val="00470BE4"/>
    <w:rsid w:val="00470E63"/>
    <w:rsid w:val="0047143C"/>
    <w:rsid w:val="00472920"/>
    <w:rsid w:val="00472F06"/>
    <w:rsid w:val="0047396A"/>
    <w:rsid w:val="00474418"/>
    <w:rsid w:val="004766EE"/>
    <w:rsid w:val="00476CF3"/>
    <w:rsid w:val="00477487"/>
    <w:rsid w:val="00477CCE"/>
    <w:rsid w:val="00480576"/>
    <w:rsid w:val="00480AF2"/>
    <w:rsid w:val="004833D3"/>
    <w:rsid w:val="00483742"/>
    <w:rsid w:val="00483A01"/>
    <w:rsid w:val="0048531D"/>
    <w:rsid w:val="00486FF3"/>
    <w:rsid w:val="0048705F"/>
    <w:rsid w:val="0049091A"/>
    <w:rsid w:val="00490E8F"/>
    <w:rsid w:val="00490EB5"/>
    <w:rsid w:val="00491FFB"/>
    <w:rsid w:val="00492139"/>
    <w:rsid w:val="00492677"/>
    <w:rsid w:val="00492909"/>
    <w:rsid w:val="00492D2D"/>
    <w:rsid w:val="00492D74"/>
    <w:rsid w:val="00492E9B"/>
    <w:rsid w:val="004938C2"/>
    <w:rsid w:val="00493BF9"/>
    <w:rsid w:val="004954DC"/>
    <w:rsid w:val="00495523"/>
    <w:rsid w:val="00495A44"/>
    <w:rsid w:val="00496197"/>
    <w:rsid w:val="004978AD"/>
    <w:rsid w:val="00497931"/>
    <w:rsid w:val="004A0ABD"/>
    <w:rsid w:val="004A1594"/>
    <w:rsid w:val="004A183B"/>
    <w:rsid w:val="004A282D"/>
    <w:rsid w:val="004A2A44"/>
    <w:rsid w:val="004A3A35"/>
    <w:rsid w:val="004A3C09"/>
    <w:rsid w:val="004A4483"/>
    <w:rsid w:val="004A4515"/>
    <w:rsid w:val="004A46A3"/>
    <w:rsid w:val="004A4892"/>
    <w:rsid w:val="004A48CF"/>
    <w:rsid w:val="004A5700"/>
    <w:rsid w:val="004A62B9"/>
    <w:rsid w:val="004A6C90"/>
    <w:rsid w:val="004A6E9B"/>
    <w:rsid w:val="004A729A"/>
    <w:rsid w:val="004A7B58"/>
    <w:rsid w:val="004B0844"/>
    <w:rsid w:val="004B1456"/>
    <w:rsid w:val="004B18F1"/>
    <w:rsid w:val="004B1BC2"/>
    <w:rsid w:val="004B1EDF"/>
    <w:rsid w:val="004B2917"/>
    <w:rsid w:val="004B2E98"/>
    <w:rsid w:val="004B3248"/>
    <w:rsid w:val="004B34FE"/>
    <w:rsid w:val="004B3B22"/>
    <w:rsid w:val="004B5685"/>
    <w:rsid w:val="004B5BAF"/>
    <w:rsid w:val="004B60C0"/>
    <w:rsid w:val="004B6489"/>
    <w:rsid w:val="004B6A73"/>
    <w:rsid w:val="004B6BEE"/>
    <w:rsid w:val="004B7746"/>
    <w:rsid w:val="004B79E1"/>
    <w:rsid w:val="004C04ED"/>
    <w:rsid w:val="004C0AD0"/>
    <w:rsid w:val="004C0B5A"/>
    <w:rsid w:val="004C10E3"/>
    <w:rsid w:val="004C277D"/>
    <w:rsid w:val="004C315F"/>
    <w:rsid w:val="004C355D"/>
    <w:rsid w:val="004C371C"/>
    <w:rsid w:val="004C6559"/>
    <w:rsid w:val="004C6BAC"/>
    <w:rsid w:val="004C7068"/>
    <w:rsid w:val="004D076A"/>
    <w:rsid w:val="004D0A95"/>
    <w:rsid w:val="004D0C8B"/>
    <w:rsid w:val="004D1E8C"/>
    <w:rsid w:val="004D281A"/>
    <w:rsid w:val="004D35C2"/>
    <w:rsid w:val="004D476B"/>
    <w:rsid w:val="004D5475"/>
    <w:rsid w:val="004D5721"/>
    <w:rsid w:val="004D7A4F"/>
    <w:rsid w:val="004D7D18"/>
    <w:rsid w:val="004E1374"/>
    <w:rsid w:val="004E1BAF"/>
    <w:rsid w:val="004E3410"/>
    <w:rsid w:val="004E3CB7"/>
    <w:rsid w:val="004E3D66"/>
    <w:rsid w:val="004E42DB"/>
    <w:rsid w:val="004E539D"/>
    <w:rsid w:val="004E63FB"/>
    <w:rsid w:val="004E68C8"/>
    <w:rsid w:val="004E6DB5"/>
    <w:rsid w:val="004E791E"/>
    <w:rsid w:val="004F0217"/>
    <w:rsid w:val="004F07E5"/>
    <w:rsid w:val="004F07FE"/>
    <w:rsid w:val="004F1441"/>
    <w:rsid w:val="004F17B4"/>
    <w:rsid w:val="004F236F"/>
    <w:rsid w:val="004F3C3A"/>
    <w:rsid w:val="004F455A"/>
    <w:rsid w:val="004F490B"/>
    <w:rsid w:val="004F4AE1"/>
    <w:rsid w:val="004F55E2"/>
    <w:rsid w:val="004F5EF0"/>
    <w:rsid w:val="004F66A8"/>
    <w:rsid w:val="004F7929"/>
    <w:rsid w:val="004F7DBD"/>
    <w:rsid w:val="005001EA"/>
    <w:rsid w:val="00501067"/>
    <w:rsid w:val="005014E4"/>
    <w:rsid w:val="00504D99"/>
    <w:rsid w:val="005054F6"/>
    <w:rsid w:val="005057D8"/>
    <w:rsid w:val="00505872"/>
    <w:rsid w:val="00505991"/>
    <w:rsid w:val="005065EA"/>
    <w:rsid w:val="00506B56"/>
    <w:rsid w:val="00507CC3"/>
    <w:rsid w:val="00507D3A"/>
    <w:rsid w:val="0051088F"/>
    <w:rsid w:val="00512155"/>
    <w:rsid w:val="005121CF"/>
    <w:rsid w:val="00512FE8"/>
    <w:rsid w:val="00513222"/>
    <w:rsid w:val="005140F8"/>
    <w:rsid w:val="00514276"/>
    <w:rsid w:val="005147C1"/>
    <w:rsid w:val="00514F66"/>
    <w:rsid w:val="00515AF9"/>
    <w:rsid w:val="00515BC3"/>
    <w:rsid w:val="00515CFC"/>
    <w:rsid w:val="0051613E"/>
    <w:rsid w:val="005161CD"/>
    <w:rsid w:val="005163CA"/>
    <w:rsid w:val="00520AE1"/>
    <w:rsid w:val="00520F69"/>
    <w:rsid w:val="00521217"/>
    <w:rsid w:val="005214BE"/>
    <w:rsid w:val="005217D3"/>
    <w:rsid w:val="00521A3D"/>
    <w:rsid w:val="00521C89"/>
    <w:rsid w:val="0052211F"/>
    <w:rsid w:val="00522D5C"/>
    <w:rsid w:val="00525198"/>
    <w:rsid w:val="00526387"/>
    <w:rsid w:val="00526887"/>
    <w:rsid w:val="00527B1C"/>
    <w:rsid w:val="005303E7"/>
    <w:rsid w:val="00531B8D"/>
    <w:rsid w:val="00531FD1"/>
    <w:rsid w:val="0053381B"/>
    <w:rsid w:val="00534CC4"/>
    <w:rsid w:val="00536269"/>
    <w:rsid w:val="00540011"/>
    <w:rsid w:val="005403F9"/>
    <w:rsid w:val="00540541"/>
    <w:rsid w:val="00541010"/>
    <w:rsid w:val="00541BF4"/>
    <w:rsid w:val="00542095"/>
    <w:rsid w:val="00543561"/>
    <w:rsid w:val="00543AB8"/>
    <w:rsid w:val="00543BF1"/>
    <w:rsid w:val="00544270"/>
    <w:rsid w:val="00544CC3"/>
    <w:rsid w:val="0054539E"/>
    <w:rsid w:val="00545531"/>
    <w:rsid w:val="00545FB4"/>
    <w:rsid w:val="005464B4"/>
    <w:rsid w:val="005465FA"/>
    <w:rsid w:val="00546745"/>
    <w:rsid w:val="00546EC4"/>
    <w:rsid w:val="005505AB"/>
    <w:rsid w:val="00551228"/>
    <w:rsid w:val="0055152C"/>
    <w:rsid w:val="00551F02"/>
    <w:rsid w:val="005522CC"/>
    <w:rsid w:val="00553912"/>
    <w:rsid w:val="005555B4"/>
    <w:rsid w:val="0055663B"/>
    <w:rsid w:val="005578B6"/>
    <w:rsid w:val="00557C80"/>
    <w:rsid w:val="00557D2D"/>
    <w:rsid w:val="00557DDE"/>
    <w:rsid w:val="00560011"/>
    <w:rsid w:val="00561F68"/>
    <w:rsid w:val="0056242A"/>
    <w:rsid w:val="00562565"/>
    <w:rsid w:val="00565B62"/>
    <w:rsid w:val="00566F74"/>
    <w:rsid w:val="00567203"/>
    <w:rsid w:val="00567428"/>
    <w:rsid w:val="0056786B"/>
    <w:rsid w:val="005700B2"/>
    <w:rsid w:val="00570188"/>
    <w:rsid w:val="0057074E"/>
    <w:rsid w:val="00570DBD"/>
    <w:rsid w:val="00571A00"/>
    <w:rsid w:val="00571BC8"/>
    <w:rsid w:val="00572AE0"/>
    <w:rsid w:val="00572CF8"/>
    <w:rsid w:val="00572E3B"/>
    <w:rsid w:val="00573A3B"/>
    <w:rsid w:val="0057545B"/>
    <w:rsid w:val="00575F51"/>
    <w:rsid w:val="00576F23"/>
    <w:rsid w:val="0058216B"/>
    <w:rsid w:val="005829ED"/>
    <w:rsid w:val="0058393C"/>
    <w:rsid w:val="00584E27"/>
    <w:rsid w:val="005857ED"/>
    <w:rsid w:val="00585A35"/>
    <w:rsid w:val="00586BBA"/>
    <w:rsid w:val="00586C86"/>
    <w:rsid w:val="00587AA9"/>
    <w:rsid w:val="00587BA2"/>
    <w:rsid w:val="0059097D"/>
    <w:rsid w:val="00590D1A"/>
    <w:rsid w:val="005913A7"/>
    <w:rsid w:val="0059250B"/>
    <w:rsid w:val="0059291A"/>
    <w:rsid w:val="00593219"/>
    <w:rsid w:val="005949EC"/>
    <w:rsid w:val="00594C93"/>
    <w:rsid w:val="0059567F"/>
    <w:rsid w:val="00597FE6"/>
    <w:rsid w:val="005A0190"/>
    <w:rsid w:val="005A089D"/>
    <w:rsid w:val="005A0FBF"/>
    <w:rsid w:val="005A17F7"/>
    <w:rsid w:val="005A1F48"/>
    <w:rsid w:val="005A2789"/>
    <w:rsid w:val="005A2892"/>
    <w:rsid w:val="005A2CDC"/>
    <w:rsid w:val="005A3B36"/>
    <w:rsid w:val="005A3C6E"/>
    <w:rsid w:val="005A5C7A"/>
    <w:rsid w:val="005A7CCE"/>
    <w:rsid w:val="005B2677"/>
    <w:rsid w:val="005B2BBB"/>
    <w:rsid w:val="005B3502"/>
    <w:rsid w:val="005B3B02"/>
    <w:rsid w:val="005B3F97"/>
    <w:rsid w:val="005B495C"/>
    <w:rsid w:val="005B53F3"/>
    <w:rsid w:val="005B5415"/>
    <w:rsid w:val="005B54E0"/>
    <w:rsid w:val="005B552D"/>
    <w:rsid w:val="005B55A7"/>
    <w:rsid w:val="005B6075"/>
    <w:rsid w:val="005B65CF"/>
    <w:rsid w:val="005B67A7"/>
    <w:rsid w:val="005B791F"/>
    <w:rsid w:val="005C01D8"/>
    <w:rsid w:val="005C03BF"/>
    <w:rsid w:val="005C12EE"/>
    <w:rsid w:val="005C131C"/>
    <w:rsid w:val="005C1645"/>
    <w:rsid w:val="005C1AE5"/>
    <w:rsid w:val="005C1FEB"/>
    <w:rsid w:val="005C255D"/>
    <w:rsid w:val="005C29B8"/>
    <w:rsid w:val="005C3A5B"/>
    <w:rsid w:val="005C4468"/>
    <w:rsid w:val="005C57DE"/>
    <w:rsid w:val="005C65D2"/>
    <w:rsid w:val="005C6CF6"/>
    <w:rsid w:val="005C7705"/>
    <w:rsid w:val="005C7F98"/>
    <w:rsid w:val="005D15D8"/>
    <w:rsid w:val="005D29CC"/>
    <w:rsid w:val="005D35A3"/>
    <w:rsid w:val="005D38A5"/>
    <w:rsid w:val="005D488F"/>
    <w:rsid w:val="005D4CD7"/>
    <w:rsid w:val="005D4DDB"/>
    <w:rsid w:val="005D557E"/>
    <w:rsid w:val="005D6DEA"/>
    <w:rsid w:val="005E1119"/>
    <w:rsid w:val="005E11C7"/>
    <w:rsid w:val="005E2256"/>
    <w:rsid w:val="005E232A"/>
    <w:rsid w:val="005E2B9A"/>
    <w:rsid w:val="005E2C46"/>
    <w:rsid w:val="005E38A4"/>
    <w:rsid w:val="005E5591"/>
    <w:rsid w:val="005E6009"/>
    <w:rsid w:val="005E7844"/>
    <w:rsid w:val="005E79A9"/>
    <w:rsid w:val="005F0C7F"/>
    <w:rsid w:val="005F147D"/>
    <w:rsid w:val="005F1A95"/>
    <w:rsid w:val="005F2406"/>
    <w:rsid w:val="005F370D"/>
    <w:rsid w:val="005F3F8F"/>
    <w:rsid w:val="005F47D4"/>
    <w:rsid w:val="005F4A33"/>
    <w:rsid w:val="005F5552"/>
    <w:rsid w:val="005F6324"/>
    <w:rsid w:val="005F6355"/>
    <w:rsid w:val="005F66F4"/>
    <w:rsid w:val="005F7AFD"/>
    <w:rsid w:val="006002AE"/>
    <w:rsid w:val="00600651"/>
    <w:rsid w:val="006012BE"/>
    <w:rsid w:val="00601DF4"/>
    <w:rsid w:val="00601E8F"/>
    <w:rsid w:val="00602165"/>
    <w:rsid w:val="00602213"/>
    <w:rsid w:val="0060241B"/>
    <w:rsid w:val="006027E6"/>
    <w:rsid w:val="00602D3F"/>
    <w:rsid w:val="0060363A"/>
    <w:rsid w:val="00603A35"/>
    <w:rsid w:val="00603CD9"/>
    <w:rsid w:val="00603F88"/>
    <w:rsid w:val="0060499A"/>
    <w:rsid w:val="00606EBC"/>
    <w:rsid w:val="00607B7E"/>
    <w:rsid w:val="00607EC4"/>
    <w:rsid w:val="00607F75"/>
    <w:rsid w:val="00610A37"/>
    <w:rsid w:val="0061168C"/>
    <w:rsid w:val="006117C1"/>
    <w:rsid w:val="006122AF"/>
    <w:rsid w:val="00612564"/>
    <w:rsid w:val="006125EB"/>
    <w:rsid w:val="006131F2"/>
    <w:rsid w:val="006134E0"/>
    <w:rsid w:val="00614227"/>
    <w:rsid w:val="006144BE"/>
    <w:rsid w:val="006160AA"/>
    <w:rsid w:val="006169B3"/>
    <w:rsid w:val="00616E2F"/>
    <w:rsid w:val="00616F35"/>
    <w:rsid w:val="0061798D"/>
    <w:rsid w:val="006244EC"/>
    <w:rsid w:val="00625982"/>
    <w:rsid w:val="006262AD"/>
    <w:rsid w:val="00626F9B"/>
    <w:rsid w:val="0062763C"/>
    <w:rsid w:val="006309DB"/>
    <w:rsid w:val="006310EA"/>
    <w:rsid w:val="00631314"/>
    <w:rsid w:val="0063138F"/>
    <w:rsid w:val="006316C8"/>
    <w:rsid w:val="006321A3"/>
    <w:rsid w:val="0063227B"/>
    <w:rsid w:val="0063287F"/>
    <w:rsid w:val="0063352E"/>
    <w:rsid w:val="006339E8"/>
    <w:rsid w:val="00634969"/>
    <w:rsid w:val="0063549B"/>
    <w:rsid w:val="0063560B"/>
    <w:rsid w:val="00635C73"/>
    <w:rsid w:val="00636288"/>
    <w:rsid w:val="006374D5"/>
    <w:rsid w:val="00637CBC"/>
    <w:rsid w:val="006416A5"/>
    <w:rsid w:val="006424C8"/>
    <w:rsid w:val="00642D6E"/>
    <w:rsid w:val="006440CE"/>
    <w:rsid w:val="006448FC"/>
    <w:rsid w:val="00645958"/>
    <w:rsid w:val="00645DD5"/>
    <w:rsid w:val="00646212"/>
    <w:rsid w:val="0064724E"/>
    <w:rsid w:val="00647AEF"/>
    <w:rsid w:val="00647BB1"/>
    <w:rsid w:val="00650263"/>
    <w:rsid w:val="0065077E"/>
    <w:rsid w:val="00650801"/>
    <w:rsid w:val="0065094E"/>
    <w:rsid w:val="00650CDC"/>
    <w:rsid w:val="00651067"/>
    <w:rsid w:val="00651140"/>
    <w:rsid w:val="00651E63"/>
    <w:rsid w:val="006538B8"/>
    <w:rsid w:val="00653F28"/>
    <w:rsid w:val="00654161"/>
    <w:rsid w:val="00654E34"/>
    <w:rsid w:val="0065519F"/>
    <w:rsid w:val="00656F9B"/>
    <w:rsid w:val="00657EED"/>
    <w:rsid w:val="006619BD"/>
    <w:rsid w:val="00663870"/>
    <w:rsid w:val="0066559B"/>
    <w:rsid w:val="00665712"/>
    <w:rsid w:val="00665E37"/>
    <w:rsid w:val="0066728F"/>
    <w:rsid w:val="00667D62"/>
    <w:rsid w:val="00670065"/>
    <w:rsid w:val="0067047D"/>
    <w:rsid w:val="00670A84"/>
    <w:rsid w:val="00671102"/>
    <w:rsid w:val="00671A1A"/>
    <w:rsid w:val="00671E23"/>
    <w:rsid w:val="006724DD"/>
    <w:rsid w:val="006729C4"/>
    <w:rsid w:val="00675206"/>
    <w:rsid w:val="00675657"/>
    <w:rsid w:val="006757BA"/>
    <w:rsid w:val="00675826"/>
    <w:rsid w:val="00675879"/>
    <w:rsid w:val="006761B6"/>
    <w:rsid w:val="006762CB"/>
    <w:rsid w:val="0067686B"/>
    <w:rsid w:val="00676A49"/>
    <w:rsid w:val="00677C0E"/>
    <w:rsid w:val="00677E86"/>
    <w:rsid w:val="006801EC"/>
    <w:rsid w:val="00683F01"/>
    <w:rsid w:val="00685A9D"/>
    <w:rsid w:val="00685ACD"/>
    <w:rsid w:val="0068696D"/>
    <w:rsid w:val="00687E7F"/>
    <w:rsid w:val="00687ECA"/>
    <w:rsid w:val="006900A0"/>
    <w:rsid w:val="0069014D"/>
    <w:rsid w:val="006935B4"/>
    <w:rsid w:val="006952C2"/>
    <w:rsid w:val="0069579F"/>
    <w:rsid w:val="006965A2"/>
    <w:rsid w:val="00697C0B"/>
    <w:rsid w:val="006A0D99"/>
    <w:rsid w:val="006A19F0"/>
    <w:rsid w:val="006A1C55"/>
    <w:rsid w:val="006A228D"/>
    <w:rsid w:val="006A4C24"/>
    <w:rsid w:val="006A4DF3"/>
    <w:rsid w:val="006A55D1"/>
    <w:rsid w:val="006A5899"/>
    <w:rsid w:val="006A7289"/>
    <w:rsid w:val="006A74CE"/>
    <w:rsid w:val="006A7A8B"/>
    <w:rsid w:val="006A7AAF"/>
    <w:rsid w:val="006B02C8"/>
    <w:rsid w:val="006B139E"/>
    <w:rsid w:val="006B1DA6"/>
    <w:rsid w:val="006B31FF"/>
    <w:rsid w:val="006B32A0"/>
    <w:rsid w:val="006B36F5"/>
    <w:rsid w:val="006B4499"/>
    <w:rsid w:val="006B4A61"/>
    <w:rsid w:val="006B4BCD"/>
    <w:rsid w:val="006B6BC8"/>
    <w:rsid w:val="006B6E5F"/>
    <w:rsid w:val="006B72A9"/>
    <w:rsid w:val="006B7E62"/>
    <w:rsid w:val="006C1700"/>
    <w:rsid w:val="006C1ADF"/>
    <w:rsid w:val="006C1D5B"/>
    <w:rsid w:val="006C2051"/>
    <w:rsid w:val="006C239A"/>
    <w:rsid w:val="006C2F5B"/>
    <w:rsid w:val="006C34FE"/>
    <w:rsid w:val="006C3CCE"/>
    <w:rsid w:val="006C439E"/>
    <w:rsid w:val="006C4DF4"/>
    <w:rsid w:val="006C5175"/>
    <w:rsid w:val="006C5979"/>
    <w:rsid w:val="006C5B51"/>
    <w:rsid w:val="006C5E19"/>
    <w:rsid w:val="006C6ED1"/>
    <w:rsid w:val="006D1252"/>
    <w:rsid w:val="006D12AD"/>
    <w:rsid w:val="006D1992"/>
    <w:rsid w:val="006D217A"/>
    <w:rsid w:val="006D2449"/>
    <w:rsid w:val="006D2F5B"/>
    <w:rsid w:val="006D30E7"/>
    <w:rsid w:val="006D3142"/>
    <w:rsid w:val="006D415C"/>
    <w:rsid w:val="006D48C9"/>
    <w:rsid w:val="006D4A12"/>
    <w:rsid w:val="006D580F"/>
    <w:rsid w:val="006D60AF"/>
    <w:rsid w:val="006D73EB"/>
    <w:rsid w:val="006D7441"/>
    <w:rsid w:val="006E23C9"/>
    <w:rsid w:val="006E2889"/>
    <w:rsid w:val="006E2967"/>
    <w:rsid w:val="006E31BA"/>
    <w:rsid w:val="006E3C2C"/>
    <w:rsid w:val="006E4972"/>
    <w:rsid w:val="006E4D1B"/>
    <w:rsid w:val="006E5B68"/>
    <w:rsid w:val="006E5FB0"/>
    <w:rsid w:val="006E67BC"/>
    <w:rsid w:val="006E788A"/>
    <w:rsid w:val="006F0CDF"/>
    <w:rsid w:val="006F292A"/>
    <w:rsid w:val="006F3950"/>
    <w:rsid w:val="006F3C33"/>
    <w:rsid w:val="006F3FB1"/>
    <w:rsid w:val="006F4D0C"/>
    <w:rsid w:val="006F5745"/>
    <w:rsid w:val="006F5A85"/>
    <w:rsid w:val="006F637B"/>
    <w:rsid w:val="006F6CB2"/>
    <w:rsid w:val="006F7844"/>
    <w:rsid w:val="00701485"/>
    <w:rsid w:val="00702580"/>
    <w:rsid w:val="00702C71"/>
    <w:rsid w:val="0070315B"/>
    <w:rsid w:val="007031F9"/>
    <w:rsid w:val="0070392D"/>
    <w:rsid w:val="00704156"/>
    <w:rsid w:val="00704600"/>
    <w:rsid w:val="007059F5"/>
    <w:rsid w:val="00705CD2"/>
    <w:rsid w:val="0070676F"/>
    <w:rsid w:val="007105F5"/>
    <w:rsid w:val="00710E00"/>
    <w:rsid w:val="0071184F"/>
    <w:rsid w:val="00711DB0"/>
    <w:rsid w:val="007136F9"/>
    <w:rsid w:val="007152EE"/>
    <w:rsid w:val="00720506"/>
    <w:rsid w:val="007207C1"/>
    <w:rsid w:val="00720CB6"/>
    <w:rsid w:val="00720CBE"/>
    <w:rsid w:val="00721392"/>
    <w:rsid w:val="00721A9D"/>
    <w:rsid w:val="00721D66"/>
    <w:rsid w:val="007223D5"/>
    <w:rsid w:val="00722442"/>
    <w:rsid w:val="0072244A"/>
    <w:rsid w:val="007228CC"/>
    <w:rsid w:val="00722BC5"/>
    <w:rsid w:val="00722CA5"/>
    <w:rsid w:val="00722F45"/>
    <w:rsid w:val="00723919"/>
    <w:rsid w:val="0072609F"/>
    <w:rsid w:val="007260F4"/>
    <w:rsid w:val="0072632C"/>
    <w:rsid w:val="007263A3"/>
    <w:rsid w:val="00726729"/>
    <w:rsid w:val="00726E32"/>
    <w:rsid w:val="00726EAF"/>
    <w:rsid w:val="00727F06"/>
    <w:rsid w:val="00730250"/>
    <w:rsid w:val="00730560"/>
    <w:rsid w:val="00730AC8"/>
    <w:rsid w:val="00731987"/>
    <w:rsid w:val="007320F1"/>
    <w:rsid w:val="00732778"/>
    <w:rsid w:val="00732DA0"/>
    <w:rsid w:val="00733090"/>
    <w:rsid w:val="00733806"/>
    <w:rsid w:val="00733C29"/>
    <w:rsid w:val="00736C67"/>
    <w:rsid w:val="00740528"/>
    <w:rsid w:val="0074076C"/>
    <w:rsid w:val="00740E0D"/>
    <w:rsid w:val="0074199C"/>
    <w:rsid w:val="0074199D"/>
    <w:rsid w:val="00742E21"/>
    <w:rsid w:val="007435B6"/>
    <w:rsid w:val="0074362F"/>
    <w:rsid w:val="00743C72"/>
    <w:rsid w:val="00746DEC"/>
    <w:rsid w:val="00746E26"/>
    <w:rsid w:val="00747415"/>
    <w:rsid w:val="00747D58"/>
    <w:rsid w:val="007518C4"/>
    <w:rsid w:val="00751B0F"/>
    <w:rsid w:val="00751B9E"/>
    <w:rsid w:val="007531A1"/>
    <w:rsid w:val="0075325F"/>
    <w:rsid w:val="00754E7F"/>
    <w:rsid w:val="00755B13"/>
    <w:rsid w:val="00756FD7"/>
    <w:rsid w:val="0075707F"/>
    <w:rsid w:val="00757C26"/>
    <w:rsid w:val="00761BED"/>
    <w:rsid w:val="00762CD1"/>
    <w:rsid w:val="007630FA"/>
    <w:rsid w:val="00764885"/>
    <w:rsid w:val="007668BF"/>
    <w:rsid w:val="00766F11"/>
    <w:rsid w:val="00767142"/>
    <w:rsid w:val="00767DD8"/>
    <w:rsid w:val="00767EED"/>
    <w:rsid w:val="00770EE0"/>
    <w:rsid w:val="00771356"/>
    <w:rsid w:val="007736D7"/>
    <w:rsid w:val="0077429E"/>
    <w:rsid w:val="007743E2"/>
    <w:rsid w:val="00774838"/>
    <w:rsid w:val="0077646B"/>
    <w:rsid w:val="00776E29"/>
    <w:rsid w:val="00776F7F"/>
    <w:rsid w:val="007805BD"/>
    <w:rsid w:val="00780680"/>
    <w:rsid w:val="007809F3"/>
    <w:rsid w:val="00780EEB"/>
    <w:rsid w:val="00781AE0"/>
    <w:rsid w:val="00781FFE"/>
    <w:rsid w:val="007823EF"/>
    <w:rsid w:val="00783797"/>
    <w:rsid w:val="00784557"/>
    <w:rsid w:val="00785388"/>
    <w:rsid w:val="00786A12"/>
    <w:rsid w:val="00786A97"/>
    <w:rsid w:val="00787603"/>
    <w:rsid w:val="00787663"/>
    <w:rsid w:val="00787E7B"/>
    <w:rsid w:val="00790068"/>
    <w:rsid w:val="007906D3"/>
    <w:rsid w:val="007914BA"/>
    <w:rsid w:val="00791AD7"/>
    <w:rsid w:val="00792E7B"/>
    <w:rsid w:val="00792F01"/>
    <w:rsid w:val="007957C4"/>
    <w:rsid w:val="007975D4"/>
    <w:rsid w:val="007A0853"/>
    <w:rsid w:val="007A1DBF"/>
    <w:rsid w:val="007A2AA4"/>
    <w:rsid w:val="007A2C0E"/>
    <w:rsid w:val="007A3093"/>
    <w:rsid w:val="007A3314"/>
    <w:rsid w:val="007A3ECD"/>
    <w:rsid w:val="007A576F"/>
    <w:rsid w:val="007A57EA"/>
    <w:rsid w:val="007A6357"/>
    <w:rsid w:val="007A7222"/>
    <w:rsid w:val="007A74B2"/>
    <w:rsid w:val="007A74CF"/>
    <w:rsid w:val="007B0CF1"/>
    <w:rsid w:val="007B1438"/>
    <w:rsid w:val="007B27E6"/>
    <w:rsid w:val="007B2C73"/>
    <w:rsid w:val="007B35BF"/>
    <w:rsid w:val="007B3E7E"/>
    <w:rsid w:val="007B3EF2"/>
    <w:rsid w:val="007B493F"/>
    <w:rsid w:val="007B4A66"/>
    <w:rsid w:val="007B4D81"/>
    <w:rsid w:val="007B5425"/>
    <w:rsid w:val="007B5945"/>
    <w:rsid w:val="007B667D"/>
    <w:rsid w:val="007B6C96"/>
    <w:rsid w:val="007B72C4"/>
    <w:rsid w:val="007B7951"/>
    <w:rsid w:val="007C02B8"/>
    <w:rsid w:val="007C0987"/>
    <w:rsid w:val="007C0A39"/>
    <w:rsid w:val="007C1196"/>
    <w:rsid w:val="007C2285"/>
    <w:rsid w:val="007C2E0F"/>
    <w:rsid w:val="007C35F1"/>
    <w:rsid w:val="007C39BF"/>
    <w:rsid w:val="007C41F0"/>
    <w:rsid w:val="007C4A76"/>
    <w:rsid w:val="007C4F2C"/>
    <w:rsid w:val="007C592D"/>
    <w:rsid w:val="007C5B12"/>
    <w:rsid w:val="007C61C9"/>
    <w:rsid w:val="007C7037"/>
    <w:rsid w:val="007C719E"/>
    <w:rsid w:val="007C7448"/>
    <w:rsid w:val="007C7FDE"/>
    <w:rsid w:val="007D058F"/>
    <w:rsid w:val="007D11BA"/>
    <w:rsid w:val="007D1415"/>
    <w:rsid w:val="007D1A6E"/>
    <w:rsid w:val="007D2C34"/>
    <w:rsid w:val="007D311B"/>
    <w:rsid w:val="007D3239"/>
    <w:rsid w:val="007D4086"/>
    <w:rsid w:val="007D4456"/>
    <w:rsid w:val="007D4641"/>
    <w:rsid w:val="007D5551"/>
    <w:rsid w:val="007D5B8A"/>
    <w:rsid w:val="007D76AE"/>
    <w:rsid w:val="007D77BA"/>
    <w:rsid w:val="007D7CEF"/>
    <w:rsid w:val="007E19F1"/>
    <w:rsid w:val="007E28F1"/>
    <w:rsid w:val="007E2B97"/>
    <w:rsid w:val="007E2CCF"/>
    <w:rsid w:val="007E336C"/>
    <w:rsid w:val="007E3C99"/>
    <w:rsid w:val="007E49B9"/>
    <w:rsid w:val="007E4B21"/>
    <w:rsid w:val="007E6F82"/>
    <w:rsid w:val="007F018B"/>
    <w:rsid w:val="007F0270"/>
    <w:rsid w:val="007F1334"/>
    <w:rsid w:val="007F1922"/>
    <w:rsid w:val="007F29E7"/>
    <w:rsid w:val="007F2D8F"/>
    <w:rsid w:val="007F4FB6"/>
    <w:rsid w:val="007F5B66"/>
    <w:rsid w:val="007F5F94"/>
    <w:rsid w:val="007F6525"/>
    <w:rsid w:val="007F66B8"/>
    <w:rsid w:val="007F7B52"/>
    <w:rsid w:val="00801278"/>
    <w:rsid w:val="008012CA"/>
    <w:rsid w:val="00801DB7"/>
    <w:rsid w:val="008024BF"/>
    <w:rsid w:val="00802EFD"/>
    <w:rsid w:val="00803512"/>
    <w:rsid w:val="008035A7"/>
    <w:rsid w:val="00803B3D"/>
    <w:rsid w:val="00804470"/>
    <w:rsid w:val="008045AD"/>
    <w:rsid w:val="008048A2"/>
    <w:rsid w:val="00804AA8"/>
    <w:rsid w:val="00805736"/>
    <w:rsid w:val="00806072"/>
    <w:rsid w:val="00807465"/>
    <w:rsid w:val="00807BBE"/>
    <w:rsid w:val="00807E0E"/>
    <w:rsid w:val="00810AA4"/>
    <w:rsid w:val="00810C90"/>
    <w:rsid w:val="00810EFD"/>
    <w:rsid w:val="0081174E"/>
    <w:rsid w:val="00811773"/>
    <w:rsid w:val="00811B9C"/>
    <w:rsid w:val="00812F20"/>
    <w:rsid w:val="008146D4"/>
    <w:rsid w:val="00814FD3"/>
    <w:rsid w:val="0081510E"/>
    <w:rsid w:val="00815D75"/>
    <w:rsid w:val="00815DF1"/>
    <w:rsid w:val="00815FD3"/>
    <w:rsid w:val="0081600D"/>
    <w:rsid w:val="00816645"/>
    <w:rsid w:val="008174ED"/>
    <w:rsid w:val="00820459"/>
    <w:rsid w:val="00821122"/>
    <w:rsid w:val="00821384"/>
    <w:rsid w:val="0082162B"/>
    <w:rsid w:val="00821CC2"/>
    <w:rsid w:val="00822D80"/>
    <w:rsid w:val="00822E2E"/>
    <w:rsid w:val="00823C57"/>
    <w:rsid w:val="008241CF"/>
    <w:rsid w:val="008244FF"/>
    <w:rsid w:val="00824E0A"/>
    <w:rsid w:val="0082589C"/>
    <w:rsid w:val="00825C7D"/>
    <w:rsid w:val="00825C8D"/>
    <w:rsid w:val="0082635E"/>
    <w:rsid w:val="008269D2"/>
    <w:rsid w:val="00826B14"/>
    <w:rsid w:val="00826CEB"/>
    <w:rsid w:val="00827166"/>
    <w:rsid w:val="00827636"/>
    <w:rsid w:val="00830E7C"/>
    <w:rsid w:val="008313BB"/>
    <w:rsid w:val="00831C84"/>
    <w:rsid w:val="00832392"/>
    <w:rsid w:val="00833BDC"/>
    <w:rsid w:val="00834471"/>
    <w:rsid w:val="0083563F"/>
    <w:rsid w:val="008369EC"/>
    <w:rsid w:val="0084122D"/>
    <w:rsid w:val="0084199C"/>
    <w:rsid w:val="00841C01"/>
    <w:rsid w:val="00841FF5"/>
    <w:rsid w:val="00842149"/>
    <w:rsid w:val="00842A86"/>
    <w:rsid w:val="00842DAB"/>
    <w:rsid w:val="00843149"/>
    <w:rsid w:val="008433B7"/>
    <w:rsid w:val="00843D4E"/>
    <w:rsid w:val="00845107"/>
    <w:rsid w:val="008459D3"/>
    <w:rsid w:val="008505B4"/>
    <w:rsid w:val="00850C3D"/>
    <w:rsid w:val="00850D5B"/>
    <w:rsid w:val="008525A9"/>
    <w:rsid w:val="00852DC2"/>
    <w:rsid w:val="008539C9"/>
    <w:rsid w:val="0085407D"/>
    <w:rsid w:val="0085470B"/>
    <w:rsid w:val="00854EEA"/>
    <w:rsid w:val="00854F7E"/>
    <w:rsid w:val="008552B2"/>
    <w:rsid w:val="0085545B"/>
    <w:rsid w:val="00856989"/>
    <w:rsid w:val="00856CAC"/>
    <w:rsid w:val="00857C9E"/>
    <w:rsid w:val="00860845"/>
    <w:rsid w:val="00860BCD"/>
    <w:rsid w:val="00860F33"/>
    <w:rsid w:val="0086195A"/>
    <w:rsid w:val="00861D7E"/>
    <w:rsid w:val="0086260A"/>
    <w:rsid w:val="008630BC"/>
    <w:rsid w:val="008637C2"/>
    <w:rsid w:val="008637E0"/>
    <w:rsid w:val="0086387F"/>
    <w:rsid w:val="00863D8E"/>
    <w:rsid w:val="00864567"/>
    <w:rsid w:val="008645A8"/>
    <w:rsid w:val="008646C5"/>
    <w:rsid w:val="00864E25"/>
    <w:rsid w:val="0086724E"/>
    <w:rsid w:val="00867452"/>
    <w:rsid w:val="008676F9"/>
    <w:rsid w:val="008678B2"/>
    <w:rsid w:val="008678C0"/>
    <w:rsid w:val="00870C65"/>
    <w:rsid w:val="00870EF9"/>
    <w:rsid w:val="00871147"/>
    <w:rsid w:val="00871485"/>
    <w:rsid w:val="008721B4"/>
    <w:rsid w:val="00872E6B"/>
    <w:rsid w:val="00873033"/>
    <w:rsid w:val="0087381E"/>
    <w:rsid w:val="00874DC5"/>
    <w:rsid w:val="0087582A"/>
    <w:rsid w:val="0088086A"/>
    <w:rsid w:val="008814BB"/>
    <w:rsid w:val="00881529"/>
    <w:rsid w:val="00881D8F"/>
    <w:rsid w:val="008832B2"/>
    <w:rsid w:val="00883DA7"/>
    <w:rsid w:val="0088422C"/>
    <w:rsid w:val="008844B0"/>
    <w:rsid w:val="008850FE"/>
    <w:rsid w:val="008853A8"/>
    <w:rsid w:val="00885447"/>
    <w:rsid w:val="0088545C"/>
    <w:rsid w:val="00885CA7"/>
    <w:rsid w:val="0088706B"/>
    <w:rsid w:val="00887402"/>
    <w:rsid w:val="008877FC"/>
    <w:rsid w:val="00887AB7"/>
    <w:rsid w:val="008911CD"/>
    <w:rsid w:val="00891A3A"/>
    <w:rsid w:val="00892D5C"/>
    <w:rsid w:val="0089498C"/>
    <w:rsid w:val="00894B37"/>
    <w:rsid w:val="0089693C"/>
    <w:rsid w:val="008969B0"/>
    <w:rsid w:val="00897325"/>
    <w:rsid w:val="00897767"/>
    <w:rsid w:val="008A09F4"/>
    <w:rsid w:val="008A0CC6"/>
    <w:rsid w:val="008A1809"/>
    <w:rsid w:val="008A1A3B"/>
    <w:rsid w:val="008A22A5"/>
    <w:rsid w:val="008A3DC1"/>
    <w:rsid w:val="008A4095"/>
    <w:rsid w:val="008A502D"/>
    <w:rsid w:val="008A616A"/>
    <w:rsid w:val="008A70EE"/>
    <w:rsid w:val="008A730C"/>
    <w:rsid w:val="008B05B0"/>
    <w:rsid w:val="008B0A71"/>
    <w:rsid w:val="008B1676"/>
    <w:rsid w:val="008B195F"/>
    <w:rsid w:val="008B1EA8"/>
    <w:rsid w:val="008B2858"/>
    <w:rsid w:val="008B292A"/>
    <w:rsid w:val="008B39D1"/>
    <w:rsid w:val="008B39F3"/>
    <w:rsid w:val="008B3BDB"/>
    <w:rsid w:val="008B5288"/>
    <w:rsid w:val="008B5826"/>
    <w:rsid w:val="008B5F42"/>
    <w:rsid w:val="008B66EF"/>
    <w:rsid w:val="008B6C4E"/>
    <w:rsid w:val="008B7079"/>
    <w:rsid w:val="008B7276"/>
    <w:rsid w:val="008B75E6"/>
    <w:rsid w:val="008C04C8"/>
    <w:rsid w:val="008C0CC1"/>
    <w:rsid w:val="008C1564"/>
    <w:rsid w:val="008C2CB5"/>
    <w:rsid w:val="008C3764"/>
    <w:rsid w:val="008C3AC2"/>
    <w:rsid w:val="008C3F4D"/>
    <w:rsid w:val="008C3F93"/>
    <w:rsid w:val="008C55B7"/>
    <w:rsid w:val="008C5E3A"/>
    <w:rsid w:val="008C60D9"/>
    <w:rsid w:val="008C679D"/>
    <w:rsid w:val="008C6D41"/>
    <w:rsid w:val="008C6F79"/>
    <w:rsid w:val="008C70AF"/>
    <w:rsid w:val="008C7B85"/>
    <w:rsid w:val="008D01A8"/>
    <w:rsid w:val="008D1C5A"/>
    <w:rsid w:val="008D2247"/>
    <w:rsid w:val="008D26EE"/>
    <w:rsid w:val="008D2711"/>
    <w:rsid w:val="008D3582"/>
    <w:rsid w:val="008D4959"/>
    <w:rsid w:val="008D4D32"/>
    <w:rsid w:val="008D5252"/>
    <w:rsid w:val="008D7093"/>
    <w:rsid w:val="008E005C"/>
    <w:rsid w:val="008E0612"/>
    <w:rsid w:val="008E2200"/>
    <w:rsid w:val="008E2578"/>
    <w:rsid w:val="008E31D5"/>
    <w:rsid w:val="008E40C9"/>
    <w:rsid w:val="008E53C8"/>
    <w:rsid w:val="008E59BA"/>
    <w:rsid w:val="008E59C8"/>
    <w:rsid w:val="008E6108"/>
    <w:rsid w:val="008E6595"/>
    <w:rsid w:val="008E6EB3"/>
    <w:rsid w:val="008E7805"/>
    <w:rsid w:val="008E7CD5"/>
    <w:rsid w:val="008F1632"/>
    <w:rsid w:val="008F2304"/>
    <w:rsid w:val="008F3DF8"/>
    <w:rsid w:val="008F3E76"/>
    <w:rsid w:val="008F3ED9"/>
    <w:rsid w:val="008F45AF"/>
    <w:rsid w:val="008F4F6A"/>
    <w:rsid w:val="008F64AF"/>
    <w:rsid w:val="008F6C00"/>
    <w:rsid w:val="00900A2B"/>
    <w:rsid w:val="00900DD0"/>
    <w:rsid w:val="00900E4E"/>
    <w:rsid w:val="0090170F"/>
    <w:rsid w:val="00902CA3"/>
    <w:rsid w:val="009031B2"/>
    <w:rsid w:val="00904253"/>
    <w:rsid w:val="00904DDF"/>
    <w:rsid w:val="00905B55"/>
    <w:rsid w:val="00906A5C"/>
    <w:rsid w:val="0090766A"/>
    <w:rsid w:val="00910ED8"/>
    <w:rsid w:val="009113FE"/>
    <w:rsid w:val="00911F67"/>
    <w:rsid w:val="009128A8"/>
    <w:rsid w:val="00913B8B"/>
    <w:rsid w:val="0091490E"/>
    <w:rsid w:val="00914A82"/>
    <w:rsid w:val="00914AF5"/>
    <w:rsid w:val="009152F1"/>
    <w:rsid w:val="0091588A"/>
    <w:rsid w:val="00915AA5"/>
    <w:rsid w:val="0091611A"/>
    <w:rsid w:val="009205B6"/>
    <w:rsid w:val="0092118E"/>
    <w:rsid w:val="0092138A"/>
    <w:rsid w:val="00922281"/>
    <w:rsid w:val="00923349"/>
    <w:rsid w:val="00923683"/>
    <w:rsid w:val="00923D0A"/>
    <w:rsid w:val="00924256"/>
    <w:rsid w:val="009243A7"/>
    <w:rsid w:val="009244BB"/>
    <w:rsid w:val="00924A15"/>
    <w:rsid w:val="00924A9C"/>
    <w:rsid w:val="00925A3F"/>
    <w:rsid w:val="009268CB"/>
    <w:rsid w:val="00927943"/>
    <w:rsid w:val="00930A5D"/>
    <w:rsid w:val="00930F70"/>
    <w:rsid w:val="0093105C"/>
    <w:rsid w:val="0093173D"/>
    <w:rsid w:val="0093296F"/>
    <w:rsid w:val="00933464"/>
    <w:rsid w:val="00933F65"/>
    <w:rsid w:val="00935D5B"/>
    <w:rsid w:val="00936BA3"/>
    <w:rsid w:val="00937081"/>
    <w:rsid w:val="00937522"/>
    <w:rsid w:val="009409C5"/>
    <w:rsid w:val="00941DAE"/>
    <w:rsid w:val="009441D7"/>
    <w:rsid w:val="009447AA"/>
    <w:rsid w:val="0094514F"/>
    <w:rsid w:val="00950764"/>
    <w:rsid w:val="00950A5B"/>
    <w:rsid w:val="00950C9F"/>
    <w:rsid w:val="009522A5"/>
    <w:rsid w:val="0095401A"/>
    <w:rsid w:val="009540F5"/>
    <w:rsid w:val="0095483E"/>
    <w:rsid w:val="00954F40"/>
    <w:rsid w:val="00955264"/>
    <w:rsid w:val="00955421"/>
    <w:rsid w:val="00956E80"/>
    <w:rsid w:val="009577D6"/>
    <w:rsid w:val="0095783B"/>
    <w:rsid w:val="009579D5"/>
    <w:rsid w:val="00960054"/>
    <w:rsid w:val="009606E6"/>
    <w:rsid w:val="009608E7"/>
    <w:rsid w:val="00960BC0"/>
    <w:rsid w:val="00960E7B"/>
    <w:rsid w:val="0096125F"/>
    <w:rsid w:val="0096145E"/>
    <w:rsid w:val="00961E8C"/>
    <w:rsid w:val="009622C0"/>
    <w:rsid w:val="00962810"/>
    <w:rsid w:val="00962E2C"/>
    <w:rsid w:val="00962E96"/>
    <w:rsid w:val="00963302"/>
    <w:rsid w:val="0096391F"/>
    <w:rsid w:val="009639E9"/>
    <w:rsid w:val="00963CA4"/>
    <w:rsid w:val="009641C7"/>
    <w:rsid w:val="0096445D"/>
    <w:rsid w:val="00964B7B"/>
    <w:rsid w:val="00965C11"/>
    <w:rsid w:val="009669DD"/>
    <w:rsid w:val="00967190"/>
    <w:rsid w:val="00967FCE"/>
    <w:rsid w:val="00970773"/>
    <w:rsid w:val="009713A7"/>
    <w:rsid w:val="00971FE2"/>
    <w:rsid w:val="00972A86"/>
    <w:rsid w:val="00972D36"/>
    <w:rsid w:val="00974FDB"/>
    <w:rsid w:val="00975348"/>
    <w:rsid w:val="00975ABA"/>
    <w:rsid w:val="00976194"/>
    <w:rsid w:val="009761E5"/>
    <w:rsid w:val="0097723D"/>
    <w:rsid w:val="0097727C"/>
    <w:rsid w:val="00977A4E"/>
    <w:rsid w:val="00977A51"/>
    <w:rsid w:val="00977C6A"/>
    <w:rsid w:val="009800CE"/>
    <w:rsid w:val="00980AA3"/>
    <w:rsid w:val="00980EA7"/>
    <w:rsid w:val="00981BDD"/>
    <w:rsid w:val="00982E1F"/>
    <w:rsid w:val="00983104"/>
    <w:rsid w:val="009834D9"/>
    <w:rsid w:val="009836CE"/>
    <w:rsid w:val="00985955"/>
    <w:rsid w:val="009859F7"/>
    <w:rsid w:val="00985D63"/>
    <w:rsid w:val="00986A6D"/>
    <w:rsid w:val="0098786B"/>
    <w:rsid w:val="00990FE5"/>
    <w:rsid w:val="00992DEA"/>
    <w:rsid w:val="009931B5"/>
    <w:rsid w:val="0099420F"/>
    <w:rsid w:val="00994B72"/>
    <w:rsid w:val="00994EBB"/>
    <w:rsid w:val="00995214"/>
    <w:rsid w:val="009967B9"/>
    <w:rsid w:val="00996B0D"/>
    <w:rsid w:val="00996B4A"/>
    <w:rsid w:val="00996B7B"/>
    <w:rsid w:val="009973CE"/>
    <w:rsid w:val="00997F53"/>
    <w:rsid w:val="009A0321"/>
    <w:rsid w:val="009A0483"/>
    <w:rsid w:val="009A051D"/>
    <w:rsid w:val="009A118C"/>
    <w:rsid w:val="009A14A2"/>
    <w:rsid w:val="009A28F9"/>
    <w:rsid w:val="009A2B98"/>
    <w:rsid w:val="009A2E68"/>
    <w:rsid w:val="009A327D"/>
    <w:rsid w:val="009A35F6"/>
    <w:rsid w:val="009A36AB"/>
    <w:rsid w:val="009A4B40"/>
    <w:rsid w:val="009A4BEA"/>
    <w:rsid w:val="009A50C9"/>
    <w:rsid w:val="009A556D"/>
    <w:rsid w:val="009A6357"/>
    <w:rsid w:val="009A6BA8"/>
    <w:rsid w:val="009A6BD5"/>
    <w:rsid w:val="009A729F"/>
    <w:rsid w:val="009A7D64"/>
    <w:rsid w:val="009B02F0"/>
    <w:rsid w:val="009B19E6"/>
    <w:rsid w:val="009B22FA"/>
    <w:rsid w:val="009B3BCB"/>
    <w:rsid w:val="009B3DD4"/>
    <w:rsid w:val="009B6560"/>
    <w:rsid w:val="009B6D11"/>
    <w:rsid w:val="009B7159"/>
    <w:rsid w:val="009C129B"/>
    <w:rsid w:val="009C1643"/>
    <w:rsid w:val="009C244D"/>
    <w:rsid w:val="009C2DDA"/>
    <w:rsid w:val="009C2F75"/>
    <w:rsid w:val="009C3595"/>
    <w:rsid w:val="009C3A66"/>
    <w:rsid w:val="009C3AD4"/>
    <w:rsid w:val="009C3CFC"/>
    <w:rsid w:val="009C482D"/>
    <w:rsid w:val="009C487B"/>
    <w:rsid w:val="009C6D54"/>
    <w:rsid w:val="009C7DB1"/>
    <w:rsid w:val="009D0F95"/>
    <w:rsid w:val="009D1F46"/>
    <w:rsid w:val="009D2C00"/>
    <w:rsid w:val="009D355E"/>
    <w:rsid w:val="009D416C"/>
    <w:rsid w:val="009D41B3"/>
    <w:rsid w:val="009D43B4"/>
    <w:rsid w:val="009D4B4B"/>
    <w:rsid w:val="009D542D"/>
    <w:rsid w:val="009D698A"/>
    <w:rsid w:val="009D715F"/>
    <w:rsid w:val="009D7729"/>
    <w:rsid w:val="009D7DE5"/>
    <w:rsid w:val="009E04CD"/>
    <w:rsid w:val="009E0652"/>
    <w:rsid w:val="009E12D5"/>
    <w:rsid w:val="009E19DE"/>
    <w:rsid w:val="009E1CE2"/>
    <w:rsid w:val="009E20F7"/>
    <w:rsid w:val="009E3670"/>
    <w:rsid w:val="009E45AB"/>
    <w:rsid w:val="009E5B49"/>
    <w:rsid w:val="009E687A"/>
    <w:rsid w:val="009F0A85"/>
    <w:rsid w:val="009F2C03"/>
    <w:rsid w:val="009F2D88"/>
    <w:rsid w:val="009F4253"/>
    <w:rsid w:val="009F5242"/>
    <w:rsid w:val="009F5798"/>
    <w:rsid w:val="009F72BB"/>
    <w:rsid w:val="00A00D9E"/>
    <w:rsid w:val="00A01543"/>
    <w:rsid w:val="00A023F9"/>
    <w:rsid w:val="00A02F66"/>
    <w:rsid w:val="00A04398"/>
    <w:rsid w:val="00A043ED"/>
    <w:rsid w:val="00A04C83"/>
    <w:rsid w:val="00A052FF"/>
    <w:rsid w:val="00A05FB4"/>
    <w:rsid w:val="00A0604B"/>
    <w:rsid w:val="00A06711"/>
    <w:rsid w:val="00A10A19"/>
    <w:rsid w:val="00A1146C"/>
    <w:rsid w:val="00A11774"/>
    <w:rsid w:val="00A12557"/>
    <w:rsid w:val="00A12C83"/>
    <w:rsid w:val="00A13049"/>
    <w:rsid w:val="00A1316B"/>
    <w:rsid w:val="00A13977"/>
    <w:rsid w:val="00A13AE1"/>
    <w:rsid w:val="00A14450"/>
    <w:rsid w:val="00A146D6"/>
    <w:rsid w:val="00A14C39"/>
    <w:rsid w:val="00A14FAD"/>
    <w:rsid w:val="00A14FC0"/>
    <w:rsid w:val="00A166AE"/>
    <w:rsid w:val="00A17280"/>
    <w:rsid w:val="00A17FE9"/>
    <w:rsid w:val="00A20C28"/>
    <w:rsid w:val="00A212CD"/>
    <w:rsid w:val="00A21BE2"/>
    <w:rsid w:val="00A228D4"/>
    <w:rsid w:val="00A22B7C"/>
    <w:rsid w:val="00A23F2D"/>
    <w:rsid w:val="00A24B33"/>
    <w:rsid w:val="00A2513F"/>
    <w:rsid w:val="00A25629"/>
    <w:rsid w:val="00A257AD"/>
    <w:rsid w:val="00A25F87"/>
    <w:rsid w:val="00A25F95"/>
    <w:rsid w:val="00A26238"/>
    <w:rsid w:val="00A26C0D"/>
    <w:rsid w:val="00A271C4"/>
    <w:rsid w:val="00A30C43"/>
    <w:rsid w:val="00A30C54"/>
    <w:rsid w:val="00A30E7D"/>
    <w:rsid w:val="00A3101A"/>
    <w:rsid w:val="00A31607"/>
    <w:rsid w:val="00A31825"/>
    <w:rsid w:val="00A32231"/>
    <w:rsid w:val="00A32B27"/>
    <w:rsid w:val="00A32C31"/>
    <w:rsid w:val="00A35802"/>
    <w:rsid w:val="00A35A14"/>
    <w:rsid w:val="00A378EB"/>
    <w:rsid w:val="00A400FF"/>
    <w:rsid w:val="00A403E3"/>
    <w:rsid w:val="00A4142A"/>
    <w:rsid w:val="00A4160C"/>
    <w:rsid w:val="00A41717"/>
    <w:rsid w:val="00A42135"/>
    <w:rsid w:val="00A42957"/>
    <w:rsid w:val="00A42E42"/>
    <w:rsid w:val="00A436F8"/>
    <w:rsid w:val="00A4487D"/>
    <w:rsid w:val="00A44989"/>
    <w:rsid w:val="00A4626F"/>
    <w:rsid w:val="00A466BE"/>
    <w:rsid w:val="00A5101D"/>
    <w:rsid w:val="00A517D6"/>
    <w:rsid w:val="00A51A69"/>
    <w:rsid w:val="00A527D3"/>
    <w:rsid w:val="00A534C3"/>
    <w:rsid w:val="00A536DC"/>
    <w:rsid w:val="00A536E3"/>
    <w:rsid w:val="00A53F76"/>
    <w:rsid w:val="00A54351"/>
    <w:rsid w:val="00A54E96"/>
    <w:rsid w:val="00A55067"/>
    <w:rsid w:val="00A568E1"/>
    <w:rsid w:val="00A574B8"/>
    <w:rsid w:val="00A579DC"/>
    <w:rsid w:val="00A600A6"/>
    <w:rsid w:val="00A60B39"/>
    <w:rsid w:val="00A60D6F"/>
    <w:rsid w:val="00A61666"/>
    <w:rsid w:val="00A616E5"/>
    <w:rsid w:val="00A6184C"/>
    <w:rsid w:val="00A61F39"/>
    <w:rsid w:val="00A62B3E"/>
    <w:rsid w:val="00A645AC"/>
    <w:rsid w:val="00A64EFC"/>
    <w:rsid w:val="00A65252"/>
    <w:rsid w:val="00A6695D"/>
    <w:rsid w:val="00A66FDB"/>
    <w:rsid w:val="00A67E24"/>
    <w:rsid w:val="00A7032D"/>
    <w:rsid w:val="00A70A57"/>
    <w:rsid w:val="00A70EED"/>
    <w:rsid w:val="00A710A9"/>
    <w:rsid w:val="00A710C0"/>
    <w:rsid w:val="00A71CC0"/>
    <w:rsid w:val="00A73203"/>
    <w:rsid w:val="00A764C6"/>
    <w:rsid w:val="00A77812"/>
    <w:rsid w:val="00A7784D"/>
    <w:rsid w:val="00A77A8E"/>
    <w:rsid w:val="00A77D11"/>
    <w:rsid w:val="00A80D32"/>
    <w:rsid w:val="00A81C16"/>
    <w:rsid w:val="00A8276D"/>
    <w:rsid w:val="00A837A1"/>
    <w:rsid w:val="00A839B2"/>
    <w:rsid w:val="00A84DF3"/>
    <w:rsid w:val="00A84FC3"/>
    <w:rsid w:val="00A84FCE"/>
    <w:rsid w:val="00A850C6"/>
    <w:rsid w:val="00A87608"/>
    <w:rsid w:val="00A8798D"/>
    <w:rsid w:val="00A87E61"/>
    <w:rsid w:val="00A9003F"/>
    <w:rsid w:val="00A90214"/>
    <w:rsid w:val="00A92580"/>
    <w:rsid w:val="00A937CF"/>
    <w:rsid w:val="00A93BBF"/>
    <w:rsid w:val="00A945C5"/>
    <w:rsid w:val="00A95473"/>
    <w:rsid w:val="00A95D63"/>
    <w:rsid w:val="00A964E3"/>
    <w:rsid w:val="00A96762"/>
    <w:rsid w:val="00A968B4"/>
    <w:rsid w:val="00A96950"/>
    <w:rsid w:val="00A96A88"/>
    <w:rsid w:val="00A97ACF"/>
    <w:rsid w:val="00A97F4C"/>
    <w:rsid w:val="00AA0B9E"/>
    <w:rsid w:val="00AA16E3"/>
    <w:rsid w:val="00AA26B8"/>
    <w:rsid w:val="00AA2EFC"/>
    <w:rsid w:val="00AA3370"/>
    <w:rsid w:val="00AA35CF"/>
    <w:rsid w:val="00AA39C8"/>
    <w:rsid w:val="00AA44CF"/>
    <w:rsid w:val="00AA45B6"/>
    <w:rsid w:val="00AA60EA"/>
    <w:rsid w:val="00AA72CD"/>
    <w:rsid w:val="00AA7B39"/>
    <w:rsid w:val="00AB05BE"/>
    <w:rsid w:val="00AB05BF"/>
    <w:rsid w:val="00AB099B"/>
    <w:rsid w:val="00AB0DE0"/>
    <w:rsid w:val="00AB1757"/>
    <w:rsid w:val="00AB1E52"/>
    <w:rsid w:val="00AB22E1"/>
    <w:rsid w:val="00AB48C6"/>
    <w:rsid w:val="00AB5F4E"/>
    <w:rsid w:val="00AB6807"/>
    <w:rsid w:val="00AB6A10"/>
    <w:rsid w:val="00AB732C"/>
    <w:rsid w:val="00AC012C"/>
    <w:rsid w:val="00AC0687"/>
    <w:rsid w:val="00AC0B0D"/>
    <w:rsid w:val="00AC0B55"/>
    <w:rsid w:val="00AC139B"/>
    <w:rsid w:val="00AC288A"/>
    <w:rsid w:val="00AC3667"/>
    <w:rsid w:val="00AC3CAA"/>
    <w:rsid w:val="00AC3D34"/>
    <w:rsid w:val="00AC4405"/>
    <w:rsid w:val="00AC53EB"/>
    <w:rsid w:val="00AC5FD4"/>
    <w:rsid w:val="00AC6B1D"/>
    <w:rsid w:val="00AC7AA9"/>
    <w:rsid w:val="00AD0265"/>
    <w:rsid w:val="00AD0587"/>
    <w:rsid w:val="00AD068C"/>
    <w:rsid w:val="00AD1505"/>
    <w:rsid w:val="00AD28ED"/>
    <w:rsid w:val="00AD2A4C"/>
    <w:rsid w:val="00AD2E73"/>
    <w:rsid w:val="00AD3879"/>
    <w:rsid w:val="00AD477F"/>
    <w:rsid w:val="00AD6370"/>
    <w:rsid w:val="00AD6436"/>
    <w:rsid w:val="00AD7AC5"/>
    <w:rsid w:val="00AD7C51"/>
    <w:rsid w:val="00AE0C14"/>
    <w:rsid w:val="00AE165E"/>
    <w:rsid w:val="00AE17ED"/>
    <w:rsid w:val="00AE1C58"/>
    <w:rsid w:val="00AE29BF"/>
    <w:rsid w:val="00AE3351"/>
    <w:rsid w:val="00AE38B6"/>
    <w:rsid w:val="00AE38C3"/>
    <w:rsid w:val="00AE3CE0"/>
    <w:rsid w:val="00AE4CBC"/>
    <w:rsid w:val="00AE5100"/>
    <w:rsid w:val="00AE5299"/>
    <w:rsid w:val="00AE5AFC"/>
    <w:rsid w:val="00AE6357"/>
    <w:rsid w:val="00AE7915"/>
    <w:rsid w:val="00AF07CD"/>
    <w:rsid w:val="00AF105D"/>
    <w:rsid w:val="00AF1815"/>
    <w:rsid w:val="00AF18B0"/>
    <w:rsid w:val="00AF484D"/>
    <w:rsid w:val="00AF4BA4"/>
    <w:rsid w:val="00AF5432"/>
    <w:rsid w:val="00AF7366"/>
    <w:rsid w:val="00AF7972"/>
    <w:rsid w:val="00B006E2"/>
    <w:rsid w:val="00B027C4"/>
    <w:rsid w:val="00B03A08"/>
    <w:rsid w:val="00B03A2C"/>
    <w:rsid w:val="00B04B95"/>
    <w:rsid w:val="00B053A2"/>
    <w:rsid w:val="00B0571E"/>
    <w:rsid w:val="00B05FEC"/>
    <w:rsid w:val="00B10176"/>
    <w:rsid w:val="00B1189B"/>
    <w:rsid w:val="00B139BA"/>
    <w:rsid w:val="00B14129"/>
    <w:rsid w:val="00B1582A"/>
    <w:rsid w:val="00B1610F"/>
    <w:rsid w:val="00B20889"/>
    <w:rsid w:val="00B21624"/>
    <w:rsid w:val="00B22CF1"/>
    <w:rsid w:val="00B23EB9"/>
    <w:rsid w:val="00B24867"/>
    <w:rsid w:val="00B25ED8"/>
    <w:rsid w:val="00B26601"/>
    <w:rsid w:val="00B2679E"/>
    <w:rsid w:val="00B30718"/>
    <w:rsid w:val="00B30843"/>
    <w:rsid w:val="00B313A2"/>
    <w:rsid w:val="00B3224F"/>
    <w:rsid w:val="00B32685"/>
    <w:rsid w:val="00B329B4"/>
    <w:rsid w:val="00B32EB4"/>
    <w:rsid w:val="00B3320F"/>
    <w:rsid w:val="00B33E37"/>
    <w:rsid w:val="00B3436E"/>
    <w:rsid w:val="00B343F5"/>
    <w:rsid w:val="00B36466"/>
    <w:rsid w:val="00B369D5"/>
    <w:rsid w:val="00B36CA7"/>
    <w:rsid w:val="00B3782A"/>
    <w:rsid w:val="00B40AF0"/>
    <w:rsid w:val="00B4179C"/>
    <w:rsid w:val="00B4233D"/>
    <w:rsid w:val="00B423AB"/>
    <w:rsid w:val="00B42700"/>
    <w:rsid w:val="00B42CE4"/>
    <w:rsid w:val="00B435CE"/>
    <w:rsid w:val="00B43D9F"/>
    <w:rsid w:val="00B44FA0"/>
    <w:rsid w:val="00B45853"/>
    <w:rsid w:val="00B45DB3"/>
    <w:rsid w:val="00B45FCB"/>
    <w:rsid w:val="00B47456"/>
    <w:rsid w:val="00B50C89"/>
    <w:rsid w:val="00B51A0B"/>
    <w:rsid w:val="00B51C64"/>
    <w:rsid w:val="00B52C56"/>
    <w:rsid w:val="00B52EAB"/>
    <w:rsid w:val="00B532BF"/>
    <w:rsid w:val="00B5402F"/>
    <w:rsid w:val="00B5495D"/>
    <w:rsid w:val="00B54DAE"/>
    <w:rsid w:val="00B55848"/>
    <w:rsid w:val="00B561D2"/>
    <w:rsid w:val="00B5648F"/>
    <w:rsid w:val="00B56FE5"/>
    <w:rsid w:val="00B60A6B"/>
    <w:rsid w:val="00B6132E"/>
    <w:rsid w:val="00B62526"/>
    <w:rsid w:val="00B625B4"/>
    <w:rsid w:val="00B6302B"/>
    <w:rsid w:val="00B64130"/>
    <w:rsid w:val="00B6485A"/>
    <w:rsid w:val="00B64D6A"/>
    <w:rsid w:val="00B65382"/>
    <w:rsid w:val="00B66CA2"/>
    <w:rsid w:val="00B70718"/>
    <w:rsid w:val="00B72CDD"/>
    <w:rsid w:val="00B73466"/>
    <w:rsid w:val="00B748CA"/>
    <w:rsid w:val="00B74E24"/>
    <w:rsid w:val="00B75A19"/>
    <w:rsid w:val="00B76276"/>
    <w:rsid w:val="00B76ABE"/>
    <w:rsid w:val="00B7756C"/>
    <w:rsid w:val="00B7785C"/>
    <w:rsid w:val="00B806AE"/>
    <w:rsid w:val="00B806EB"/>
    <w:rsid w:val="00B813A6"/>
    <w:rsid w:val="00B837D0"/>
    <w:rsid w:val="00B83846"/>
    <w:rsid w:val="00B83FBE"/>
    <w:rsid w:val="00B841CB"/>
    <w:rsid w:val="00B84714"/>
    <w:rsid w:val="00B8563F"/>
    <w:rsid w:val="00B860CB"/>
    <w:rsid w:val="00B86BC9"/>
    <w:rsid w:val="00B86E08"/>
    <w:rsid w:val="00B871DF"/>
    <w:rsid w:val="00B93292"/>
    <w:rsid w:val="00B937F8"/>
    <w:rsid w:val="00B93943"/>
    <w:rsid w:val="00B93CAE"/>
    <w:rsid w:val="00B9414E"/>
    <w:rsid w:val="00B94A85"/>
    <w:rsid w:val="00B94EF0"/>
    <w:rsid w:val="00B96453"/>
    <w:rsid w:val="00B9699C"/>
    <w:rsid w:val="00B9747F"/>
    <w:rsid w:val="00B97549"/>
    <w:rsid w:val="00B976D4"/>
    <w:rsid w:val="00B97875"/>
    <w:rsid w:val="00B97D8B"/>
    <w:rsid w:val="00BA0595"/>
    <w:rsid w:val="00BA19C6"/>
    <w:rsid w:val="00BA1EAA"/>
    <w:rsid w:val="00BA2901"/>
    <w:rsid w:val="00BA2E7C"/>
    <w:rsid w:val="00BA47FC"/>
    <w:rsid w:val="00BA49AC"/>
    <w:rsid w:val="00BA5851"/>
    <w:rsid w:val="00BA5E35"/>
    <w:rsid w:val="00BA62B6"/>
    <w:rsid w:val="00BB0A06"/>
    <w:rsid w:val="00BB0CAF"/>
    <w:rsid w:val="00BB117C"/>
    <w:rsid w:val="00BB2141"/>
    <w:rsid w:val="00BB21B7"/>
    <w:rsid w:val="00BB3A4F"/>
    <w:rsid w:val="00BB4DF7"/>
    <w:rsid w:val="00BB6789"/>
    <w:rsid w:val="00BB7DE6"/>
    <w:rsid w:val="00BC1397"/>
    <w:rsid w:val="00BC1DAC"/>
    <w:rsid w:val="00BC3CDF"/>
    <w:rsid w:val="00BC469E"/>
    <w:rsid w:val="00BC50F3"/>
    <w:rsid w:val="00BC5103"/>
    <w:rsid w:val="00BC52D7"/>
    <w:rsid w:val="00BC6544"/>
    <w:rsid w:val="00BC7110"/>
    <w:rsid w:val="00BD0736"/>
    <w:rsid w:val="00BD254F"/>
    <w:rsid w:val="00BD2E07"/>
    <w:rsid w:val="00BD3567"/>
    <w:rsid w:val="00BD3748"/>
    <w:rsid w:val="00BD5C4D"/>
    <w:rsid w:val="00BD5D12"/>
    <w:rsid w:val="00BD6591"/>
    <w:rsid w:val="00BD679A"/>
    <w:rsid w:val="00BD67B0"/>
    <w:rsid w:val="00BD6B13"/>
    <w:rsid w:val="00BD6BF7"/>
    <w:rsid w:val="00BD742E"/>
    <w:rsid w:val="00BD7543"/>
    <w:rsid w:val="00BD7E90"/>
    <w:rsid w:val="00BD7F51"/>
    <w:rsid w:val="00BE058A"/>
    <w:rsid w:val="00BE0678"/>
    <w:rsid w:val="00BE190B"/>
    <w:rsid w:val="00BE23DE"/>
    <w:rsid w:val="00BE2D83"/>
    <w:rsid w:val="00BE4126"/>
    <w:rsid w:val="00BE43E6"/>
    <w:rsid w:val="00BE44ED"/>
    <w:rsid w:val="00BE48C5"/>
    <w:rsid w:val="00BE4E9A"/>
    <w:rsid w:val="00BE54FB"/>
    <w:rsid w:val="00BE5536"/>
    <w:rsid w:val="00BE5945"/>
    <w:rsid w:val="00BE5E8D"/>
    <w:rsid w:val="00BE6811"/>
    <w:rsid w:val="00BE7755"/>
    <w:rsid w:val="00BE7D75"/>
    <w:rsid w:val="00BF0509"/>
    <w:rsid w:val="00BF0701"/>
    <w:rsid w:val="00BF0967"/>
    <w:rsid w:val="00BF10F8"/>
    <w:rsid w:val="00BF1545"/>
    <w:rsid w:val="00BF271C"/>
    <w:rsid w:val="00BF288A"/>
    <w:rsid w:val="00BF3BBD"/>
    <w:rsid w:val="00BF4054"/>
    <w:rsid w:val="00BF4DD5"/>
    <w:rsid w:val="00BF4E96"/>
    <w:rsid w:val="00C00B44"/>
    <w:rsid w:val="00C0112D"/>
    <w:rsid w:val="00C016B6"/>
    <w:rsid w:val="00C01C5A"/>
    <w:rsid w:val="00C021A9"/>
    <w:rsid w:val="00C0256A"/>
    <w:rsid w:val="00C03460"/>
    <w:rsid w:val="00C03DA1"/>
    <w:rsid w:val="00C045AB"/>
    <w:rsid w:val="00C06849"/>
    <w:rsid w:val="00C06D4E"/>
    <w:rsid w:val="00C06D5A"/>
    <w:rsid w:val="00C0707F"/>
    <w:rsid w:val="00C0712A"/>
    <w:rsid w:val="00C07508"/>
    <w:rsid w:val="00C07894"/>
    <w:rsid w:val="00C07B53"/>
    <w:rsid w:val="00C10934"/>
    <w:rsid w:val="00C10C7A"/>
    <w:rsid w:val="00C110EE"/>
    <w:rsid w:val="00C1122B"/>
    <w:rsid w:val="00C11CFD"/>
    <w:rsid w:val="00C1234A"/>
    <w:rsid w:val="00C1271C"/>
    <w:rsid w:val="00C1322A"/>
    <w:rsid w:val="00C132BC"/>
    <w:rsid w:val="00C13CAD"/>
    <w:rsid w:val="00C14436"/>
    <w:rsid w:val="00C16643"/>
    <w:rsid w:val="00C16EBD"/>
    <w:rsid w:val="00C17A49"/>
    <w:rsid w:val="00C17C48"/>
    <w:rsid w:val="00C17E4A"/>
    <w:rsid w:val="00C2013D"/>
    <w:rsid w:val="00C220BC"/>
    <w:rsid w:val="00C22A27"/>
    <w:rsid w:val="00C2370F"/>
    <w:rsid w:val="00C23EE0"/>
    <w:rsid w:val="00C23F93"/>
    <w:rsid w:val="00C2538A"/>
    <w:rsid w:val="00C2642D"/>
    <w:rsid w:val="00C2658E"/>
    <w:rsid w:val="00C30965"/>
    <w:rsid w:val="00C30F09"/>
    <w:rsid w:val="00C30F77"/>
    <w:rsid w:val="00C31EAF"/>
    <w:rsid w:val="00C338DB"/>
    <w:rsid w:val="00C33D54"/>
    <w:rsid w:val="00C34315"/>
    <w:rsid w:val="00C34C2A"/>
    <w:rsid w:val="00C36B16"/>
    <w:rsid w:val="00C36CD3"/>
    <w:rsid w:val="00C37B39"/>
    <w:rsid w:val="00C40C80"/>
    <w:rsid w:val="00C41433"/>
    <w:rsid w:val="00C417D8"/>
    <w:rsid w:val="00C43680"/>
    <w:rsid w:val="00C4392F"/>
    <w:rsid w:val="00C43BF8"/>
    <w:rsid w:val="00C443A3"/>
    <w:rsid w:val="00C4456F"/>
    <w:rsid w:val="00C44F65"/>
    <w:rsid w:val="00C46725"/>
    <w:rsid w:val="00C46A75"/>
    <w:rsid w:val="00C46EF9"/>
    <w:rsid w:val="00C4756A"/>
    <w:rsid w:val="00C478F2"/>
    <w:rsid w:val="00C47AE3"/>
    <w:rsid w:val="00C47D9F"/>
    <w:rsid w:val="00C52239"/>
    <w:rsid w:val="00C52E44"/>
    <w:rsid w:val="00C5413A"/>
    <w:rsid w:val="00C54E52"/>
    <w:rsid w:val="00C55489"/>
    <w:rsid w:val="00C5556F"/>
    <w:rsid w:val="00C559D8"/>
    <w:rsid w:val="00C55E90"/>
    <w:rsid w:val="00C60427"/>
    <w:rsid w:val="00C605DF"/>
    <w:rsid w:val="00C60CC2"/>
    <w:rsid w:val="00C6115D"/>
    <w:rsid w:val="00C617D5"/>
    <w:rsid w:val="00C646A8"/>
    <w:rsid w:val="00C656D7"/>
    <w:rsid w:val="00C66124"/>
    <w:rsid w:val="00C67D91"/>
    <w:rsid w:val="00C70C8D"/>
    <w:rsid w:val="00C70FF7"/>
    <w:rsid w:val="00C7194C"/>
    <w:rsid w:val="00C728AC"/>
    <w:rsid w:val="00C7293E"/>
    <w:rsid w:val="00C72EE3"/>
    <w:rsid w:val="00C731D3"/>
    <w:rsid w:val="00C739CB"/>
    <w:rsid w:val="00C73C24"/>
    <w:rsid w:val="00C74391"/>
    <w:rsid w:val="00C7469C"/>
    <w:rsid w:val="00C749D2"/>
    <w:rsid w:val="00C74A5D"/>
    <w:rsid w:val="00C76600"/>
    <w:rsid w:val="00C7669B"/>
    <w:rsid w:val="00C800C8"/>
    <w:rsid w:val="00C80402"/>
    <w:rsid w:val="00C816C8"/>
    <w:rsid w:val="00C81D24"/>
    <w:rsid w:val="00C8293C"/>
    <w:rsid w:val="00C83576"/>
    <w:rsid w:val="00C83D1A"/>
    <w:rsid w:val="00C841F7"/>
    <w:rsid w:val="00C8445E"/>
    <w:rsid w:val="00C850F9"/>
    <w:rsid w:val="00C85888"/>
    <w:rsid w:val="00C873B7"/>
    <w:rsid w:val="00C87BE8"/>
    <w:rsid w:val="00C921A1"/>
    <w:rsid w:val="00C95521"/>
    <w:rsid w:val="00C96638"/>
    <w:rsid w:val="00C97A3C"/>
    <w:rsid w:val="00C97FDA"/>
    <w:rsid w:val="00CA0882"/>
    <w:rsid w:val="00CA0DFC"/>
    <w:rsid w:val="00CA194B"/>
    <w:rsid w:val="00CA1A97"/>
    <w:rsid w:val="00CA1EF3"/>
    <w:rsid w:val="00CA2D71"/>
    <w:rsid w:val="00CA3AF7"/>
    <w:rsid w:val="00CA449B"/>
    <w:rsid w:val="00CA47F1"/>
    <w:rsid w:val="00CA5277"/>
    <w:rsid w:val="00CA584A"/>
    <w:rsid w:val="00CA7848"/>
    <w:rsid w:val="00CA7D93"/>
    <w:rsid w:val="00CB0F49"/>
    <w:rsid w:val="00CB1642"/>
    <w:rsid w:val="00CB1A8C"/>
    <w:rsid w:val="00CB210B"/>
    <w:rsid w:val="00CB2553"/>
    <w:rsid w:val="00CB2A16"/>
    <w:rsid w:val="00CB3163"/>
    <w:rsid w:val="00CB3FFA"/>
    <w:rsid w:val="00CB506C"/>
    <w:rsid w:val="00CB56C8"/>
    <w:rsid w:val="00CB599F"/>
    <w:rsid w:val="00CB66A6"/>
    <w:rsid w:val="00CB76BB"/>
    <w:rsid w:val="00CB7D98"/>
    <w:rsid w:val="00CC185E"/>
    <w:rsid w:val="00CC3D90"/>
    <w:rsid w:val="00CC3FDD"/>
    <w:rsid w:val="00CC6D2E"/>
    <w:rsid w:val="00CC6D57"/>
    <w:rsid w:val="00CC78BB"/>
    <w:rsid w:val="00CD0BA6"/>
    <w:rsid w:val="00CD0E47"/>
    <w:rsid w:val="00CD154A"/>
    <w:rsid w:val="00CD2103"/>
    <w:rsid w:val="00CD261D"/>
    <w:rsid w:val="00CD2A47"/>
    <w:rsid w:val="00CD353D"/>
    <w:rsid w:val="00CD44F8"/>
    <w:rsid w:val="00CD5A3B"/>
    <w:rsid w:val="00CD5DF7"/>
    <w:rsid w:val="00CD606F"/>
    <w:rsid w:val="00CD6DDA"/>
    <w:rsid w:val="00CD7729"/>
    <w:rsid w:val="00CE058E"/>
    <w:rsid w:val="00CE11B4"/>
    <w:rsid w:val="00CE3826"/>
    <w:rsid w:val="00CE3970"/>
    <w:rsid w:val="00CE39A0"/>
    <w:rsid w:val="00CE492E"/>
    <w:rsid w:val="00CE4C85"/>
    <w:rsid w:val="00CE4F23"/>
    <w:rsid w:val="00CE51C1"/>
    <w:rsid w:val="00CE5570"/>
    <w:rsid w:val="00CE5A56"/>
    <w:rsid w:val="00CE5C41"/>
    <w:rsid w:val="00CE62DB"/>
    <w:rsid w:val="00CE6815"/>
    <w:rsid w:val="00CE71FB"/>
    <w:rsid w:val="00CE77CE"/>
    <w:rsid w:val="00CF0942"/>
    <w:rsid w:val="00CF1953"/>
    <w:rsid w:val="00CF1CC6"/>
    <w:rsid w:val="00CF448F"/>
    <w:rsid w:val="00CF4843"/>
    <w:rsid w:val="00CF5F10"/>
    <w:rsid w:val="00CF725D"/>
    <w:rsid w:val="00D00072"/>
    <w:rsid w:val="00D000EE"/>
    <w:rsid w:val="00D00C32"/>
    <w:rsid w:val="00D0131B"/>
    <w:rsid w:val="00D02A36"/>
    <w:rsid w:val="00D02DC9"/>
    <w:rsid w:val="00D03DA3"/>
    <w:rsid w:val="00D04744"/>
    <w:rsid w:val="00D060FA"/>
    <w:rsid w:val="00D0621A"/>
    <w:rsid w:val="00D1086F"/>
    <w:rsid w:val="00D109ED"/>
    <w:rsid w:val="00D10DBB"/>
    <w:rsid w:val="00D113B6"/>
    <w:rsid w:val="00D12957"/>
    <w:rsid w:val="00D12C62"/>
    <w:rsid w:val="00D12D9C"/>
    <w:rsid w:val="00D1330A"/>
    <w:rsid w:val="00D14DEA"/>
    <w:rsid w:val="00D14E48"/>
    <w:rsid w:val="00D151C2"/>
    <w:rsid w:val="00D152A0"/>
    <w:rsid w:val="00D169DC"/>
    <w:rsid w:val="00D171B1"/>
    <w:rsid w:val="00D211DB"/>
    <w:rsid w:val="00D21A05"/>
    <w:rsid w:val="00D227D7"/>
    <w:rsid w:val="00D234DB"/>
    <w:rsid w:val="00D23719"/>
    <w:rsid w:val="00D2388F"/>
    <w:rsid w:val="00D241D6"/>
    <w:rsid w:val="00D25499"/>
    <w:rsid w:val="00D25686"/>
    <w:rsid w:val="00D25B8A"/>
    <w:rsid w:val="00D263D2"/>
    <w:rsid w:val="00D3000F"/>
    <w:rsid w:val="00D30583"/>
    <w:rsid w:val="00D30A13"/>
    <w:rsid w:val="00D315F4"/>
    <w:rsid w:val="00D318D6"/>
    <w:rsid w:val="00D319DE"/>
    <w:rsid w:val="00D3216D"/>
    <w:rsid w:val="00D322D5"/>
    <w:rsid w:val="00D322E5"/>
    <w:rsid w:val="00D322EA"/>
    <w:rsid w:val="00D33817"/>
    <w:rsid w:val="00D3471A"/>
    <w:rsid w:val="00D3483E"/>
    <w:rsid w:val="00D35124"/>
    <w:rsid w:val="00D35332"/>
    <w:rsid w:val="00D35CAF"/>
    <w:rsid w:val="00D36423"/>
    <w:rsid w:val="00D36457"/>
    <w:rsid w:val="00D37B14"/>
    <w:rsid w:val="00D40CF3"/>
    <w:rsid w:val="00D41116"/>
    <w:rsid w:val="00D4150B"/>
    <w:rsid w:val="00D41948"/>
    <w:rsid w:val="00D42520"/>
    <w:rsid w:val="00D42A45"/>
    <w:rsid w:val="00D43915"/>
    <w:rsid w:val="00D440DC"/>
    <w:rsid w:val="00D440E6"/>
    <w:rsid w:val="00D4446E"/>
    <w:rsid w:val="00D45420"/>
    <w:rsid w:val="00D46428"/>
    <w:rsid w:val="00D471E6"/>
    <w:rsid w:val="00D47B76"/>
    <w:rsid w:val="00D47F1B"/>
    <w:rsid w:val="00D47F33"/>
    <w:rsid w:val="00D503BF"/>
    <w:rsid w:val="00D504EB"/>
    <w:rsid w:val="00D50AAB"/>
    <w:rsid w:val="00D51040"/>
    <w:rsid w:val="00D52115"/>
    <w:rsid w:val="00D52A6F"/>
    <w:rsid w:val="00D5309C"/>
    <w:rsid w:val="00D536D5"/>
    <w:rsid w:val="00D54744"/>
    <w:rsid w:val="00D56998"/>
    <w:rsid w:val="00D56B59"/>
    <w:rsid w:val="00D56E3D"/>
    <w:rsid w:val="00D57E45"/>
    <w:rsid w:val="00D60ED5"/>
    <w:rsid w:val="00D61962"/>
    <w:rsid w:val="00D6233E"/>
    <w:rsid w:val="00D62544"/>
    <w:rsid w:val="00D62BE1"/>
    <w:rsid w:val="00D633DD"/>
    <w:rsid w:val="00D634FF"/>
    <w:rsid w:val="00D635BF"/>
    <w:rsid w:val="00D63C25"/>
    <w:rsid w:val="00D64A51"/>
    <w:rsid w:val="00D65016"/>
    <w:rsid w:val="00D66C74"/>
    <w:rsid w:val="00D66D37"/>
    <w:rsid w:val="00D672F4"/>
    <w:rsid w:val="00D672F7"/>
    <w:rsid w:val="00D6786E"/>
    <w:rsid w:val="00D7013D"/>
    <w:rsid w:val="00D70275"/>
    <w:rsid w:val="00D704AF"/>
    <w:rsid w:val="00D708D1"/>
    <w:rsid w:val="00D7137A"/>
    <w:rsid w:val="00D713E5"/>
    <w:rsid w:val="00D71703"/>
    <w:rsid w:val="00D72D54"/>
    <w:rsid w:val="00D734FF"/>
    <w:rsid w:val="00D736BF"/>
    <w:rsid w:val="00D73A08"/>
    <w:rsid w:val="00D74C92"/>
    <w:rsid w:val="00D77923"/>
    <w:rsid w:val="00D77FCB"/>
    <w:rsid w:val="00D8081C"/>
    <w:rsid w:val="00D808E4"/>
    <w:rsid w:val="00D80918"/>
    <w:rsid w:val="00D80EEC"/>
    <w:rsid w:val="00D8137E"/>
    <w:rsid w:val="00D816E4"/>
    <w:rsid w:val="00D819E4"/>
    <w:rsid w:val="00D826C7"/>
    <w:rsid w:val="00D8318E"/>
    <w:rsid w:val="00D8345B"/>
    <w:rsid w:val="00D83BD5"/>
    <w:rsid w:val="00D84316"/>
    <w:rsid w:val="00D84550"/>
    <w:rsid w:val="00D8475E"/>
    <w:rsid w:val="00D85232"/>
    <w:rsid w:val="00D869EC"/>
    <w:rsid w:val="00D8745B"/>
    <w:rsid w:val="00D90071"/>
    <w:rsid w:val="00D90EB6"/>
    <w:rsid w:val="00D92D36"/>
    <w:rsid w:val="00D9342D"/>
    <w:rsid w:val="00D94334"/>
    <w:rsid w:val="00D948AE"/>
    <w:rsid w:val="00D952AA"/>
    <w:rsid w:val="00D95E28"/>
    <w:rsid w:val="00D96178"/>
    <w:rsid w:val="00D964FF"/>
    <w:rsid w:val="00D96741"/>
    <w:rsid w:val="00D96DDC"/>
    <w:rsid w:val="00D97249"/>
    <w:rsid w:val="00D97494"/>
    <w:rsid w:val="00D9775F"/>
    <w:rsid w:val="00DA10D3"/>
    <w:rsid w:val="00DA1E6A"/>
    <w:rsid w:val="00DA2071"/>
    <w:rsid w:val="00DA284A"/>
    <w:rsid w:val="00DA2A1F"/>
    <w:rsid w:val="00DA2A2A"/>
    <w:rsid w:val="00DA33A3"/>
    <w:rsid w:val="00DA38A1"/>
    <w:rsid w:val="00DA3CAA"/>
    <w:rsid w:val="00DA3E5A"/>
    <w:rsid w:val="00DA4C89"/>
    <w:rsid w:val="00DA4D7C"/>
    <w:rsid w:val="00DB0104"/>
    <w:rsid w:val="00DB0426"/>
    <w:rsid w:val="00DB087F"/>
    <w:rsid w:val="00DB1EA3"/>
    <w:rsid w:val="00DB211D"/>
    <w:rsid w:val="00DB22C2"/>
    <w:rsid w:val="00DB44FD"/>
    <w:rsid w:val="00DB5267"/>
    <w:rsid w:val="00DB5EA1"/>
    <w:rsid w:val="00DB6932"/>
    <w:rsid w:val="00DB7332"/>
    <w:rsid w:val="00DB74F6"/>
    <w:rsid w:val="00DB7E63"/>
    <w:rsid w:val="00DC0BB5"/>
    <w:rsid w:val="00DC151D"/>
    <w:rsid w:val="00DC1BC3"/>
    <w:rsid w:val="00DC2801"/>
    <w:rsid w:val="00DC2E9E"/>
    <w:rsid w:val="00DC30E1"/>
    <w:rsid w:val="00DC3481"/>
    <w:rsid w:val="00DC3E13"/>
    <w:rsid w:val="00DC4F59"/>
    <w:rsid w:val="00DC51CA"/>
    <w:rsid w:val="00DC5829"/>
    <w:rsid w:val="00DC5E68"/>
    <w:rsid w:val="00DC5EE8"/>
    <w:rsid w:val="00DC7304"/>
    <w:rsid w:val="00DD0543"/>
    <w:rsid w:val="00DD0FEA"/>
    <w:rsid w:val="00DD1571"/>
    <w:rsid w:val="00DD351E"/>
    <w:rsid w:val="00DD381F"/>
    <w:rsid w:val="00DD3922"/>
    <w:rsid w:val="00DD471A"/>
    <w:rsid w:val="00DD4C96"/>
    <w:rsid w:val="00DD5255"/>
    <w:rsid w:val="00DD609B"/>
    <w:rsid w:val="00DD62DF"/>
    <w:rsid w:val="00DD6BC7"/>
    <w:rsid w:val="00DD7E6C"/>
    <w:rsid w:val="00DE026F"/>
    <w:rsid w:val="00DE02E9"/>
    <w:rsid w:val="00DE03C8"/>
    <w:rsid w:val="00DE0729"/>
    <w:rsid w:val="00DE089C"/>
    <w:rsid w:val="00DE0AEA"/>
    <w:rsid w:val="00DE0FA2"/>
    <w:rsid w:val="00DE1ED0"/>
    <w:rsid w:val="00DE28F3"/>
    <w:rsid w:val="00DE2B8D"/>
    <w:rsid w:val="00DE2F9F"/>
    <w:rsid w:val="00DE3F74"/>
    <w:rsid w:val="00DE42F8"/>
    <w:rsid w:val="00DE5594"/>
    <w:rsid w:val="00DE6299"/>
    <w:rsid w:val="00DE642C"/>
    <w:rsid w:val="00DE6644"/>
    <w:rsid w:val="00DE69CF"/>
    <w:rsid w:val="00DE7246"/>
    <w:rsid w:val="00DE7305"/>
    <w:rsid w:val="00DF008D"/>
    <w:rsid w:val="00DF00EC"/>
    <w:rsid w:val="00DF139D"/>
    <w:rsid w:val="00DF2231"/>
    <w:rsid w:val="00DF2269"/>
    <w:rsid w:val="00DF2E06"/>
    <w:rsid w:val="00DF3677"/>
    <w:rsid w:val="00DF4219"/>
    <w:rsid w:val="00DF45D9"/>
    <w:rsid w:val="00DF469C"/>
    <w:rsid w:val="00DF57F9"/>
    <w:rsid w:val="00DF5928"/>
    <w:rsid w:val="00DF65A8"/>
    <w:rsid w:val="00DF67A7"/>
    <w:rsid w:val="00E0003E"/>
    <w:rsid w:val="00E01058"/>
    <w:rsid w:val="00E01143"/>
    <w:rsid w:val="00E0132A"/>
    <w:rsid w:val="00E01813"/>
    <w:rsid w:val="00E027E2"/>
    <w:rsid w:val="00E02CA6"/>
    <w:rsid w:val="00E035DF"/>
    <w:rsid w:val="00E036F9"/>
    <w:rsid w:val="00E03A13"/>
    <w:rsid w:val="00E03A39"/>
    <w:rsid w:val="00E03CA7"/>
    <w:rsid w:val="00E05E13"/>
    <w:rsid w:val="00E05E42"/>
    <w:rsid w:val="00E061D8"/>
    <w:rsid w:val="00E065A3"/>
    <w:rsid w:val="00E06EBD"/>
    <w:rsid w:val="00E074F6"/>
    <w:rsid w:val="00E07584"/>
    <w:rsid w:val="00E07C4E"/>
    <w:rsid w:val="00E1058C"/>
    <w:rsid w:val="00E112F7"/>
    <w:rsid w:val="00E117EF"/>
    <w:rsid w:val="00E1252F"/>
    <w:rsid w:val="00E12806"/>
    <w:rsid w:val="00E13C16"/>
    <w:rsid w:val="00E1425B"/>
    <w:rsid w:val="00E1615C"/>
    <w:rsid w:val="00E163DF"/>
    <w:rsid w:val="00E20F40"/>
    <w:rsid w:val="00E20F4E"/>
    <w:rsid w:val="00E218AA"/>
    <w:rsid w:val="00E22EA4"/>
    <w:rsid w:val="00E24E3C"/>
    <w:rsid w:val="00E257C2"/>
    <w:rsid w:val="00E2589F"/>
    <w:rsid w:val="00E25922"/>
    <w:rsid w:val="00E25BBB"/>
    <w:rsid w:val="00E25FDA"/>
    <w:rsid w:val="00E2715C"/>
    <w:rsid w:val="00E27894"/>
    <w:rsid w:val="00E27AB5"/>
    <w:rsid w:val="00E27E56"/>
    <w:rsid w:val="00E309B5"/>
    <w:rsid w:val="00E30CFE"/>
    <w:rsid w:val="00E318F3"/>
    <w:rsid w:val="00E332CA"/>
    <w:rsid w:val="00E340C2"/>
    <w:rsid w:val="00E3460E"/>
    <w:rsid w:val="00E34664"/>
    <w:rsid w:val="00E34AA4"/>
    <w:rsid w:val="00E34B18"/>
    <w:rsid w:val="00E35BB2"/>
    <w:rsid w:val="00E36080"/>
    <w:rsid w:val="00E372CF"/>
    <w:rsid w:val="00E37D41"/>
    <w:rsid w:val="00E4117A"/>
    <w:rsid w:val="00E41876"/>
    <w:rsid w:val="00E431B8"/>
    <w:rsid w:val="00E434F0"/>
    <w:rsid w:val="00E441BA"/>
    <w:rsid w:val="00E44551"/>
    <w:rsid w:val="00E450AE"/>
    <w:rsid w:val="00E4695A"/>
    <w:rsid w:val="00E47D63"/>
    <w:rsid w:val="00E505B1"/>
    <w:rsid w:val="00E5089A"/>
    <w:rsid w:val="00E51CC7"/>
    <w:rsid w:val="00E51FE2"/>
    <w:rsid w:val="00E52C10"/>
    <w:rsid w:val="00E52C93"/>
    <w:rsid w:val="00E52EB2"/>
    <w:rsid w:val="00E535DB"/>
    <w:rsid w:val="00E5371E"/>
    <w:rsid w:val="00E54CE0"/>
    <w:rsid w:val="00E54D8D"/>
    <w:rsid w:val="00E55092"/>
    <w:rsid w:val="00E55D3F"/>
    <w:rsid w:val="00E55E8B"/>
    <w:rsid w:val="00E56BBB"/>
    <w:rsid w:val="00E5738E"/>
    <w:rsid w:val="00E57AAB"/>
    <w:rsid w:val="00E57BB7"/>
    <w:rsid w:val="00E6070A"/>
    <w:rsid w:val="00E60818"/>
    <w:rsid w:val="00E615CC"/>
    <w:rsid w:val="00E62DE5"/>
    <w:rsid w:val="00E6394C"/>
    <w:rsid w:val="00E639FB"/>
    <w:rsid w:val="00E64864"/>
    <w:rsid w:val="00E64E41"/>
    <w:rsid w:val="00E652C4"/>
    <w:rsid w:val="00E65BA2"/>
    <w:rsid w:val="00E65D1E"/>
    <w:rsid w:val="00E67B6F"/>
    <w:rsid w:val="00E71476"/>
    <w:rsid w:val="00E72187"/>
    <w:rsid w:val="00E7298B"/>
    <w:rsid w:val="00E731E3"/>
    <w:rsid w:val="00E73606"/>
    <w:rsid w:val="00E7540E"/>
    <w:rsid w:val="00E756E7"/>
    <w:rsid w:val="00E7572F"/>
    <w:rsid w:val="00E769D6"/>
    <w:rsid w:val="00E774D2"/>
    <w:rsid w:val="00E77654"/>
    <w:rsid w:val="00E77B37"/>
    <w:rsid w:val="00E80070"/>
    <w:rsid w:val="00E810B7"/>
    <w:rsid w:val="00E82840"/>
    <w:rsid w:val="00E82AD6"/>
    <w:rsid w:val="00E82BEC"/>
    <w:rsid w:val="00E853E7"/>
    <w:rsid w:val="00E85483"/>
    <w:rsid w:val="00E85575"/>
    <w:rsid w:val="00E8588F"/>
    <w:rsid w:val="00E85F7D"/>
    <w:rsid w:val="00E861AA"/>
    <w:rsid w:val="00E8640D"/>
    <w:rsid w:val="00E866DA"/>
    <w:rsid w:val="00E86BFA"/>
    <w:rsid w:val="00E86EE7"/>
    <w:rsid w:val="00E8794D"/>
    <w:rsid w:val="00E87EB6"/>
    <w:rsid w:val="00E90186"/>
    <w:rsid w:val="00E90369"/>
    <w:rsid w:val="00E90723"/>
    <w:rsid w:val="00E908F3"/>
    <w:rsid w:val="00E90F2D"/>
    <w:rsid w:val="00E9227A"/>
    <w:rsid w:val="00E92405"/>
    <w:rsid w:val="00E92A41"/>
    <w:rsid w:val="00E93122"/>
    <w:rsid w:val="00E93722"/>
    <w:rsid w:val="00E93922"/>
    <w:rsid w:val="00E93CEC"/>
    <w:rsid w:val="00E94CFA"/>
    <w:rsid w:val="00E94D9B"/>
    <w:rsid w:val="00E94F59"/>
    <w:rsid w:val="00E9568F"/>
    <w:rsid w:val="00E957DE"/>
    <w:rsid w:val="00E95F3F"/>
    <w:rsid w:val="00E97F4E"/>
    <w:rsid w:val="00EA273B"/>
    <w:rsid w:val="00EA2B05"/>
    <w:rsid w:val="00EA2C72"/>
    <w:rsid w:val="00EA2FA8"/>
    <w:rsid w:val="00EA3171"/>
    <w:rsid w:val="00EA340A"/>
    <w:rsid w:val="00EA3C87"/>
    <w:rsid w:val="00EA4767"/>
    <w:rsid w:val="00EA481E"/>
    <w:rsid w:val="00EA64D4"/>
    <w:rsid w:val="00EA7172"/>
    <w:rsid w:val="00EB0403"/>
    <w:rsid w:val="00EB0CFF"/>
    <w:rsid w:val="00EB2801"/>
    <w:rsid w:val="00EB40F3"/>
    <w:rsid w:val="00EB51BF"/>
    <w:rsid w:val="00EB5DB4"/>
    <w:rsid w:val="00EB616E"/>
    <w:rsid w:val="00EB6360"/>
    <w:rsid w:val="00EB6C17"/>
    <w:rsid w:val="00EB7566"/>
    <w:rsid w:val="00EB7894"/>
    <w:rsid w:val="00EB7E0B"/>
    <w:rsid w:val="00EC07B3"/>
    <w:rsid w:val="00EC0904"/>
    <w:rsid w:val="00EC0D9E"/>
    <w:rsid w:val="00EC0DF5"/>
    <w:rsid w:val="00EC1F30"/>
    <w:rsid w:val="00EC22E4"/>
    <w:rsid w:val="00EC346E"/>
    <w:rsid w:val="00EC3834"/>
    <w:rsid w:val="00EC3F3A"/>
    <w:rsid w:val="00EC4D24"/>
    <w:rsid w:val="00EC53FE"/>
    <w:rsid w:val="00EC5A6D"/>
    <w:rsid w:val="00EC7657"/>
    <w:rsid w:val="00EC7A42"/>
    <w:rsid w:val="00ED10AA"/>
    <w:rsid w:val="00ED19DC"/>
    <w:rsid w:val="00ED4E6D"/>
    <w:rsid w:val="00ED65FB"/>
    <w:rsid w:val="00ED745C"/>
    <w:rsid w:val="00ED7841"/>
    <w:rsid w:val="00EE1886"/>
    <w:rsid w:val="00EE2D3A"/>
    <w:rsid w:val="00EE3BCA"/>
    <w:rsid w:val="00EE4F72"/>
    <w:rsid w:val="00EE579D"/>
    <w:rsid w:val="00EE76A3"/>
    <w:rsid w:val="00EE7DD4"/>
    <w:rsid w:val="00EF2D14"/>
    <w:rsid w:val="00EF2FFD"/>
    <w:rsid w:val="00EF3996"/>
    <w:rsid w:val="00EF3B28"/>
    <w:rsid w:val="00EF43F3"/>
    <w:rsid w:val="00EF583D"/>
    <w:rsid w:val="00EF6669"/>
    <w:rsid w:val="00EF745B"/>
    <w:rsid w:val="00F00917"/>
    <w:rsid w:val="00F01830"/>
    <w:rsid w:val="00F023D0"/>
    <w:rsid w:val="00F02575"/>
    <w:rsid w:val="00F03241"/>
    <w:rsid w:val="00F03C44"/>
    <w:rsid w:val="00F046E2"/>
    <w:rsid w:val="00F0493F"/>
    <w:rsid w:val="00F04C74"/>
    <w:rsid w:val="00F057E4"/>
    <w:rsid w:val="00F07523"/>
    <w:rsid w:val="00F105A0"/>
    <w:rsid w:val="00F12476"/>
    <w:rsid w:val="00F13707"/>
    <w:rsid w:val="00F13720"/>
    <w:rsid w:val="00F13D79"/>
    <w:rsid w:val="00F144AF"/>
    <w:rsid w:val="00F1485B"/>
    <w:rsid w:val="00F14969"/>
    <w:rsid w:val="00F153C2"/>
    <w:rsid w:val="00F15CCC"/>
    <w:rsid w:val="00F15E74"/>
    <w:rsid w:val="00F16A55"/>
    <w:rsid w:val="00F17445"/>
    <w:rsid w:val="00F21933"/>
    <w:rsid w:val="00F222F9"/>
    <w:rsid w:val="00F22673"/>
    <w:rsid w:val="00F22D89"/>
    <w:rsid w:val="00F22D93"/>
    <w:rsid w:val="00F236BC"/>
    <w:rsid w:val="00F23B42"/>
    <w:rsid w:val="00F23C99"/>
    <w:rsid w:val="00F261D4"/>
    <w:rsid w:val="00F26606"/>
    <w:rsid w:val="00F27F00"/>
    <w:rsid w:val="00F30E20"/>
    <w:rsid w:val="00F3155F"/>
    <w:rsid w:val="00F316B2"/>
    <w:rsid w:val="00F3181C"/>
    <w:rsid w:val="00F323D5"/>
    <w:rsid w:val="00F34C57"/>
    <w:rsid w:val="00F34EB2"/>
    <w:rsid w:val="00F35A9B"/>
    <w:rsid w:val="00F35B47"/>
    <w:rsid w:val="00F371D7"/>
    <w:rsid w:val="00F37EA2"/>
    <w:rsid w:val="00F4032B"/>
    <w:rsid w:val="00F4076E"/>
    <w:rsid w:val="00F407AC"/>
    <w:rsid w:val="00F41726"/>
    <w:rsid w:val="00F42173"/>
    <w:rsid w:val="00F4281B"/>
    <w:rsid w:val="00F4446C"/>
    <w:rsid w:val="00F44668"/>
    <w:rsid w:val="00F45E2E"/>
    <w:rsid w:val="00F46136"/>
    <w:rsid w:val="00F473AD"/>
    <w:rsid w:val="00F47E38"/>
    <w:rsid w:val="00F5078D"/>
    <w:rsid w:val="00F50D7B"/>
    <w:rsid w:val="00F52600"/>
    <w:rsid w:val="00F52EF3"/>
    <w:rsid w:val="00F53642"/>
    <w:rsid w:val="00F53666"/>
    <w:rsid w:val="00F53755"/>
    <w:rsid w:val="00F53D8D"/>
    <w:rsid w:val="00F56CE7"/>
    <w:rsid w:val="00F572C6"/>
    <w:rsid w:val="00F610EF"/>
    <w:rsid w:val="00F611B1"/>
    <w:rsid w:val="00F619A5"/>
    <w:rsid w:val="00F61BA7"/>
    <w:rsid w:val="00F61E02"/>
    <w:rsid w:val="00F61F6E"/>
    <w:rsid w:val="00F62846"/>
    <w:rsid w:val="00F62E0F"/>
    <w:rsid w:val="00F63626"/>
    <w:rsid w:val="00F63798"/>
    <w:rsid w:val="00F63A9E"/>
    <w:rsid w:val="00F65F72"/>
    <w:rsid w:val="00F6601C"/>
    <w:rsid w:val="00F6620F"/>
    <w:rsid w:val="00F70F7F"/>
    <w:rsid w:val="00F7134B"/>
    <w:rsid w:val="00F71926"/>
    <w:rsid w:val="00F7207C"/>
    <w:rsid w:val="00F722A7"/>
    <w:rsid w:val="00F72F48"/>
    <w:rsid w:val="00F73E62"/>
    <w:rsid w:val="00F73F9F"/>
    <w:rsid w:val="00F73FAA"/>
    <w:rsid w:val="00F75341"/>
    <w:rsid w:val="00F75400"/>
    <w:rsid w:val="00F759BE"/>
    <w:rsid w:val="00F759F5"/>
    <w:rsid w:val="00F759F9"/>
    <w:rsid w:val="00F771E9"/>
    <w:rsid w:val="00F817C0"/>
    <w:rsid w:val="00F82631"/>
    <w:rsid w:val="00F827BD"/>
    <w:rsid w:val="00F8393B"/>
    <w:rsid w:val="00F84AC8"/>
    <w:rsid w:val="00F8543B"/>
    <w:rsid w:val="00F85483"/>
    <w:rsid w:val="00F862AC"/>
    <w:rsid w:val="00F8637F"/>
    <w:rsid w:val="00F90A64"/>
    <w:rsid w:val="00F91543"/>
    <w:rsid w:val="00F91F12"/>
    <w:rsid w:val="00F92917"/>
    <w:rsid w:val="00F92C44"/>
    <w:rsid w:val="00F93330"/>
    <w:rsid w:val="00F934F7"/>
    <w:rsid w:val="00F95823"/>
    <w:rsid w:val="00F95B00"/>
    <w:rsid w:val="00F9609C"/>
    <w:rsid w:val="00F9652F"/>
    <w:rsid w:val="00F96648"/>
    <w:rsid w:val="00F97BC2"/>
    <w:rsid w:val="00FA0437"/>
    <w:rsid w:val="00FA0698"/>
    <w:rsid w:val="00FA07F4"/>
    <w:rsid w:val="00FA0F74"/>
    <w:rsid w:val="00FA116D"/>
    <w:rsid w:val="00FA1295"/>
    <w:rsid w:val="00FA16BC"/>
    <w:rsid w:val="00FA1935"/>
    <w:rsid w:val="00FA1C9F"/>
    <w:rsid w:val="00FA23DC"/>
    <w:rsid w:val="00FA266C"/>
    <w:rsid w:val="00FA282C"/>
    <w:rsid w:val="00FA2DDE"/>
    <w:rsid w:val="00FA33E9"/>
    <w:rsid w:val="00FA37AD"/>
    <w:rsid w:val="00FA3A1C"/>
    <w:rsid w:val="00FA3D68"/>
    <w:rsid w:val="00FA3F8A"/>
    <w:rsid w:val="00FA51AB"/>
    <w:rsid w:val="00FA5999"/>
    <w:rsid w:val="00FA6CC9"/>
    <w:rsid w:val="00FB002F"/>
    <w:rsid w:val="00FB09F4"/>
    <w:rsid w:val="00FB0EDE"/>
    <w:rsid w:val="00FB1B10"/>
    <w:rsid w:val="00FB1BBF"/>
    <w:rsid w:val="00FB1D9D"/>
    <w:rsid w:val="00FB2B7A"/>
    <w:rsid w:val="00FB2DD5"/>
    <w:rsid w:val="00FB3189"/>
    <w:rsid w:val="00FB36C2"/>
    <w:rsid w:val="00FB37CB"/>
    <w:rsid w:val="00FB4B78"/>
    <w:rsid w:val="00FB52B7"/>
    <w:rsid w:val="00FB5D7B"/>
    <w:rsid w:val="00FB6A5D"/>
    <w:rsid w:val="00FB7DD3"/>
    <w:rsid w:val="00FB7E39"/>
    <w:rsid w:val="00FC1046"/>
    <w:rsid w:val="00FC28CF"/>
    <w:rsid w:val="00FC784E"/>
    <w:rsid w:val="00FD0911"/>
    <w:rsid w:val="00FD0961"/>
    <w:rsid w:val="00FD1DDE"/>
    <w:rsid w:val="00FD1EF4"/>
    <w:rsid w:val="00FD202F"/>
    <w:rsid w:val="00FD280E"/>
    <w:rsid w:val="00FD2ECE"/>
    <w:rsid w:val="00FD36DE"/>
    <w:rsid w:val="00FD494F"/>
    <w:rsid w:val="00FD504F"/>
    <w:rsid w:val="00FD5922"/>
    <w:rsid w:val="00FD5AB0"/>
    <w:rsid w:val="00FD5DEE"/>
    <w:rsid w:val="00FD604D"/>
    <w:rsid w:val="00FD6290"/>
    <w:rsid w:val="00FD6AEF"/>
    <w:rsid w:val="00FD7B2F"/>
    <w:rsid w:val="00FE0794"/>
    <w:rsid w:val="00FE0D6E"/>
    <w:rsid w:val="00FE1419"/>
    <w:rsid w:val="00FE1921"/>
    <w:rsid w:val="00FE1B0E"/>
    <w:rsid w:val="00FE3828"/>
    <w:rsid w:val="00FE3949"/>
    <w:rsid w:val="00FE3ADD"/>
    <w:rsid w:val="00FE69C7"/>
    <w:rsid w:val="00FE7048"/>
    <w:rsid w:val="00FE7C23"/>
    <w:rsid w:val="00FF1701"/>
    <w:rsid w:val="00FF1984"/>
    <w:rsid w:val="00FF1FF9"/>
    <w:rsid w:val="00FF2C8E"/>
    <w:rsid w:val="00FF45D6"/>
    <w:rsid w:val="00FF4D8A"/>
    <w:rsid w:val="00FF6ECC"/>
    <w:rsid w:val="00FF7E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Mang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60AF"/>
    <w:pPr>
      <w:spacing w:line="360" w:lineRule="auto"/>
      <w:jc w:val="both"/>
    </w:pPr>
    <w:rPr>
      <w:rFonts w:ascii="Century Gothic" w:hAnsi="Century Gothic"/>
      <w:sz w:val="24"/>
      <w:szCs w:val="24"/>
    </w:rPr>
  </w:style>
  <w:style w:type="paragraph" w:styleId="Heading1">
    <w:name w:val="heading 1"/>
    <w:aliases w:val="10pt,MASTHEAD,Section,HEADING 1,Section Heading,MainHeader,1 ghost,g,Main heading,App1,1,h1,L1,Article Heading,EASI 1,Hoofdstuk,Heading 1-nonum,Chapter Title"/>
    <w:basedOn w:val="Normal"/>
    <w:next w:val="Normal"/>
    <w:qFormat/>
    <w:rsid w:val="006D60AF"/>
    <w:pPr>
      <w:keepNext/>
      <w:numPr>
        <w:numId w:val="2"/>
      </w:numPr>
      <w:shd w:val="clear" w:color="auto" w:fill="336699"/>
      <w:spacing w:before="240" w:after="60"/>
      <w:outlineLvl w:val="0"/>
    </w:pPr>
    <w:rPr>
      <w:rFonts w:cs="Arial"/>
      <w:b/>
      <w:bCs/>
      <w:color w:val="FFFFFF"/>
      <w:kern w:val="32"/>
      <w:sz w:val="32"/>
      <w:szCs w:val="32"/>
    </w:rPr>
  </w:style>
  <w:style w:type="paragraph" w:styleId="Heading2">
    <w:name w:val="heading 2"/>
    <w:aliases w:val="Major,Reset numbering,style1,H2,2,B Heading,h2,level2,level 2,LetHead2,MisHead2,Normalhead2,l2,Normal Heading 2"/>
    <w:basedOn w:val="Normal"/>
    <w:next w:val="Normal"/>
    <w:qFormat/>
    <w:rsid w:val="006D60AF"/>
    <w:pPr>
      <w:keepNext/>
      <w:numPr>
        <w:ilvl w:val="1"/>
        <w:numId w:val="2"/>
      </w:numPr>
      <w:spacing w:before="240" w:after="60"/>
      <w:outlineLvl w:val="1"/>
    </w:pPr>
    <w:rPr>
      <w:rFonts w:ascii="Arial" w:hAnsi="Arial" w:cs="Arial"/>
      <w:b/>
      <w:bCs/>
      <w:i/>
      <w:iCs/>
      <w:sz w:val="28"/>
      <w:szCs w:val="28"/>
    </w:rPr>
  </w:style>
  <w:style w:type="paragraph" w:styleId="Heading3">
    <w:name w:val="heading 3"/>
    <w:aliases w:val="Heading 3 Char Char,Heading 3 Char"/>
    <w:basedOn w:val="Normal"/>
    <w:next w:val="Normal"/>
    <w:qFormat/>
    <w:rsid w:val="006D60AF"/>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6D60AF"/>
    <w:pPr>
      <w:keepNext/>
      <w:numPr>
        <w:ilvl w:val="3"/>
        <w:numId w:val="2"/>
      </w:numPr>
      <w:spacing w:before="240" w:after="60"/>
      <w:outlineLvl w:val="3"/>
    </w:pPr>
    <w:rPr>
      <w:b/>
      <w:bCs/>
      <w:sz w:val="28"/>
      <w:szCs w:val="28"/>
    </w:rPr>
  </w:style>
  <w:style w:type="paragraph" w:styleId="Heading5">
    <w:name w:val="heading 5"/>
    <w:basedOn w:val="Normal"/>
    <w:next w:val="Normal"/>
    <w:qFormat/>
    <w:rsid w:val="006D60AF"/>
    <w:pPr>
      <w:numPr>
        <w:ilvl w:val="4"/>
        <w:numId w:val="2"/>
      </w:numPr>
      <w:spacing w:before="240" w:after="60"/>
      <w:outlineLvl w:val="4"/>
    </w:pPr>
    <w:rPr>
      <w:b/>
      <w:bCs/>
      <w:i/>
      <w:iCs/>
      <w:sz w:val="26"/>
      <w:szCs w:val="26"/>
    </w:rPr>
  </w:style>
  <w:style w:type="paragraph" w:styleId="Heading6">
    <w:name w:val="heading 6"/>
    <w:basedOn w:val="Normal"/>
    <w:next w:val="Normal"/>
    <w:qFormat/>
    <w:rsid w:val="006D60AF"/>
    <w:pPr>
      <w:numPr>
        <w:ilvl w:val="5"/>
        <w:numId w:val="2"/>
      </w:numPr>
      <w:spacing w:before="240" w:after="60"/>
      <w:outlineLvl w:val="5"/>
    </w:pPr>
    <w:rPr>
      <w:b/>
      <w:bCs/>
      <w:sz w:val="22"/>
      <w:szCs w:val="22"/>
    </w:rPr>
  </w:style>
  <w:style w:type="paragraph" w:styleId="Heading7">
    <w:name w:val="heading 7"/>
    <w:basedOn w:val="Normal"/>
    <w:next w:val="Normal"/>
    <w:qFormat/>
    <w:rsid w:val="006D60AF"/>
    <w:pPr>
      <w:numPr>
        <w:ilvl w:val="6"/>
        <w:numId w:val="2"/>
      </w:numPr>
      <w:spacing w:before="240" w:after="60"/>
      <w:outlineLvl w:val="6"/>
    </w:pPr>
  </w:style>
  <w:style w:type="paragraph" w:styleId="Heading8">
    <w:name w:val="heading 8"/>
    <w:basedOn w:val="Normal"/>
    <w:next w:val="Normal"/>
    <w:qFormat/>
    <w:rsid w:val="006D60AF"/>
    <w:pPr>
      <w:numPr>
        <w:ilvl w:val="7"/>
        <w:numId w:val="2"/>
      </w:numPr>
      <w:spacing w:before="240" w:after="60"/>
      <w:outlineLvl w:val="7"/>
    </w:pPr>
    <w:rPr>
      <w:i/>
      <w:iCs/>
    </w:rPr>
  </w:style>
  <w:style w:type="paragraph" w:styleId="Heading9">
    <w:name w:val="heading 9"/>
    <w:basedOn w:val="Normal"/>
    <w:next w:val="Normal"/>
    <w:qFormat/>
    <w:rsid w:val="006D60AF"/>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60AF"/>
    <w:pPr>
      <w:tabs>
        <w:tab w:val="center" w:pos="4320"/>
        <w:tab w:val="right" w:pos="8640"/>
      </w:tabs>
    </w:pPr>
  </w:style>
  <w:style w:type="paragraph" w:styleId="Footer">
    <w:name w:val="footer"/>
    <w:basedOn w:val="Normal"/>
    <w:rsid w:val="006D60AF"/>
    <w:pPr>
      <w:tabs>
        <w:tab w:val="center" w:pos="4320"/>
        <w:tab w:val="right" w:pos="8640"/>
      </w:tabs>
    </w:pPr>
  </w:style>
  <w:style w:type="paragraph" w:customStyle="1" w:styleId="StyleHeading216ptJustifiedLinespacing15lines">
    <w:name w:val="Style Heading 2 + 16 pt Justified Line spacing:  1.5 lines"/>
    <w:basedOn w:val="Heading2"/>
    <w:rsid w:val="006D60AF"/>
    <w:pPr>
      <w:numPr>
        <w:numId w:val="1"/>
      </w:numPr>
      <w:spacing w:before="0" w:after="0"/>
    </w:pPr>
    <w:rPr>
      <w:rFonts w:ascii="Century Gothic" w:hAnsi="Century Gothic" w:cs="Times New Roman"/>
      <w:i w:val="0"/>
      <w:sz w:val="24"/>
      <w:szCs w:val="24"/>
    </w:rPr>
  </w:style>
  <w:style w:type="paragraph" w:styleId="BalloonText">
    <w:name w:val="Balloon Text"/>
    <w:basedOn w:val="Normal"/>
    <w:semiHidden/>
    <w:rsid w:val="006D60AF"/>
    <w:rPr>
      <w:rFonts w:ascii="Tahoma" w:hAnsi="Tahoma" w:cs="Tahoma"/>
      <w:sz w:val="16"/>
      <w:szCs w:val="16"/>
    </w:rPr>
  </w:style>
  <w:style w:type="paragraph" w:styleId="TOC1">
    <w:name w:val="toc 1"/>
    <w:basedOn w:val="Normal"/>
    <w:next w:val="Normal"/>
    <w:autoRedefine/>
    <w:uiPriority w:val="39"/>
    <w:rsid w:val="006D60AF"/>
  </w:style>
  <w:style w:type="paragraph" w:styleId="TOC2">
    <w:name w:val="toc 2"/>
    <w:basedOn w:val="Normal"/>
    <w:next w:val="Normal"/>
    <w:autoRedefine/>
    <w:uiPriority w:val="39"/>
    <w:rsid w:val="006D60AF"/>
    <w:pPr>
      <w:ind w:left="240"/>
    </w:pPr>
  </w:style>
  <w:style w:type="character" w:styleId="Hyperlink">
    <w:name w:val="Hyperlink"/>
    <w:basedOn w:val="DefaultParagraphFont"/>
    <w:uiPriority w:val="99"/>
    <w:rsid w:val="006D60AF"/>
    <w:rPr>
      <w:color w:val="0000FF"/>
      <w:u w:val="single"/>
    </w:rPr>
  </w:style>
  <w:style w:type="paragraph" w:styleId="BodyText">
    <w:name w:val="Body Text"/>
    <w:basedOn w:val="Normal"/>
    <w:rsid w:val="006D60AF"/>
    <w:rPr>
      <w:rFonts w:ascii="Arial" w:hAnsi="Arial"/>
      <w:sz w:val="22"/>
      <w:szCs w:val="20"/>
    </w:rPr>
  </w:style>
  <w:style w:type="paragraph" w:styleId="Caption">
    <w:name w:val="caption"/>
    <w:basedOn w:val="Normal"/>
    <w:next w:val="Normal"/>
    <w:qFormat/>
    <w:rsid w:val="006D60AF"/>
    <w:pPr>
      <w:spacing w:before="120" w:after="120"/>
      <w:jc w:val="left"/>
    </w:pPr>
    <w:rPr>
      <w:b/>
      <w:bCs/>
      <w:szCs w:val="20"/>
    </w:rPr>
  </w:style>
  <w:style w:type="paragraph" w:styleId="TableofFigures">
    <w:name w:val="table of figures"/>
    <w:basedOn w:val="Normal"/>
    <w:next w:val="Normal"/>
    <w:uiPriority w:val="99"/>
    <w:rsid w:val="006D60AF"/>
    <w:pPr>
      <w:ind w:left="480" w:hanging="480"/>
    </w:pPr>
  </w:style>
  <w:style w:type="paragraph" w:customStyle="1" w:styleId="ams">
    <w:name w:val="ams"/>
    <w:basedOn w:val="BodyTextIndent3"/>
    <w:rsid w:val="006D60AF"/>
    <w:pPr>
      <w:spacing w:after="0"/>
      <w:ind w:left="720"/>
    </w:pPr>
    <w:rPr>
      <w:rFonts w:ascii="Arial" w:hAnsi="Arial" w:cs="Arial"/>
      <w:sz w:val="28"/>
      <w:szCs w:val="24"/>
    </w:rPr>
  </w:style>
  <w:style w:type="paragraph" w:styleId="BodyTextIndent3">
    <w:name w:val="Body Text Indent 3"/>
    <w:basedOn w:val="Normal"/>
    <w:rsid w:val="006D60AF"/>
    <w:pPr>
      <w:spacing w:after="120"/>
      <w:ind w:left="283"/>
    </w:pPr>
    <w:rPr>
      <w:sz w:val="16"/>
      <w:szCs w:val="16"/>
    </w:rPr>
  </w:style>
  <w:style w:type="paragraph" w:styleId="BodyTextIndent2">
    <w:name w:val="Body Text Indent 2"/>
    <w:basedOn w:val="Normal"/>
    <w:rsid w:val="006D60AF"/>
    <w:pPr>
      <w:spacing w:after="120" w:line="480" w:lineRule="auto"/>
      <w:ind w:left="283"/>
    </w:pPr>
  </w:style>
  <w:style w:type="paragraph" w:customStyle="1" w:styleId="Default">
    <w:name w:val="Default"/>
    <w:rsid w:val="006D60AF"/>
    <w:pPr>
      <w:autoSpaceDE w:val="0"/>
      <w:autoSpaceDN w:val="0"/>
      <w:adjustRightInd w:val="0"/>
    </w:pPr>
    <w:rPr>
      <w:rFonts w:ascii="Book Antiqua" w:hAnsi="Book Antiqua" w:cs="Book Antiqua"/>
      <w:color w:val="000000"/>
      <w:sz w:val="24"/>
      <w:szCs w:val="24"/>
    </w:rPr>
  </w:style>
  <w:style w:type="paragraph" w:styleId="BodyText2">
    <w:name w:val="Body Text 2"/>
    <w:basedOn w:val="Normal"/>
    <w:rsid w:val="006D60AF"/>
    <w:pPr>
      <w:spacing w:after="120" w:line="480" w:lineRule="auto"/>
    </w:pPr>
  </w:style>
  <w:style w:type="paragraph" w:customStyle="1" w:styleId="BodyText21">
    <w:name w:val="Body Text 21"/>
    <w:basedOn w:val="Normal"/>
    <w:rsid w:val="006D60AF"/>
    <w:pPr>
      <w:widowControl w:val="0"/>
      <w:spacing w:line="240" w:lineRule="auto"/>
    </w:pPr>
    <w:rPr>
      <w:rFonts w:ascii="Times New Roman" w:hAnsi="Times New Roman"/>
      <w:snapToGrid w:val="0"/>
      <w:szCs w:val="20"/>
      <w:lang w:val="en-AU"/>
    </w:rPr>
  </w:style>
  <w:style w:type="paragraph" w:styleId="List">
    <w:name w:val="List"/>
    <w:basedOn w:val="Normal"/>
    <w:rsid w:val="006D60AF"/>
    <w:pPr>
      <w:tabs>
        <w:tab w:val="num" w:pos="720"/>
      </w:tabs>
      <w:spacing w:line="312" w:lineRule="auto"/>
      <w:ind w:left="720" w:hanging="360"/>
    </w:pPr>
    <w:rPr>
      <w:rFonts w:ascii="Arial" w:hAnsi="Arial"/>
      <w:sz w:val="22"/>
      <w:szCs w:val="20"/>
    </w:rPr>
  </w:style>
  <w:style w:type="paragraph" w:styleId="BodyText3">
    <w:name w:val="Body Text 3"/>
    <w:basedOn w:val="Normal"/>
    <w:rsid w:val="006D60AF"/>
    <w:rPr>
      <w:color w:val="FF0000"/>
      <w:sz w:val="22"/>
      <w:szCs w:val="22"/>
    </w:rPr>
  </w:style>
  <w:style w:type="paragraph" w:styleId="NormalWeb">
    <w:name w:val="Normal (Web)"/>
    <w:basedOn w:val="Normal"/>
    <w:rsid w:val="006D60AF"/>
    <w:pPr>
      <w:spacing w:before="100" w:beforeAutospacing="1" w:after="100" w:afterAutospacing="1" w:line="240" w:lineRule="auto"/>
      <w:jc w:val="left"/>
    </w:pPr>
    <w:rPr>
      <w:rFonts w:ascii="Times New Roman" w:hAnsi="Times New Roman"/>
    </w:rPr>
  </w:style>
  <w:style w:type="paragraph" w:styleId="BodyTextIndent">
    <w:name w:val="Body Text Indent"/>
    <w:basedOn w:val="Normal"/>
    <w:rsid w:val="006D60AF"/>
    <w:pPr>
      <w:ind w:left="720"/>
    </w:pPr>
    <w:rPr>
      <w:bCs/>
      <w:iCs/>
      <w:sz w:val="22"/>
      <w:szCs w:val="26"/>
    </w:rPr>
  </w:style>
  <w:style w:type="character" w:styleId="FollowedHyperlink">
    <w:name w:val="FollowedHyperlink"/>
    <w:basedOn w:val="DefaultParagraphFont"/>
    <w:rsid w:val="006D60AF"/>
    <w:rPr>
      <w:color w:val="800080"/>
      <w:u w:val="single"/>
    </w:rPr>
  </w:style>
  <w:style w:type="paragraph" w:customStyle="1" w:styleId="WW-BodyTextIndent2">
    <w:name w:val="WW-Body Text Indent 2"/>
    <w:basedOn w:val="Normal"/>
    <w:rsid w:val="006D60AF"/>
    <w:pPr>
      <w:suppressAutoHyphens/>
      <w:spacing w:after="120" w:line="480" w:lineRule="auto"/>
      <w:ind w:left="360"/>
      <w:jc w:val="left"/>
    </w:pPr>
    <w:rPr>
      <w:rFonts w:ascii="Times New Roman" w:hAnsi="Times New Roman"/>
      <w:lang w:eastAsia="ar-SA"/>
    </w:rPr>
  </w:style>
  <w:style w:type="paragraph" w:customStyle="1" w:styleId="Normal11pt">
    <w:name w:val="Normal + 11 pt"/>
    <w:basedOn w:val="Heading7"/>
    <w:rsid w:val="006D60AF"/>
    <w:pPr>
      <w:spacing w:line="240" w:lineRule="auto"/>
      <w:ind w:left="1440" w:firstLine="720"/>
    </w:pPr>
    <w:rPr>
      <w:rFonts w:cs="Arial"/>
      <w:b/>
      <w:szCs w:val="22"/>
      <w:u w:val="single"/>
    </w:rPr>
  </w:style>
  <w:style w:type="character" w:customStyle="1" w:styleId="style31">
    <w:name w:val="style31"/>
    <w:basedOn w:val="DefaultParagraphFont"/>
    <w:rsid w:val="006D60AF"/>
    <w:rPr>
      <w:sz w:val="20"/>
      <w:szCs w:val="20"/>
    </w:rPr>
  </w:style>
  <w:style w:type="paragraph" w:styleId="TOC3">
    <w:name w:val="toc 3"/>
    <w:basedOn w:val="Normal"/>
    <w:next w:val="Normal"/>
    <w:autoRedefine/>
    <w:semiHidden/>
    <w:rsid w:val="00894B37"/>
    <w:pPr>
      <w:tabs>
        <w:tab w:val="right" w:leader="dot" w:pos="8460"/>
      </w:tabs>
      <w:ind w:left="360" w:right="382" w:hanging="180"/>
    </w:pPr>
  </w:style>
  <w:style w:type="paragraph" w:customStyle="1" w:styleId="TableContents">
    <w:name w:val="Table Contents"/>
    <w:basedOn w:val="BodyText"/>
    <w:rsid w:val="006D60AF"/>
    <w:pPr>
      <w:widowControl w:val="0"/>
      <w:suppressLineNumbers/>
      <w:suppressAutoHyphens/>
      <w:spacing w:after="120" w:line="240" w:lineRule="auto"/>
      <w:jc w:val="left"/>
    </w:pPr>
    <w:rPr>
      <w:rFonts w:ascii="Times New Roman" w:eastAsia="Lucida Sans Unicode" w:hAnsi="Times New Roman" w:cs="Tahoma"/>
      <w:sz w:val="24"/>
      <w:szCs w:val="24"/>
    </w:rPr>
  </w:style>
  <w:style w:type="paragraph" w:styleId="FootnoteText">
    <w:name w:val="footnote text"/>
    <w:basedOn w:val="Normal"/>
    <w:semiHidden/>
    <w:rsid w:val="006D60AF"/>
    <w:rPr>
      <w:sz w:val="20"/>
      <w:szCs w:val="20"/>
    </w:rPr>
  </w:style>
  <w:style w:type="character" w:styleId="FootnoteReference">
    <w:name w:val="footnote reference"/>
    <w:basedOn w:val="DefaultParagraphFont"/>
    <w:semiHidden/>
    <w:rsid w:val="006D60AF"/>
    <w:rPr>
      <w:vertAlign w:val="superscript"/>
    </w:rPr>
  </w:style>
  <w:style w:type="character" w:styleId="CommentReference">
    <w:name w:val="annotation reference"/>
    <w:basedOn w:val="DefaultParagraphFont"/>
    <w:semiHidden/>
    <w:rsid w:val="006D60AF"/>
    <w:rPr>
      <w:sz w:val="16"/>
      <w:szCs w:val="16"/>
    </w:rPr>
  </w:style>
  <w:style w:type="paragraph" w:styleId="CommentText">
    <w:name w:val="annotation text"/>
    <w:basedOn w:val="Normal"/>
    <w:semiHidden/>
    <w:rsid w:val="006D60AF"/>
    <w:rPr>
      <w:sz w:val="20"/>
      <w:szCs w:val="20"/>
    </w:rPr>
  </w:style>
  <w:style w:type="paragraph" w:styleId="CommentSubject">
    <w:name w:val="annotation subject"/>
    <w:basedOn w:val="CommentText"/>
    <w:next w:val="CommentText"/>
    <w:semiHidden/>
    <w:rsid w:val="006D60AF"/>
    <w:rPr>
      <w:b/>
      <w:bCs/>
    </w:rPr>
  </w:style>
  <w:style w:type="paragraph" w:styleId="ListParagraph">
    <w:name w:val="List Paragraph"/>
    <w:basedOn w:val="Normal"/>
    <w:qFormat/>
    <w:rsid w:val="00F61BA7"/>
    <w:pPr>
      <w:ind w:left="720"/>
    </w:pPr>
  </w:style>
  <w:style w:type="table" w:styleId="TableGrid">
    <w:name w:val="Table Grid"/>
    <w:basedOn w:val="TableNormal"/>
    <w:rsid w:val="002D16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rsid w:val="00D8475E"/>
  </w:style>
  <w:style w:type="character" w:customStyle="1" w:styleId="HeaderChar">
    <w:name w:val="Header Char"/>
    <w:basedOn w:val="DefaultParagraphFont"/>
    <w:link w:val="Header"/>
    <w:rsid w:val="00955421"/>
    <w:rPr>
      <w:rFonts w:ascii="Century Gothic" w:hAnsi="Century Gothic"/>
      <w:sz w:val="24"/>
      <w:szCs w:val="24"/>
    </w:rPr>
  </w:style>
</w:styles>
</file>

<file path=word/webSettings.xml><?xml version="1.0" encoding="utf-8"?>
<w:webSettings xmlns:r="http://schemas.openxmlformats.org/officeDocument/2006/relationships" xmlns:w="http://schemas.openxmlformats.org/wordprocessingml/2006/main">
  <w:divs>
    <w:div w:id="11226896">
      <w:bodyDiv w:val="1"/>
      <w:marLeft w:val="0"/>
      <w:marRight w:val="0"/>
      <w:marTop w:val="0"/>
      <w:marBottom w:val="0"/>
      <w:divBdr>
        <w:top w:val="none" w:sz="0" w:space="0" w:color="auto"/>
        <w:left w:val="none" w:sz="0" w:space="0" w:color="auto"/>
        <w:bottom w:val="none" w:sz="0" w:space="0" w:color="auto"/>
        <w:right w:val="none" w:sz="0" w:space="0" w:color="auto"/>
      </w:divBdr>
    </w:div>
    <w:div w:id="362362501">
      <w:bodyDiv w:val="1"/>
      <w:marLeft w:val="0"/>
      <w:marRight w:val="0"/>
      <w:marTop w:val="0"/>
      <w:marBottom w:val="0"/>
      <w:divBdr>
        <w:top w:val="none" w:sz="0" w:space="0" w:color="auto"/>
        <w:left w:val="none" w:sz="0" w:space="0" w:color="auto"/>
        <w:bottom w:val="none" w:sz="0" w:space="0" w:color="auto"/>
        <w:right w:val="none" w:sz="0" w:space="0" w:color="auto"/>
      </w:divBdr>
    </w:div>
    <w:div w:id="533007820">
      <w:bodyDiv w:val="1"/>
      <w:marLeft w:val="0"/>
      <w:marRight w:val="0"/>
      <w:marTop w:val="0"/>
      <w:marBottom w:val="0"/>
      <w:divBdr>
        <w:top w:val="none" w:sz="0" w:space="0" w:color="auto"/>
        <w:left w:val="none" w:sz="0" w:space="0" w:color="auto"/>
        <w:bottom w:val="none" w:sz="0" w:space="0" w:color="auto"/>
        <w:right w:val="none" w:sz="0" w:space="0" w:color="auto"/>
      </w:divBdr>
    </w:div>
    <w:div w:id="666591314">
      <w:bodyDiv w:val="1"/>
      <w:marLeft w:val="0"/>
      <w:marRight w:val="0"/>
      <w:marTop w:val="0"/>
      <w:marBottom w:val="0"/>
      <w:divBdr>
        <w:top w:val="none" w:sz="0" w:space="0" w:color="auto"/>
        <w:left w:val="none" w:sz="0" w:space="0" w:color="auto"/>
        <w:bottom w:val="none" w:sz="0" w:space="0" w:color="auto"/>
        <w:right w:val="none" w:sz="0" w:space="0" w:color="auto"/>
      </w:divBdr>
    </w:div>
    <w:div w:id="742022841">
      <w:bodyDiv w:val="1"/>
      <w:marLeft w:val="0"/>
      <w:marRight w:val="0"/>
      <w:marTop w:val="0"/>
      <w:marBottom w:val="0"/>
      <w:divBdr>
        <w:top w:val="none" w:sz="0" w:space="0" w:color="auto"/>
        <w:left w:val="none" w:sz="0" w:space="0" w:color="auto"/>
        <w:bottom w:val="none" w:sz="0" w:space="0" w:color="auto"/>
        <w:right w:val="none" w:sz="0" w:space="0" w:color="auto"/>
      </w:divBdr>
    </w:div>
    <w:div w:id="1159618055">
      <w:bodyDiv w:val="1"/>
      <w:marLeft w:val="0"/>
      <w:marRight w:val="0"/>
      <w:marTop w:val="0"/>
      <w:marBottom w:val="0"/>
      <w:divBdr>
        <w:top w:val="none" w:sz="0" w:space="0" w:color="auto"/>
        <w:left w:val="none" w:sz="0" w:space="0" w:color="auto"/>
        <w:bottom w:val="none" w:sz="0" w:space="0" w:color="auto"/>
        <w:right w:val="none" w:sz="0" w:space="0" w:color="auto"/>
      </w:divBdr>
    </w:div>
    <w:div w:id="1364788855">
      <w:bodyDiv w:val="1"/>
      <w:marLeft w:val="0"/>
      <w:marRight w:val="0"/>
      <w:marTop w:val="0"/>
      <w:marBottom w:val="0"/>
      <w:divBdr>
        <w:top w:val="none" w:sz="0" w:space="0" w:color="auto"/>
        <w:left w:val="none" w:sz="0" w:space="0" w:color="auto"/>
        <w:bottom w:val="none" w:sz="0" w:space="0" w:color="auto"/>
        <w:right w:val="none" w:sz="0" w:space="0" w:color="auto"/>
      </w:divBdr>
    </w:div>
    <w:div w:id="1685671432">
      <w:bodyDiv w:val="1"/>
      <w:marLeft w:val="0"/>
      <w:marRight w:val="0"/>
      <w:marTop w:val="0"/>
      <w:marBottom w:val="0"/>
      <w:divBdr>
        <w:top w:val="none" w:sz="0" w:space="0" w:color="auto"/>
        <w:left w:val="none" w:sz="0" w:space="0" w:color="auto"/>
        <w:bottom w:val="none" w:sz="0" w:space="0" w:color="auto"/>
        <w:right w:val="none" w:sz="0" w:space="0" w:color="auto"/>
      </w:divBdr>
    </w:div>
    <w:div w:id="1790271134">
      <w:bodyDiv w:val="1"/>
      <w:marLeft w:val="0"/>
      <w:marRight w:val="0"/>
      <w:marTop w:val="0"/>
      <w:marBottom w:val="0"/>
      <w:divBdr>
        <w:top w:val="none" w:sz="0" w:space="0" w:color="auto"/>
        <w:left w:val="none" w:sz="0" w:space="0" w:color="auto"/>
        <w:bottom w:val="none" w:sz="0" w:space="0" w:color="auto"/>
        <w:right w:val="none" w:sz="0" w:space="0" w:color="auto"/>
      </w:divBdr>
      <w:divsChild>
        <w:div w:id="1116488966">
          <w:marLeft w:val="0"/>
          <w:marRight w:val="0"/>
          <w:marTop w:val="0"/>
          <w:marBottom w:val="0"/>
          <w:divBdr>
            <w:top w:val="none" w:sz="0" w:space="0" w:color="auto"/>
            <w:left w:val="none" w:sz="0" w:space="0" w:color="auto"/>
            <w:bottom w:val="none" w:sz="0" w:space="0" w:color="auto"/>
            <w:right w:val="none" w:sz="0" w:space="0" w:color="auto"/>
          </w:divBdr>
          <w:divsChild>
            <w:div w:id="3610518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32060064">
      <w:bodyDiv w:val="1"/>
      <w:marLeft w:val="0"/>
      <w:marRight w:val="0"/>
      <w:marTop w:val="0"/>
      <w:marBottom w:val="0"/>
      <w:divBdr>
        <w:top w:val="none" w:sz="0" w:space="0" w:color="auto"/>
        <w:left w:val="none" w:sz="0" w:space="0" w:color="auto"/>
        <w:bottom w:val="none" w:sz="0" w:space="0" w:color="auto"/>
        <w:right w:val="none" w:sz="0" w:space="0" w:color="auto"/>
      </w:divBdr>
    </w:div>
    <w:div w:id="1950701830">
      <w:bodyDiv w:val="1"/>
      <w:marLeft w:val="0"/>
      <w:marRight w:val="0"/>
      <w:marTop w:val="0"/>
      <w:marBottom w:val="0"/>
      <w:divBdr>
        <w:top w:val="none" w:sz="0" w:space="0" w:color="auto"/>
        <w:left w:val="none" w:sz="0" w:space="0" w:color="auto"/>
        <w:bottom w:val="none" w:sz="0" w:space="0" w:color="auto"/>
        <w:right w:val="none" w:sz="0" w:space="0" w:color="auto"/>
      </w:divBdr>
    </w:div>
    <w:div w:id="1953853045">
      <w:bodyDiv w:val="1"/>
      <w:marLeft w:val="0"/>
      <w:marRight w:val="0"/>
      <w:marTop w:val="0"/>
      <w:marBottom w:val="0"/>
      <w:divBdr>
        <w:top w:val="none" w:sz="0" w:space="0" w:color="auto"/>
        <w:left w:val="none" w:sz="0" w:space="0" w:color="auto"/>
        <w:bottom w:val="none" w:sz="0" w:space="0" w:color="auto"/>
        <w:right w:val="none" w:sz="0" w:space="0" w:color="auto"/>
      </w:divBdr>
    </w:div>
    <w:div w:id="214534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15C40-0BB5-4901-89AB-11900964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11966</Words>
  <Characters>68210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PPCL Petition</vt:lpstr>
    </vt:vector>
  </TitlesOfParts>
  <Company>CRISIL</Company>
  <LinksUpToDate>false</LinksUpToDate>
  <CharactersWithSpaces>80016</CharactersWithSpaces>
  <SharedDoc>false</SharedDoc>
  <HLinks>
    <vt:vector size="228" baseType="variant">
      <vt:variant>
        <vt:i4>4587572</vt:i4>
      </vt:variant>
      <vt:variant>
        <vt:i4>270</vt:i4>
      </vt:variant>
      <vt:variant>
        <vt:i4>0</vt:i4>
      </vt:variant>
      <vt:variant>
        <vt:i4>5</vt:i4>
      </vt:variant>
      <vt:variant>
        <vt:lpwstr>mailto:equity@15.5%</vt:lpwstr>
      </vt:variant>
      <vt:variant>
        <vt:lpwstr/>
      </vt:variant>
      <vt:variant>
        <vt:i4>1769533</vt:i4>
      </vt:variant>
      <vt:variant>
        <vt:i4>221</vt:i4>
      </vt:variant>
      <vt:variant>
        <vt:i4>0</vt:i4>
      </vt:variant>
      <vt:variant>
        <vt:i4>5</vt:i4>
      </vt:variant>
      <vt:variant>
        <vt:lpwstr/>
      </vt:variant>
      <vt:variant>
        <vt:lpwstr>_Toc407983669</vt:lpwstr>
      </vt:variant>
      <vt:variant>
        <vt:i4>1769533</vt:i4>
      </vt:variant>
      <vt:variant>
        <vt:i4>215</vt:i4>
      </vt:variant>
      <vt:variant>
        <vt:i4>0</vt:i4>
      </vt:variant>
      <vt:variant>
        <vt:i4>5</vt:i4>
      </vt:variant>
      <vt:variant>
        <vt:lpwstr/>
      </vt:variant>
      <vt:variant>
        <vt:lpwstr>_Toc407983668</vt:lpwstr>
      </vt:variant>
      <vt:variant>
        <vt:i4>1769533</vt:i4>
      </vt:variant>
      <vt:variant>
        <vt:i4>209</vt:i4>
      </vt:variant>
      <vt:variant>
        <vt:i4>0</vt:i4>
      </vt:variant>
      <vt:variant>
        <vt:i4>5</vt:i4>
      </vt:variant>
      <vt:variant>
        <vt:lpwstr/>
      </vt:variant>
      <vt:variant>
        <vt:lpwstr>_Toc407983667</vt:lpwstr>
      </vt:variant>
      <vt:variant>
        <vt:i4>1769533</vt:i4>
      </vt:variant>
      <vt:variant>
        <vt:i4>203</vt:i4>
      </vt:variant>
      <vt:variant>
        <vt:i4>0</vt:i4>
      </vt:variant>
      <vt:variant>
        <vt:i4>5</vt:i4>
      </vt:variant>
      <vt:variant>
        <vt:lpwstr/>
      </vt:variant>
      <vt:variant>
        <vt:lpwstr>_Toc407983666</vt:lpwstr>
      </vt:variant>
      <vt:variant>
        <vt:i4>1769533</vt:i4>
      </vt:variant>
      <vt:variant>
        <vt:i4>197</vt:i4>
      </vt:variant>
      <vt:variant>
        <vt:i4>0</vt:i4>
      </vt:variant>
      <vt:variant>
        <vt:i4>5</vt:i4>
      </vt:variant>
      <vt:variant>
        <vt:lpwstr/>
      </vt:variant>
      <vt:variant>
        <vt:lpwstr>_Toc407983665</vt:lpwstr>
      </vt:variant>
      <vt:variant>
        <vt:i4>1769533</vt:i4>
      </vt:variant>
      <vt:variant>
        <vt:i4>191</vt:i4>
      </vt:variant>
      <vt:variant>
        <vt:i4>0</vt:i4>
      </vt:variant>
      <vt:variant>
        <vt:i4>5</vt:i4>
      </vt:variant>
      <vt:variant>
        <vt:lpwstr/>
      </vt:variant>
      <vt:variant>
        <vt:lpwstr>_Toc407983664</vt:lpwstr>
      </vt:variant>
      <vt:variant>
        <vt:i4>1769533</vt:i4>
      </vt:variant>
      <vt:variant>
        <vt:i4>185</vt:i4>
      </vt:variant>
      <vt:variant>
        <vt:i4>0</vt:i4>
      </vt:variant>
      <vt:variant>
        <vt:i4>5</vt:i4>
      </vt:variant>
      <vt:variant>
        <vt:lpwstr/>
      </vt:variant>
      <vt:variant>
        <vt:lpwstr>_Toc407983663</vt:lpwstr>
      </vt:variant>
      <vt:variant>
        <vt:i4>1769533</vt:i4>
      </vt:variant>
      <vt:variant>
        <vt:i4>179</vt:i4>
      </vt:variant>
      <vt:variant>
        <vt:i4>0</vt:i4>
      </vt:variant>
      <vt:variant>
        <vt:i4>5</vt:i4>
      </vt:variant>
      <vt:variant>
        <vt:lpwstr/>
      </vt:variant>
      <vt:variant>
        <vt:lpwstr>_Toc407983662</vt:lpwstr>
      </vt:variant>
      <vt:variant>
        <vt:i4>1769533</vt:i4>
      </vt:variant>
      <vt:variant>
        <vt:i4>173</vt:i4>
      </vt:variant>
      <vt:variant>
        <vt:i4>0</vt:i4>
      </vt:variant>
      <vt:variant>
        <vt:i4>5</vt:i4>
      </vt:variant>
      <vt:variant>
        <vt:lpwstr/>
      </vt:variant>
      <vt:variant>
        <vt:lpwstr>_Toc407983661</vt:lpwstr>
      </vt:variant>
      <vt:variant>
        <vt:i4>1769533</vt:i4>
      </vt:variant>
      <vt:variant>
        <vt:i4>167</vt:i4>
      </vt:variant>
      <vt:variant>
        <vt:i4>0</vt:i4>
      </vt:variant>
      <vt:variant>
        <vt:i4>5</vt:i4>
      </vt:variant>
      <vt:variant>
        <vt:lpwstr/>
      </vt:variant>
      <vt:variant>
        <vt:lpwstr>_Toc407983660</vt:lpwstr>
      </vt:variant>
      <vt:variant>
        <vt:i4>1572925</vt:i4>
      </vt:variant>
      <vt:variant>
        <vt:i4>161</vt:i4>
      </vt:variant>
      <vt:variant>
        <vt:i4>0</vt:i4>
      </vt:variant>
      <vt:variant>
        <vt:i4>5</vt:i4>
      </vt:variant>
      <vt:variant>
        <vt:lpwstr/>
      </vt:variant>
      <vt:variant>
        <vt:lpwstr>_Toc407983659</vt:lpwstr>
      </vt:variant>
      <vt:variant>
        <vt:i4>1572925</vt:i4>
      </vt:variant>
      <vt:variant>
        <vt:i4>155</vt:i4>
      </vt:variant>
      <vt:variant>
        <vt:i4>0</vt:i4>
      </vt:variant>
      <vt:variant>
        <vt:i4>5</vt:i4>
      </vt:variant>
      <vt:variant>
        <vt:lpwstr/>
      </vt:variant>
      <vt:variant>
        <vt:lpwstr>_Toc407983658</vt:lpwstr>
      </vt:variant>
      <vt:variant>
        <vt:i4>1572925</vt:i4>
      </vt:variant>
      <vt:variant>
        <vt:i4>149</vt:i4>
      </vt:variant>
      <vt:variant>
        <vt:i4>0</vt:i4>
      </vt:variant>
      <vt:variant>
        <vt:i4>5</vt:i4>
      </vt:variant>
      <vt:variant>
        <vt:lpwstr/>
      </vt:variant>
      <vt:variant>
        <vt:lpwstr>_Toc407983657</vt:lpwstr>
      </vt:variant>
      <vt:variant>
        <vt:i4>1572925</vt:i4>
      </vt:variant>
      <vt:variant>
        <vt:i4>143</vt:i4>
      </vt:variant>
      <vt:variant>
        <vt:i4>0</vt:i4>
      </vt:variant>
      <vt:variant>
        <vt:i4>5</vt:i4>
      </vt:variant>
      <vt:variant>
        <vt:lpwstr/>
      </vt:variant>
      <vt:variant>
        <vt:lpwstr>_Toc407983656</vt:lpwstr>
      </vt:variant>
      <vt:variant>
        <vt:i4>1572925</vt:i4>
      </vt:variant>
      <vt:variant>
        <vt:i4>137</vt:i4>
      </vt:variant>
      <vt:variant>
        <vt:i4>0</vt:i4>
      </vt:variant>
      <vt:variant>
        <vt:i4>5</vt:i4>
      </vt:variant>
      <vt:variant>
        <vt:lpwstr/>
      </vt:variant>
      <vt:variant>
        <vt:lpwstr>_Toc407983655</vt:lpwstr>
      </vt:variant>
      <vt:variant>
        <vt:i4>1572925</vt:i4>
      </vt:variant>
      <vt:variant>
        <vt:i4>131</vt:i4>
      </vt:variant>
      <vt:variant>
        <vt:i4>0</vt:i4>
      </vt:variant>
      <vt:variant>
        <vt:i4>5</vt:i4>
      </vt:variant>
      <vt:variant>
        <vt:lpwstr/>
      </vt:variant>
      <vt:variant>
        <vt:lpwstr>_Toc407983654</vt:lpwstr>
      </vt:variant>
      <vt:variant>
        <vt:i4>1572925</vt:i4>
      </vt:variant>
      <vt:variant>
        <vt:i4>122</vt:i4>
      </vt:variant>
      <vt:variant>
        <vt:i4>0</vt:i4>
      </vt:variant>
      <vt:variant>
        <vt:i4>5</vt:i4>
      </vt:variant>
      <vt:variant>
        <vt:lpwstr/>
      </vt:variant>
      <vt:variant>
        <vt:lpwstr>_Toc407983653</vt:lpwstr>
      </vt:variant>
      <vt:variant>
        <vt:i4>1572925</vt:i4>
      </vt:variant>
      <vt:variant>
        <vt:i4>116</vt:i4>
      </vt:variant>
      <vt:variant>
        <vt:i4>0</vt:i4>
      </vt:variant>
      <vt:variant>
        <vt:i4>5</vt:i4>
      </vt:variant>
      <vt:variant>
        <vt:lpwstr/>
      </vt:variant>
      <vt:variant>
        <vt:lpwstr>_Toc407983652</vt:lpwstr>
      </vt:variant>
      <vt:variant>
        <vt:i4>1572925</vt:i4>
      </vt:variant>
      <vt:variant>
        <vt:i4>110</vt:i4>
      </vt:variant>
      <vt:variant>
        <vt:i4>0</vt:i4>
      </vt:variant>
      <vt:variant>
        <vt:i4>5</vt:i4>
      </vt:variant>
      <vt:variant>
        <vt:lpwstr/>
      </vt:variant>
      <vt:variant>
        <vt:lpwstr>_Toc407983651</vt:lpwstr>
      </vt:variant>
      <vt:variant>
        <vt:i4>1572925</vt:i4>
      </vt:variant>
      <vt:variant>
        <vt:i4>104</vt:i4>
      </vt:variant>
      <vt:variant>
        <vt:i4>0</vt:i4>
      </vt:variant>
      <vt:variant>
        <vt:i4>5</vt:i4>
      </vt:variant>
      <vt:variant>
        <vt:lpwstr/>
      </vt:variant>
      <vt:variant>
        <vt:lpwstr>_Toc407983650</vt:lpwstr>
      </vt:variant>
      <vt:variant>
        <vt:i4>1638461</vt:i4>
      </vt:variant>
      <vt:variant>
        <vt:i4>98</vt:i4>
      </vt:variant>
      <vt:variant>
        <vt:i4>0</vt:i4>
      </vt:variant>
      <vt:variant>
        <vt:i4>5</vt:i4>
      </vt:variant>
      <vt:variant>
        <vt:lpwstr/>
      </vt:variant>
      <vt:variant>
        <vt:lpwstr>_Toc407983649</vt:lpwstr>
      </vt:variant>
      <vt:variant>
        <vt:i4>1638461</vt:i4>
      </vt:variant>
      <vt:variant>
        <vt:i4>92</vt:i4>
      </vt:variant>
      <vt:variant>
        <vt:i4>0</vt:i4>
      </vt:variant>
      <vt:variant>
        <vt:i4>5</vt:i4>
      </vt:variant>
      <vt:variant>
        <vt:lpwstr/>
      </vt:variant>
      <vt:variant>
        <vt:lpwstr>_Toc407983648</vt:lpwstr>
      </vt:variant>
      <vt:variant>
        <vt:i4>1638461</vt:i4>
      </vt:variant>
      <vt:variant>
        <vt:i4>86</vt:i4>
      </vt:variant>
      <vt:variant>
        <vt:i4>0</vt:i4>
      </vt:variant>
      <vt:variant>
        <vt:i4>5</vt:i4>
      </vt:variant>
      <vt:variant>
        <vt:lpwstr/>
      </vt:variant>
      <vt:variant>
        <vt:lpwstr>_Toc407983647</vt:lpwstr>
      </vt:variant>
      <vt:variant>
        <vt:i4>1638461</vt:i4>
      </vt:variant>
      <vt:variant>
        <vt:i4>80</vt:i4>
      </vt:variant>
      <vt:variant>
        <vt:i4>0</vt:i4>
      </vt:variant>
      <vt:variant>
        <vt:i4>5</vt:i4>
      </vt:variant>
      <vt:variant>
        <vt:lpwstr/>
      </vt:variant>
      <vt:variant>
        <vt:lpwstr>_Toc407983646</vt:lpwstr>
      </vt:variant>
      <vt:variant>
        <vt:i4>1638461</vt:i4>
      </vt:variant>
      <vt:variant>
        <vt:i4>74</vt:i4>
      </vt:variant>
      <vt:variant>
        <vt:i4>0</vt:i4>
      </vt:variant>
      <vt:variant>
        <vt:i4>5</vt:i4>
      </vt:variant>
      <vt:variant>
        <vt:lpwstr/>
      </vt:variant>
      <vt:variant>
        <vt:lpwstr>_Toc407983645</vt:lpwstr>
      </vt:variant>
      <vt:variant>
        <vt:i4>1638461</vt:i4>
      </vt:variant>
      <vt:variant>
        <vt:i4>68</vt:i4>
      </vt:variant>
      <vt:variant>
        <vt:i4>0</vt:i4>
      </vt:variant>
      <vt:variant>
        <vt:i4>5</vt:i4>
      </vt:variant>
      <vt:variant>
        <vt:lpwstr/>
      </vt:variant>
      <vt:variant>
        <vt:lpwstr>_Toc407983644</vt:lpwstr>
      </vt:variant>
      <vt:variant>
        <vt:i4>1638461</vt:i4>
      </vt:variant>
      <vt:variant>
        <vt:i4>62</vt:i4>
      </vt:variant>
      <vt:variant>
        <vt:i4>0</vt:i4>
      </vt:variant>
      <vt:variant>
        <vt:i4>5</vt:i4>
      </vt:variant>
      <vt:variant>
        <vt:lpwstr/>
      </vt:variant>
      <vt:variant>
        <vt:lpwstr>_Toc407983643</vt:lpwstr>
      </vt:variant>
      <vt:variant>
        <vt:i4>1638461</vt:i4>
      </vt:variant>
      <vt:variant>
        <vt:i4>56</vt:i4>
      </vt:variant>
      <vt:variant>
        <vt:i4>0</vt:i4>
      </vt:variant>
      <vt:variant>
        <vt:i4>5</vt:i4>
      </vt:variant>
      <vt:variant>
        <vt:lpwstr/>
      </vt:variant>
      <vt:variant>
        <vt:lpwstr>_Toc407983642</vt:lpwstr>
      </vt:variant>
      <vt:variant>
        <vt:i4>1638461</vt:i4>
      </vt:variant>
      <vt:variant>
        <vt:i4>50</vt:i4>
      </vt:variant>
      <vt:variant>
        <vt:i4>0</vt:i4>
      </vt:variant>
      <vt:variant>
        <vt:i4>5</vt:i4>
      </vt:variant>
      <vt:variant>
        <vt:lpwstr/>
      </vt:variant>
      <vt:variant>
        <vt:lpwstr>_Toc407983641</vt:lpwstr>
      </vt:variant>
      <vt:variant>
        <vt:i4>1638461</vt:i4>
      </vt:variant>
      <vt:variant>
        <vt:i4>44</vt:i4>
      </vt:variant>
      <vt:variant>
        <vt:i4>0</vt:i4>
      </vt:variant>
      <vt:variant>
        <vt:i4>5</vt:i4>
      </vt:variant>
      <vt:variant>
        <vt:lpwstr/>
      </vt:variant>
      <vt:variant>
        <vt:lpwstr>_Toc407983640</vt:lpwstr>
      </vt:variant>
      <vt:variant>
        <vt:i4>1966141</vt:i4>
      </vt:variant>
      <vt:variant>
        <vt:i4>38</vt:i4>
      </vt:variant>
      <vt:variant>
        <vt:i4>0</vt:i4>
      </vt:variant>
      <vt:variant>
        <vt:i4>5</vt:i4>
      </vt:variant>
      <vt:variant>
        <vt:lpwstr/>
      </vt:variant>
      <vt:variant>
        <vt:lpwstr>_Toc407983639</vt:lpwstr>
      </vt:variant>
      <vt:variant>
        <vt:i4>1966141</vt:i4>
      </vt:variant>
      <vt:variant>
        <vt:i4>32</vt:i4>
      </vt:variant>
      <vt:variant>
        <vt:i4>0</vt:i4>
      </vt:variant>
      <vt:variant>
        <vt:i4>5</vt:i4>
      </vt:variant>
      <vt:variant>
        <vt:lpwstr/>
      </vt:variant>
      <vt:variant>
        <vt:lpwstr>_Toc407983638</vt:lpwstr>
      </vt:variant>
      <vt:variant>
        <vt:i4>1966141</vt:i4>
      </vt:variant>
      <vt:variant>
        <vt:i4>26</vt:i4>
      </vt:variant>
      <vt:variant>
        <vt:i4>0</vt:i4>
      </vt:variant>
      <vt:variant>
        <vt:i4>5</vt:i4>
      </vt:variant>
      <vt:variant>
        <vt:lpwstr/>
      </vt:variant>
      <vt:variant>
        <vt:lpwstr>_Toc407983637</vt:lpwstr>
      </vt:variant>
      <vt:variant>
        <vt:i4>1966141</vt:i4>
      </vt:variant>
      <vt:variant>
        <vt:i4>20</vt:i4>
      </vt:variant>
      <vt:variant>
        <vt:i4>0</vt:i4>
      </vt:variant>
      <vt:variant>
        <vt:i4>5</vt:i4>
      </vt:variant>
      <vt:variant>
        <vt:lpwstr/>
      </vt:variant>
      <vt:variant>
        <vt:lpwstr>_Toc407983636</vt:lpwstr>
      </vt:variant>
      <vt:variant>
        <vt:i4>1966141</vt:i4>
      </vt:variant>
      <vt:variant>
        <vt:i4>14</vt:i4>
      </vt:variant>
      <vt:variant>
        <vt:i4>0</vt:i4>
      </vt:variant>
      <vt:variant>
        <vt:i4>5</vt:i4>
      </vt:variant>
      <vt:variant>
        <vt:lpwstr/>
      </vt:variant>
      <vt:variant>
        <vt:lpwstr>_Toc407983635</vt:lpwstr>
      </vt:variant>
      <vt:variant>
        <vt:i4>1966141</vt:i4>
      </vt:variant>
      <vt:variant>
        <vt:i4>8</vt:i4>
      </vt:variant>
      <vt:variant>
        <vt:i4>0</vt:i4>
      </vt:variant>
      <vt:variant>
        <vt:i4>5</vt:i4>
      </vt:variant>
      <vt:variant>
        <vt:lpwstr/>
      </vt:variant>
      <vt:variant>
        <vt:lpwstr>_Toc407983634</vt:lpwstr>
      </vt:variant>
      <vt:variant>
        <vt:i4>1966141</vt:i4>
      </vt:variant>
      <vt:variant>
        <vt:i4>2</vt:i4>
      </vt:variant>
      <vt:variant>
        <vt:i4>0</vt:i4>
      </vt:variant>
      <vt:variant>
        <vt:i4>5</vt:i4>
      </vt:variant>
      <vt:variant>
        <vt:lpwstr/>
      </vt:variant>
      <vt:variant>
        <vt:lpwstr>_Toc407983633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PPCL Petition</dc:title>
  <dc:subject/>
  <dc:creator>Vivek</dc:creator>
  <cp:keywords/>
  <dc:description/>
  <cp:lastModifiedBy>user</cp:lastModifiedBy>
  <cp:revision>2</cp:revision>
  <cp:lastPrinted>2015-02-13T09:46:00Z</cp:lastPrinted>
  <dcterms:created xsi:type="dcterms:W3CDTF">2015-02-16T04:55:00Z</dcterms:created>
  <dcterms:modified xsi:type="dcterms:W3CDTF">2015-02-16T04:55:00Z</dcterms:modified>
</cp:coreProperties>
</file>