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39C" w:rsidRDefault="0095439C">
      <w:pPr>
        <w:rPr>
          <w:sz w:val="22"/>
          <w:szCs w:val="22"/>
        </w:rPr>
      </w:pPr>
    </w:p>
    <w:p w:rsidR="0095439C" w:rsidRDefault="0095439C">
      <w:pPr>
        <w:spacing w:line="240" w:lineRule="auto"/>
        <w:jc w:val="center"/>
        <w:rPr>
          <w:b/>
          <w:sz w:val="22"/>
          <w:szCs w:val="22"/>
        </w:rPr>
      </w:pPr>
      <w:bookmarkStart w:id="0" w:name="_Ref146459126"/>
      <w:bookmarkEnd w:id="0"/>
      <w:r>
        <w:rPr>
          <w:b/>
          <w:sz w:val="22"/>
          <w:szCs w:val="22"/>
        </w:rPr>
        <w:t xml:space="preserve">BEFORE THE </w:t>
      </w:r>
      <w:r w:rsidR="00A37EC8">
        <w:rPr>
          <w:b/>
          <w:sz w:val="22"/>
          <w:szCs w:val="22"/>
        </w:rPr>
        <w:t xml:space="preserve">HON’BLE </w:t>
      </w:r>
      <w:smartTag w:uri="urn:schemas-microsoft-com:office:smarttags" w:element="place">
        <w:smartTag w:uri="urn:schemas-microsoft-com:office:smarttags" w:element="City">
          <w:r>
            <w:rPr>
              <w:b/>
              <w:sz w:val="22"/>
              <w:szCs w:val="22"/>
            </w:rPr>
            <w:t>DELHI</w:t>
          </w:r>
        </w:smartTag>
      </w:smartTag>
      <w:r>
        <w:rPr>
          <w:b/>
          <w:sz w:val="22"/>
          <w:szCs w:val="22"/>
        </w:rPr>
        <w:t xml:space="preserve"> ELECTRICITY REGULATORY COMMISSION</w:t>
      </w:r>
    </w:p>
    <w:p w:rsidR="0095439C" w:rsidRDefault="0095439C">
      <w:pPr>
        <w:spacing w:line="240" w:lineRule="auto"/>
        <w:jc w:val="center"/>
        <w:rPr>
          <w:sz w:val="22"/>
          <w:szCs w:val="22"/>
        </w:rPr>
      </w:pPr>
    </w:p>
    <w:p w:rsidR="0095439C" w:rsidRDefault="0095439C">
      <w:pPr>
        <w:rPr>
          <w:sz w:val="22"/>
          <w:szCs w:val="22"/>
        </w:rPr>
      </w:pPr>
    </w:p>
    <w:p w:rsidR="0095439C" w:rsidRPr="00586CAB" w:rsidRDefault="004B53D7">
      <w:pPr>
        <w:rPr>
          <w:b/>
          <w:bCs/>
          <w:sz w:val="28"/>
          <w:szCs w:val="22"/>
        </w:rPr>
      </w:pPr>
      <w:r w:rsidRPr="00586CAB">
        <w:rPr>
          <w:b/>
          <w:bCs/>
          <w:sz w:val="28"/>
          <w:szCs w:val="22"/>
        </w:rPr>
        <w:t>Petition No:</w:t>
      </w:r>
    </w:p>
    <w:p w:rsidR="0095439C" w:rsidRDefault="0095439C">
      <w:pPr>
        <w:tabs>
          <w:tab w:val="left" w:pos="2880"/>
        </w:tabs>
        <w:rPr>
          <w:sz w:val="22"/>
          <w:szCs w:val="22"/>
        </w:rPr>
      </w:pPr>
    </w:p>
    <w:tbl>
      <w:tblPr>
        <w:tblW w:w="0" w:type="auto"/>
        <w:tblLook w:val="01E0"/>
      </w:tblPr>
      <w:tblGrid>
        <w:gridCol w:w="2224"/>
        <w:gridCol w:w="6834"/>
      </w:tblGrid>
      <w:tr w:rsidR="0095439C">
        <w:tc>
          <w:tcPr>
            <w:tcW w:w="2224" w:type="dxa"/>
          </w:tcPr>
          <w:p w:rsidR="0095439C" w:rsidRPr="00790F39" w:rsidRDefault="0095439C">
            <w:pPr>
              <w:rPr>
                <w:b/>
                <w:bCs/>
                <w:sz w:val="22"/>
                <w:szCs w:val="22"/>
              </w:rPr>
            </w:pPr>
            <w:r w:rsidRPr="00790F39">
              <w:rPr>
                <w:b/>
                <w:bCs/>
                <w:sz w:val="22"/>
                <w:szCs w:val="22"/>
              </w:rPr>
              <w:t>IN THE MATTER OF</w:t>
            </w:r>
          </w:p>
        </w:tc>
        <w:tc>
          <w:tcPr>
            <w:tcW w:w="6834" w:type="dxa"/>
          </w:tcPr>
          <w:p w:rsidR="0095439C" w:rsidRDefault="004D50F8" w:rsidP="00850095">
            <w:pPr>
              <w:rPr>
                <w:sz w:val="22"/>
                <w:szCs w:val="22"/>
              </w:rPr>
            </w:pPr>
            <w:r>
              <w:rPr>
                <w:sz w:val="22"/>
                <w:szCs w:val="22"/>
              </w:rPr>
              <w:t xml:space="preserve">Filing of Tariff Petition under section 62 of the Electricity Act, 2003 for determination of Generation Tariff for the Financial Year 2015-16 </w:t>
            </w:r>
            <w:r w:rsidR="00850095">
              <w:rPr>
                <w:sz w:val="22"/>
                <w:szCs w:val="22"/>
              </w:rPr>
              <w:t xml:space="preserve">, approval of estimates for FY 2014-15 </w:t>
            </w:r>
            <w:r>
              <w:rPr>
                <w:sz w:val="22"/>
                <w:szCs w:val="22"/>
              </w:rPr>
              <w:t xml:space="preserve">and truing up for the previous Period of FY  2012-13 to </w:t>
            </w:r>
            <w:r w:rsidR="00AE496E">
              <w:rPr>
                <w:sz w:val="22"/>
                <w:szCs w:val="22"/>
              </w:rPr>
              <w:t>2013-14</w:t>
            </w:r>
            <w:r>
              <w:rPr>
                <w:sz w:val="22"/>
                <w:szCs w:val="22"/>
              </w:rPr>
              <w:t xml:space="preserve"> </w:t>
            </w:r>
          </w:p>
        </w:tc>
      </w:tr>
      <w:tr w:rsidR="0095439C">
        <w:tc>
          <w:tcPr>
            <w:tcW w:w="2224" w:type="dxa"/>
          </w:tcPr>
          <w:p w:rsidR="0095439C" w:rsidRDefault="0095439C">
            <w:pPr>
              <w:rPr>
                <w:b/>
                <w:bCs/>
                <w:sz w:val="22"/>
                <w:szCs w:val="22"/>
              </w:rPr>
            </w:pPr>
            <w:r w:rsidRPr="00790F39">
              <w:rPr>
                <w:b/>
                <w:bCs/>
                <w:sz w:val="22"/>
                <w:szCs w:val="22"/>
              </w:rPr>
              <w:t>AND</w:t>
            </w:r>
          </w:p>
          <w:p w:rsidR="004F774D" w:rsidRPr="00790F39" w:rsidRDefault="004F774D">
            <w:pPr>
              <w:rPr>
                <w:b/>
                <w:bCs/>
                <w:sz w:val="22"/>
                <w:szCs w:val="22"/>
              </w:rPr>
            </w:pPr>
          </w:p>
        </w:tc>
        <w:tc>
          <w:tcPr>
            <w:tcW w:w="6834" w:type="dxa"/>
          </w:tcPr>
          <w:p w:rsidR="0095439C" w:rsidRDefault="0095439C"/>
        </w:tc>
      </w:tr>
      <w:tr w:rsidR="0095439C">
        <w:tc>
          <w:tcPr>
            <w:tcW w:w="2224" w:type="dxa"/>
          </w:tcPr>
          <w:p w:rsidR="0095439C" w:rsidRPr="00790F39" w:rsidRDefault="0095439C">
            <w:pPr>
              <w:rPr>
                <w:b/>
                <w:bCs/>
                <w:sz w:val="22"/>
                <w:szCs w:val="22"/>
              </w:rPr>
            </w:pPr>
            <w:r w:rsidRPr="00790F39">
              <w:rPr>
                <w:b/>
                <w:bCs/>
                <w:sz w:val="22"/>
                <w:szCs w:val="22"/>
              </w:rPr>
              <w:t>IN THE MATTER OF</w:t>
            </w:r>
          </w:p>
        </w:tc>
        <w:tc>
          <w:tcPr>
            <w:tcW w:w="6834" w:type="dxa"/>
          </w:tcPr>
          <w:p w:rsidR="0095439C" w:rsidRPr="004B53D7" w:rsidRDefault="0095439C">
            <w:pPr>
              <w:rPr>
                <w:b/>
                <w:sz w:val="22"/>
                <w:szCs w:val="22"/>
              </w:rPr>
            </w:pPr>
            <w:r w:rsidRPr="004B53D7">
              <w:rPr>
                <w:b/>
                <w:sz w:val="22"/>
                <w:szCs w:val="22"/>
              </w:rPr>
              <w:t>Indraprastha Power Generation Company Limited</w:t>
            </w:r>
          </w:p>
          <w:p w:rsidR="0095439C" w:rsidRDefault="004B53D7">
            <w:pPr>
              <w:rPr>
                <w:sz w:val="22"/>
                <w:szCs w:val="22"/>
              </w:rPr>
            </w:pPr>
            <w:r>
              <w:rPr>
                <w:sz w:val="22"/>
                <w:szCs w:val="22"/>
              </w:rPr>
              <w:t xml:space="preserve">Regd. Office </w:t>
            </w:r>
            <w:r w:rsidR="0095439C">
              <w:rPr>
                <w:sz w:val="22"/>
                <w:szCs w:val="22"/>
              </w:rPr>
              <w:t>“Himadri”, Rajghat Power House Complex,</w:t>
            </w:r>
          </w:p>
          <w:p w:rsidR="0095439C" w:rsidRDefault="0095439C">
            <w:pPr>
              <w:rPr>
                <w:sz w:val="22"/>
                <w:szCs w:val="22"/>
              </w:rPr>
            </w:pPr>
            <w:smartTag w:uri="urn:schemas-microsoft-com:office:smarttags" w:element="place">
              <w:smartTag w:uri="urn:schemas-microsoft-com:office:smarttags" w:element="City">
                <w:r>
                  <w:rPr>
                    <w:sz w:val="22"/>
                    <w:szCs w:val="22"/>
                  </w:rPr>
                  <w:t>New Delhi</w:t>
                </w:r>
              </w:smartTag>
            </w:smartTag>
            <w:r>
              <w:rPr>
                <w:sz w:val="22"/>
                <w:szCs w:val="22"/>
              </w:rPr>
              <w:t xml:space="preserve"> </w:t>
            </w:r>
            <w:r w:rsidR="0020024C">
              <w:rPr>
                <w:sz w:val="22"/>
                <w:szCs w:val="22"/>
              </w:rPr>
              <w:t>–</w:t>
            </w:r>
            <w:r>
              <w:rPr>
                <w:sz w:val="22"/>
                <w:szCs w:val="22"/>
              </w:rPr>
              <w:t xml:space="preserve"> 110</w:t>
            </w:r>
            <w:r w:rsidR="0020024C">
              <w:rPr>
                <w:sz w:val="22"/>
                <w:szCs w:val="22"/>
              </w:rPr>
              <w:t xml:space="preserve"> </w:t>
            </w:r>
            <w:r>
              <w:rPr>
                <w:sz w:val="22"/>
                <w:szCs w:val="22"/>
              </w:rPr>
              <w:t>002</w:t>
            </w:r>
          </w:p>
          <w:p w:rsidR="0095439C" w:rsidRPr="00790F39" w:rsidRDefault="0095439C">
            <w:pPr>
              <w:rPr>
                <w:b/>
                <w:bCs/>
                <w:sz w:val="22"/>
                <w:szCs w:val="22"/>
              </w:rPr>
            </w:pPr>
            <w:r w:rsidRPr="00790F39">
              <w:rPr>
                <w:b/>
                <w:bCs/>
                <w:sz w:val="22"/>
                <w:szCs w:val="22"/>
              </w:rPr>
              <w:t>PETITIONER</w:t>
            </w:r>
          </w:p>
        </w:tc>
      </w:tr>
    </w:tbl>
    <w:p w:rsidR="0095439C" w:rsidRDefault="0095439C">
      <w:pPr>
        <w:rPr>
          <w:sz w:val="22"/>
          <w:szCs w:val="22"/>
        </w:rPr>
      </w:pPr>
    </w:p>
    <w:p w:rsidR="0095439C" w:rsidRDefault="0095439C">
      <w:pPr>
        <w:rPr>
          <w:sz w:val="22"/>
          <w:szCs w:val="22"/>
        </w:rPr>
      </w:pPr>
    </w:p>
    <w:p w:rsidR="00DB4E91" w:rsidRDefault="00DB4E91">
      <w:pPr>
        <w:rPr>
          <w:sz w:val="22"/>
          <w:szCs w:val="22"/>
        </w:rPr>
      </w:pPr>
    </w:p>
    <w:p w:rsidR="0095439C" w:rsidRDefault="0095439C">
      <w:pPr>
        <w:spacing w:line="240" w:lineRule="auto"/>
        <w:jc w:val="center"/>
        <w:rPr>
          <w:sz w:val="22"/>
          <w:szCs w:val="22"/>
        </w:rPr>
      </w:pPr>
      <w:r>
        <w:rPr>
          <w:sz w:val="22"/>
          <w:szCs w:val="22"/>
        </w:rPr>
        <w:t>THE APPLICANT ABOVE NAMED RESPECTFULLY SUBMITS</w:t>
      </w:r>
    </w:p>
    <w:p w:rsidR="0095439C" w:rsidRDefault="0095439C">
      <w:pPr>
        <w:rPr>
          <w:sz w:val="22"/>
          <w:szCs w:val="22"/>
        </w:rPr>
      </w:pPr>
    </w:p>
    <w:p w:rsidR="0095439C" w:rsidRDefault="0095439C">
      <w:pPr>
        <w:rPr>
          <w:sz w:val="22"/>
          <w:szCs w:val="22"/>
        </w:rPr>
      </w:pPr>
      <w:r>
        <w:rPr>
          <w:sz w:val="22"/>
          <w:szCs w:val="22"/>
        </w:rPr>
        <w:br w:type="page"/>
      </w:r>
    </w:p>
    <w:p w:rsidR="0095439C" w:rsidRDefault="0095439C">
      <w:pPr>
        <w:spacing w:line="240" w:lineRule="auto"/>
        <w:jc w:val="center"/>
        <w:rPr>
          <w:b/>
          <w:sz w:val="32"/>
          <w:szCs w:val="22"/>
        </w:rPr>
      </w:pPr>
      <w:r>
        <w:rPr>
          <w:b/>
          <w:sz w:val="32"/>
          <w:szCs w:val="22"/>
        </w:rPr>
        <w:lastRenderedPageBreak/>
        <w:t>Table of Contents</w:t>
      </w:r>
      <w:r w:rsidR="00A14581">
        <w:rPr>
          <w:b/>
          <w:sz w:val="32"/>
          <w:szCs w:val="22"/>
        </w:rPr>
        <w:t xml:space="preserve">    </w:t>
      </w:r>
    </w:p>
    <w:p w:rsidR="00A14581" w:rsidRDefault="00A14581">
      <w:pPr>
        <w:spacing w:line="240" w:lineRule="auto"/>
        <w:jc w:val="center"/>
        <w:rPr>
          <w:b/>
          <w:sz w:val="32"/>
          <w:szCs w:val="22"/>
        </w:rPr>
      </w:pPr>
    </w:p>
    <w:p w:rsidR="001325BD" w:rsidRDefault="001D1793">
      <w:pPr>
        <w:pStyle w:val="TOC1"/>
        <w:tabs>
          <w:tab w:val="right" w:leader="dot" w:pos="8832"/>
        </w:tabs>
        <w:rPr>
          <w:rFonts w:asciiTheme="minorHAnsi" w:eastAsiaTheme="minorEastAsia" w:hAnsiTheme="minorHAnsi" w:cstheme="minorBidi"/>
          <w:noProof/>
          <w:sz w:val="22"/>
          <w:szCs w:val="22"/>
        </w:rPr>
      </w:pPr>
      <w:r>
        <w:rPr>
          <w:sz w:val="22"/>
          <w:szCs w:val="22"/>
        </w:rPr>
        <w:fldChar w:fldCharType="begin"/>
      </w:r>
      <w:r w:rsidR="00166CD8">
        <w:rPr>
          <w:sz w:val="22"/>
          <w:szCs w:val="22"/>
        </w:rPr>
        <w:instrText xml:space="preserve"> TOC \o "1-3" \h \z \u </w:instrText>
      </w:r>
      <w:r>
        <w:rPr>
          <w:sz w:val="22"/>
          <w:szCs w:val="22"/>
        </w:rPr>
        <w:fldChar w:fldCharType="separate"/>
      </w:r>
      <w:hyperlink w:anchor="_Toc411605241" w:history="1">
        <w:r w:rsidR="001325BD" w:rsidRPr="003936F2">
          <w:rPr>
            <w:rStyle w:val="Hyperlink"/>
            <w:noProof/>
          </w:rPr>
          <w:t>Chapter 1 : Background</w:t>
        </w:r>
        <w:r w:rsidR="001325BD">
          <w:rPr>
            <w:noProof/>
            <w:webHidden/>
          </w:rPr>
          <w:tab/>
        </w:r>
        <w:r>
          <w:rPr>
            <w:noProof/>
            <w:webHidden/>
          </w:rPr>
          <w:fldChar w:fldCharType="begin"/>
        </w:r>
        <w:r w:rsidR="001325BD">
          <w:rPr>
            <w:noProof/>
            <w:webHidden/>
          </w:rPr>
          <w:instrText xml:space="preserve"> PAGEREF _Toc411605241 \h </w:instrText>
        </w:r>
        <w:r>
          <w:rPr>
            <w:noProof/>
            <w:webHidden/>
          </w:rPr>
        </w:r>
        <w:r>
          <w:rPr>
            <w:noProof/>
            <w:webHidden/>
          </w:rPr>
          <w:fldChar w:fldCharType="separate"/>
        </w:r>
        <w:r w:rsidR="002326CE">
          <w:rPr>
            <w:noProof/>
            <w:webHidden/>
          </w:rPr>
          <w:t>4</w:t>
        </w:r>
        <w:r>
          <w:rPr>
            <w:noProof/>
            <w:webHidden/>
          </w:rPr>
          <w:fldChar w:fldCharType="end"/>
        </w:r>
      </w:hyperlink>
    </w:p>
    <w:p w:rsidR="001325BD" w:rsidRDefault="001D1793">
      <w:pPr>
        <w:pStyle w:val="TOC2"/>
        <w:tabs>
          <w:tab w:val="left" w:pos="960"/>
          <w:tab w:val="right" w:leader="dot" w:pos="8832"/>
        </w:tabs>
        <w:rPr>
          <w:rFonts w:asciiTheme="minorHAnsi" w:eastAsiaTheme="minorEastAsia" w:hAnsiTheme="minorHAnsi" w:cstheme="minorBidi"/>
          <w:noProof/>
          <w:sz w:val="22"/>
          <w:szCs w:val="22"/>
        </w:rPr>
      </w:pPr>
      <w:hyperlink w:anchor="_Toc411605242" w:history="1">
        <w:r w:rsidR="001325BD" w:rsidRPr="003936F2">
          <w:rPr>
            <w:rStyle w:val="Hyperlink"/>
            <w:noProof/>
          </w:rPr>
          <w:t>1.1</w:t>
        </w:r>
        <w:r w:rsidR="001325BD">
          <w:rPr>
            <w:rFonts w:asciiTheme="minorHAnsi" w:eastAsiaTheme="minorEastAsia" w:hAnsiTheme="minorHAnsi" w:cstheme="minorBidi"/>
            <w:noProof/>
            <w:sz w:val="22"/>
            <w:szCs w:val="22"/>
          </w:rPr>
          <w:tab/>
        </w:r>
        <w:r w:rsidR="001325BD" w:rsidRPr="003936F2">
          <w:rPr>
            <w:rStyle w:val="Hyperlink"/>
            <w:noProof/>
          </w:rPr>
          <w:t>Introduction</w:t>
        </w:r>
        <w:r w:rsidR="001325BD">
          <w:rPr>
            <w:noProof/>
            <w:webHidden/>
          </w:rPr>
          <w:tab/>
        </w:r>
        <w:r>
          <w:rPr>
            <w:noProof/>
            <w:webHidden/>
          </w:rPr>
          <w:fldChar w:fldCharType="begin"/>
        </w:r>
        <w:r w:rsidR="001325BD">
          <w:rPr>
            <w:noProof/>
            <w:webHidden/>
          </w:rPr>
          <w:instrText xml:space="preserve"> PAGEREF _Toc411605242 \h </w:instrText>
        </w:r>
        <w:r>
          <w:rPr>
            <w:noProof/>
            <w:webHidden/>
          </w:rPr>
        </w:r>
        <w:r>
          <w:rPr>
            <w:noProof/>
            <w:webHidden/>
          </w:rPr>
          <w:fldChar w:fldCharType="separate"/>
        </w:r>
        <w:r w:rsidR="002326CE">
          <w:rPr>
            <w:noProof/>
            <w:webHidden/>
          </w:rPr>
          <w:t>5</w:t>
        </w:r>
        <w:r>
          <w:rPr>
            <w:noProof/>
            <w:webHidden/>
          </w:rPr>
          <w:fldChar w:fldCharType="end"/>
        </w:r>
      </w:hyperlink>
    </w:p>
    <w:p w:rsidR="001325BD" w:rsidRDefault="001D1793">
      <w:pPr>
        <w:pStyle w:val="TOC2"/>
        <w:tabs>
          <w:tab w:val="left" w:pos="960"/>
          <w:tab w:val="right" w:leader="dot" w:pos="8832"/>
        </w:tabs>
        <w:rPr>
          <w:rFonts w:asciiTheme="minorHAnsi" w:eastAsiaTheme="minorEastAsia" w:hAnsiTheme="minorHAnsi" w:cstheme="minorBidi"/>
          <w:noProof/>
          <w:sz w:val="22"/>
          <w:szCs w:val="22"/>
        </w:rPr>
      </w:pPr>
      <w:hyperlink w:anchor="_Toc411605243" w:history="1">
        <w:r w:rsidR="001325BD" w:rsidRPr="003936F2">
          <w:rPr>
            <w:rStyle w:val="Hyperlink"/>
            <w:noProof/>
          </w:rPr>
          <w:t>1.2</w:t>
        </w:r>
        <w:r w:rsidR="001325BD">
          <w:rPr>
            <w:rFonts w:asciiTheme="minorHAnsi" w:eastAsiaTheme="minorEastAsia" w:hAnsiTheme="minorHAnsi" w:cstheme="minorBidi"/>
            <w:noProof/>
            <w:sz w:val="22"/>
            <w:szCs w:val="22"/>
          </w:rPr>
          <w:tab/>
        </w:r>
        <w:r w:rsidR="001325BD" w:rsidRPr="003936F2">
          <w:rPr>
            <w:rStyle w:val="Hyperlink"/>
            <w:noProof/>
          </w:rPr>
          <w:t>Brief Company Profile</w:t>
        </w:r>
        <w:r w:rsidR="001325BD">
          <w:rPr>
            <w:noProof/>
            <w:webHidden/>
          </w:rPr>
          <w:tab/>
        </w:r>
        <w:r>
          <w:rPr>
            <w:noProof/>
            <w:webHidden/>
          </w:rPr>
          <w:fldChar w:fldCharType="begin"/>
        </w:r>
        <w:r w:rsidR="001325BD">
          <w:rPr>
            <w:noProof/>
            <w:webHidden/>
          </w:rPr>
          <w:instrText xml:space="preserve"> PAGEREF _Toc411605243 \h </w:instrText>
        </w:r>
        <w:r>
          <w:rPr>
            <w:noProof/>
            <w:webHidden/>
          </w:rPr>
        </w:r>
        <w:r>
          <w:rPr>
            <w:noProof/>
            <w:webHidden/>
          </w:rPr>
          <w:fldChar w:fldCharType="separate"/>
        </w:r>
        <w:r w:rsidR="002326CE">
          <w:rPr>
            <w:noProof/>
            <w:webHidden/>
          </w:rPr>
          <w:t>6</w:t>
        </w:r>
        <w:r>
          <w:rPr>
            <w:noProof/>
            <w:webHidden/>
          </w:rPr>
          <w:fldChar w:fldCharType="end"/>
        </w:r>
      </w:hyperlink>
    </w:p>
    <w:p w:rsidR="001325BD" w:rsidRDefault="001D1793">
      <w:pPr>
        <w:pStyle w:val="TOC1"/>
        <w:tabs>
          <w:tab w:val="right" w:leader="dot" w:pos="8832"/>
        </w:tabs>
        <w:rPr>
          <w:rFonts w:asciiTheme="minorHAnsi" w:eastAsiaTheme="minorEastAsia" w:hAnsiTheme="minorHAnsi" w:cstheme="minorBidi"/>
          <w:noProof/>
          <w:sz w:val="22"/>
          <w:szCs w:val="22"/>
        </w:rPr>
      </w:pPr>
      <w:hyperlink w:anchor="_Toc411605244" w:history="1">
        <w:r w:rsidR="001325BD" w:rsidRPr="003936F2">
          <w:rPr>
            <w:rStyle w:val="Hyperlink"/>
            <w:noProof/>
          </w:rPr>
          <w:t>Chapter 2 : Submissions</w:t>
        </w:r>
        <w:r w:rsidR="001325BD">
          <w:rPr>
            <w:noProof/>
            <w:webHidden/>
          </w:rPr>
          <w:tab/>
        </w:r>
        <w:r>
          <w:rPr>
            <w:noProof/>
            <w:webHidden/>
          </w:rPr>
          <w:fldChar w:fldCharType="begin"/>
        </w:r>
        <w:r w:rsidR="001325BD">
          <w:rPr>
            <w:noProof/>
            <w:webHidden/>
          </w:rPr>
          <w:instrText xml:space="preserve"> PAGEREF _Toc411605244 \h </w:instrText>
        </w:r>
        <w:r>
          <w:rPr>
            <w:noProof/>
            <w:webHidden/>
          </w:rPr>
        </w:r>
        <w:r>
          <w:rPr>
            <w:noProof/>
            <w:webHidden/>
          </w:rPr>
          <w:fldChar w:fldCharType="separate"/>
        </w:r>
        <w:r w:rsidR="002326CE">
          <w:rPr>
            <w:noProof/>
            <w:webHidden/>
          </w:rPr>
          <w:t>8</w:t>
        </w:r>
        <w:r>
          <w:rPr>
            <w:noProof/>
            <w:webHidden/>
          </w:rPr>
          <w:fldChar w:fldCharType="end"/>
        </w:r>
      </w:hyperlink>
    </w:p>
    <w:p w:rsidR="001325BD" w:rsidRDefault="001D1793">
      <w:pPr>
        <w:pStyle w:val="TOC2"/>
        <w:tabs>
          <w:tab w:val="left" w:pos="960"/>
          <w:tab w:val="right" w:leader="dot" w:pos="8832"/>
        </w:tabs>
        <w:rPr>
          <w:rFonts w:asciiTheme="minorHAnsi" w:eastAsiaTheme="minorEastAsia" w:hAnsiTheme="minorHAnsi" w:cstheme="minorBidi"/>
          <w:noProof/>
          <w:sz w:val="22"/>
          <w:szCs w:val="22"/>
        </w:rPr>
      </w:pPr>
      <w:hyperlink w:anchor="_Toc411605245" w:history="1">
        <w:r w:rsidR="001325BD" w:rsidRPr="003936F2">
          <w:rPr>
            <w:rStyle w:val="Hyperlink"/>
            <w:noProof/>
          </w:rPr>
          <w:t>2.1</w:t>
        </w:r>
        <w:r w:rsidR="001325BD">
          <w:rPr>
            <w:rFonts w:asciiTheme="minorHAnsi" w:eastAsiaTheme="minorEastAsia" w:hAnsiTheme="minorHAnsi" w:cstheme="minorBidi"/>
            <w:noProof/>
            <w:sz w:val="22"/>
            <w:szCs w:val="22"/>
          </w:rPr>
          <w:tab/>
        </w:r>
        <w:r w:rsidR="001325BD" w:rsidRPr="003936F2">
          <w:rPr>
            <w:rStyle w:val="Hyperlink"/>
            <w:noProof/>
          </w:rPr>
          <w:t>Submission Plan</w:t>
        </w:r>
        <w:r w:rsidR="001325BD">
          <w:rPr>
            <w:noProof/>
            <w:webHidden/>
          </w:rPr>
          <w:tab/>
        </w:r>
        <w:r>
          <w:rPr>
            <w:noProof/>
            <w:webHidden/>
          </w:rPr>
          <w:fldChar w:fldCharType="begin"/>
        </w:r>
        <w:r w:rsidR="001325BD">
          <w:rPr>
            <w:noProof/>
            <w:webHidden/>
          </w:rPr>
          <w:instrText xml:space="preserve"> PAGEREF _Toc411605245 \h </w:instrText>
        </w:r>
        <w:r>
          <w:rPr>
            <w:noProof/>
            <w:webHidden/>
          </w:rPr>
        </w:r>
        <w:r>
          <w:rPr>
            <w:noProof/>
            <w:webHidden/>
          </w:rPr>
          <w:fldChar w:fldCharType="separate"/>
        </w:r>
        <w:r w:rsidR="002326CE">
          <w:rPr>
            <w:noProof/>
            <w:webHidden/>
          </w:rPr>
          <w:t>8</w:t>
        </w:r>
        <w:r>
          <w:rPr>
            <w:noProof/>
            <w:webHidden/>
          </w:rPr>
          <w:fldChar w:fldCharType="end"/>
        </w:r>
      </w:hyperlink>
    </w:p>
    <w:p w:rsidR="001325BD" w:rsidRDefault="001D1793">
      <w:pPr>
        <w:pStyle w:val="TOC2"/>
        <w:tabs>
          <w:tab w:val="left" w:pos="960"/>
          <w:tab w:val="right" w:leader="dot" w:pos="8832"/>
        </w:tabs>
        <w:rPr>
          <w:rFonts w:asciiTheme="minorHAnsi" w:eastAsiaTheme="minorEastAsia" w:hAnsiTheme="minorHAnsi" w:cstheme="minorBidi"/>
          <w:noProof/>
          <w:sz w:val="22"/>
          <w:szCs w:val="22"/>
        </w:rPr>
      </w:pPr>
      <w:hyperlink w:anchor="_Toc411605246" w:history="1">
        <w:r w:rsidR="001325BD" w:rsidRPr="003936F2">
          <w:rPr>
            <w:rStyle w:val="Hyperlink"/>
            <w:noProof/>
          </w:rPr>
          <w:t>2.2</w:t>
        </w:r>
        <w:r w:rsidR="001325BD">
          <w:rPr>
            <w:rFonts w:asciiTheme="minorHAnsi" w:eastAsiaTheme="minorEastAsia" w:hAnsiTheme="minorHAnsi" w:cstheme="minorBidi"/>
            <w:noProof/>
            <w:sz w:val="22"/>
            <w:szCs w:val="22"/>
          </w:rPr>
          <w:tab/>
        </w:r>
        <w:r w:rsidR="001325BD" w:rsidRPr="003936F2">
          <w:rPr>
            <w:rStyle w:val="Hyperlink"/>
            <w:noProof/>
          </w:rPr>
          <w:t>Brief of Submissions</w:t>
        </w:r>
        <w:r w:rsidR="001325BD">
          <w:rPr>
            <w:noProof/>
            <w:webHidden/>
          </w:rPr>
          <w:tab/>
        </w:r>
        <w:r>
          <w:rPr>
            <w:noProof/>
            <w:webHidden/>
          </w:rPr>
          <w:fldChar w:fldCharType="begin"/>
        </w:r>
        <w:r w:rsidR="001325BD">
          <w:rPr>
            <w:noProof/>
            <w:webHidden/>
          </w:rPr>
          <w:instrText xml:space="preserve"> PAGEREF _Toc411605246 \h </w:instrText>
        </w:r>
        <w:r>
          <w:rPr>
            <w:noProof/>
            <w:webHidden/>
          </w:rPr>
        </w:r>
        <w:r>
          <w:rPr>
            <w:noProof/>
            <w:webHidden/>
          </w:rPr>
          <w:fldChar w:fldCharType="separate"/>
        </w:r>
        <w:r w:rsidR="002326CE">
          <w:rPr>
            <w:noProof/>
            <w:webHidden/>
          </w:rPr>
          <w:t>8</w:t>
        </w:r>
        <w:r>
          <w:rPr>
            <w:noProof/>
            <w:webHidden/>
          </w:rPr>
          <w:fldChar w:fldCharType="end"/>
        </w:r>
      </w:hyperlink>
    </w:p>
    <w:p w:rsidR="001325BD" w:rsidRDefault="001D1793">
      <w:pPr>
        <w:pStyle w:val="TOC1"/>
        <w:tabs>
          <w:tab w:val="right" w:leader="dot" w:pos="8832"/>
        </w:tabs>
        <w:rPr>
          <w:rFonts w:asciiTheme="minorHAnsi" w:eastAsiaTheme="minorEastAsia" w:hAnsiTheme="minorHAnsi" w:cstheme="minorBidi"/>
          <w:noProof/>
          <w:sz w:val="22"/>
          <w:szCs w:val="22"/>
        </w:rPr>
      </w:pPr>
      <w:hyperlink w:anchor="_Toc411605247" w:history="1">
        <w:r w:rsidR="001325BD" w:rsidRPr="003936F2">
          <w:rPr>
            <w:rStyle w:val="Hyperlink"/>
            <w:noProof/>
          </w:rPr>
          <w:t>Chapter 3 : Estimation of Plant wise Variable &amp; Fixed Cost</w:t>
        </w:r>
        <w:r w:rsidR="001325BD">
          <w:rPr>
            <w:noProof/>
            <w:webHidden/>
          </w:rPr>
          <w:tab/>
        </w:r>
        <w:r>
          <w:rPr>
            <w:noProof/>
            <w:webHidden/>
          </w:rPr>
          <w:fldChar w:fldCharType="begin"/>
        </w:r>
        <w:r w:rsidR="001325BD">
          <w:rPr>
            <w:noProof/>
            <w:webHidden/>
          </w:rPr>
          <w:instrText xml:space="preserve"> PAGEREF _Toc411605247 \h </w:instrText>
        </w:r>
        <w:r>
          <w:rPr>
            <w:noProof/>
            <w:webHidden/>
          </w:rPr>
        </w:r>
        <w:r>
          <w:rPr>
            <w:noProof/>
            <w:webHidden/>
          </w:rPr>
          <w:fldChar w:fldCharType="separate"/>
        </w:r>
        <w:r w:rsidR="002326CE">
          <w:rPr>
            <w:noProof/>
            <w:webHidden/>
          </w:rPr>
          <w:t>16</w:t>
        </w:r>
        <w:r>
          <w:rPr>
            <w:noProof/>
            <w:webHidden/>
          </w:rPr>
          <w:fldChar w:fldCharType="end"/>
        </w:r>
      </w:hyperlink>
    </w:p>
    <w:p w:rsidR="001325BD" w:rsidRDefault="001D1793">
      <w:pPr>
        <w:pStyle w:val="TOC2"/>
        <w:tabs>
          <w:tab w:val="left" w:pos="960"/>
          <w:tab w:val="right" w:leader="dot" w:pos="8832"/>
        </w:tabs>
        <w:rPr>
          <w:rFonts w:asciiTheme="minorHAnsi" w:eastAsiaTheme="minorEastAsia" w:hAnsiTheme="minorHAnsi" w:cstheme="minorBidi"/>
          <w:noProof/>
          <w:sz w:val="22"/>
          <w:szCs w:val="22"/>
        </w:rPr>
      </w:pPr>
      <w:hyperlink w:anchor="_Toc411605248" w:history="1">
        <w:r w:rsidR="001325BD" w:rsidRPr="003936F2">
          <w:rPr>
            <w:rStyle w:val="Hyperlink"/>
            <w:noProof/>
          </w:rPr>
          <w:t>3.1</w:t>
        </w:r>
        <w:r w:rsidR="001325BD">
          <w:rPr>
            <w:rFonts w:asciiTheme="minorHAnsi" w:eastAsiaTheme="minorEastAsia" w:hAnsiTheme="minorHAnsi" w:cstheme="minorBidi"/>
            <w:noProof/>
            <w:sz w:val="22"/>
            <w:szCs w:val="22"/>
          </w:rPr>
          <w:tab/>
        </w:r>
        <w:r w:rsidR="001325BD" w:rsidRPr="003936F2">
          <w:rPr>
            <w:rStyle w:val="Hyperlink"/>
            <w:noProof/>
          </w:rPr>
          <w:t>Estimation of Variable Cost</w:t>
        </w:r>
        <w:r w:rsidR="001325BD">
          <w:rPr>
            <w:noProof/>
            <w:webHidden/>
          </w:rPr>
          <w:tab/>
        </w:r>
        <w:r>
          <w:rPr>
            <w:noProof/>
            <w:webHidden/>
          </w:rPr>
          <w:fldChar w:fldCharType="begin"/>
        </w:r>
        <w:r w:rsidR="001325BD">
          <w:rPr>
            <w:noProof/>
            <w:webHidden/>
          </w:rPr>
          <w:instrText xml:space="preserve"> PAGEREF _Toc411605248 \h </w:instrText>
        </w:r>
        <w:r>
          <w:rPr>
            <w:noProof/>
            <w:webHidden/>
          </w:rPr>
        </w:r>
        <w:r>
          <w:rPr>
            <w:noProof/>
            <w:webHidden/>
          </w:rPr>
          <w:fldChar w:fldCharType="separate"/>
        </w:r>
        <w:r w:rsidR="002326CE">
          <w:rPr>
            <w:noProof/>
            <w:webHidden/>
          </w:rPr>
          <w:t>16</w:t>
        </w:r>
        <w:r>
          <w:rPr>
            <w:noProof/>
            <w:webHidden/>
          </w:rPr>
          <w:fldChar w:fldCharType="end"/>
        </w:r>
      </w:hyperlink>
    </w:p>
    <w:p w:rsidR="001325BD" w:rsidRDefault="001D1793">
      <w:pPr>
        <w:pStyle w:val="TOC3"/>
        <w:tabs>
          <w:tab w:val="left" w:pos="1440"/>
          <w:tab w:val="right" w:leader="dot" w:pos="8832"/>
        </w:tabs>
        <w:rPr>
          <w:rFonts w:asciiTheme="minorHAnsi" w:eastAsiaTheme="minorEastAsia" w:hAnsiTheme="minorHAnsi" w:cstheme="minorBidi"/>
          <w:noProof/>
          <w:sz w:val="22"/>
          <w:szCs w:val="22"/>
        </w:rPr>
      </w:pPr>
      <w:hyperlink w:anchor="_Toc411605249" w:history="1">
        <w:r w:rsidR="001325BD" w:rsidRPr="003936F2">
          <w:rPr>
            <w:rStyle w:val="Hyperlink"/>
            <w:noProof/>
          </w:rPr>
          <w:t>3.1.1</w:t>
        </w:r>
        <w:r w:rsidR="001325BD">
          <w:rPr>
            <w:rFonts w:asciiTheme="minorHAnsi" w:eastAsiaTheme="minorEastAsia" w:hAnsiTheme="minorHAnsi" w:cstheme="minorBidi"/>
            <w:noProof/>
            <w:sz w:val="22"/>
            <w:szCs w:val="22"/>
          </w:rPr>
          <w:tab/>
        </w:r>
        <w:r w:rsidR="001325BD" w:rsidRPr="003936F2">
          <w:rPr>
            <w:rStyle w:val="Hyperlink"/>
            <w:noProof/>
          </w:rPr>
          <w:t>Norms for Operation</w:t>
        </w:r>
        <w:r w:rsidR="001325BD">
          <w:rPr>
            <w:noProof/>
            <w:webHidden/>
          </w:rPr>
          <w:tab/>
        </w:r>
        <w:r>
          <w:rPr>
            <w:noProof/>
            <w:webHidden/>
          </w:rPr>
          <w:fldChar w:fldCharType="begin"/>
        </w:r>
        <w:r w:rsidR="001325BD">
          <w:rPr>
            <w:noProof/>
            <w:webHidden/>
          </w:rPr>
          <w:instrText xml:space="preserve"> PAGEREF _Toc411605249 \h </w:instrText>
        </w:r>
        <w:r>
          <w:rPr>
            <w:noProof/>
            <w:webHidden/>
          </w:rPr>
        </w:r>
        <w:r>
          <w:rPr>
            <w:noProof/>
            <w:webHidden/>
          </w:rPr>
          <w:fldChar w:fldCharType="separate"/>
        </w:r>
        <w:r w:rsidR="002326CE">
          <w:rPr>
            <w:noProof/>
            <w:webHidden/>
          </w:rPr>
          <w:t>16</w:t>
        </w:r>
        <w:r>
          <w:rPr>
            <w:noProof/>
            <w:webHidden/>
          </w:rPr>
          <w:fldChar w:fldCharType="end"/>
        </w:r>
      </w:hyperlink>
    </w:p>
    <w:p w:rsidR="001325BD" w:rsidRDefault="001D1793">
      <w:pPr>
        <w:pStyle w:val="TOC2"/>
        <w:tabs>
          <w:tab w:val="right" w:leader="dot" w:pos="8832"/>
        </w:tabs>
        <w:rPr>
          <w:rFonts w:asciiTheme="minorHAnsi" w:eastAsiaTheme="minorEastAsia" w:hAnsiTheme="minorHAnsi" w:cstheme="minorBidi"/>
          <w:noProof/>
          <w:sz w:val="22"/>
          <w:szCs w:val="22"/>
        </w:rPr>
      </w:pPr>
      <w:hyperlink w:anchor="_Toc411605250" w:history="1">
        <w:r w:rsidR="001325BD" w:rsidRPr="003936F2">
          <w:rPr>
            <w:rStyle w:val="Hyperlink"/>
            <w:noProof/>
          </w:rPr>
          <w:t>3.2 Estimation of Fixed Cost</w:t>
        </w:r>
        <w:r w:rsidR="001325BD">
          <w:rPr>
            <w:noProof/>
            <w:webHidden/>
          </w:rPr>
          <w:tab/>
        </w:r>
        <w:r>
          <w:rPr>
            <w:noProof/>
            <w:webHidden/>
          </w:rPr>
          <w:fldChar w:fldCharType="begin"/>
        </w:r>
        <w:r w:rsidR="001325BD">
          <w:rPr>
            <w:noProof/>
            <w:webHidden/>
          </w:rPr>
          <w:instrText xml:space="preserve"> PAGEREF _Toc411605250 \h </w:instrText>
        </w:r>
        <w:r>
          <w:rPr>
            <w:noProof/>
            <w:webHidden/>
          </w:rPr>
        </w:r>
        <w:r>
          <w:rPr>
            <w:noProof/>
            <w:webHidden/>
          </w:rPr>
          <w:fldChar w:fldCharType="separate"/>
        </w:r>
        <w:r w:rsidR="002326CE">
          <w:rPr>
            <w:noProof/>
            <w:webHidden/>
          </w:rPr>
          <w:t>38</w:t>
        </w:r>
        <w:r>
          <w:rPr>
            <w:noProof/>
            <w:webHidden/>
          </w:rPr>
          <w:fldChar w:fldCharType="end"/>
        </w:r>
      </w:hyperlink>
    </w:p>
    <w:p w:rsidR="001325BD" w:rsidRDefault="001D1793">
      <w:pPr>
        <w:pStyle w:val="TOC3"/>
        <w:tabs>
          <w:tab w:val="left" w:pos="1440"/>
          <w:tab w:val="right" w:leader="dot" w:pos="8832"/>
        </w:tabs>
        <w:rPr>
          <w:rFonts w:asciiTheme="minorHAnsi" w:eastAsiaTheme="minorEastAsia" w:hAnsiTheme="minorHAnsi" w:cstheme="minorBidi"/>
          <w:noProof/>
          <w:sz w:val="22"/>
          <w:szCs w:val="22"/>
        </w:rPr>
      </w:pPr>
      <w:hyperlink w:anchor="_Toc411605251" w:history="1">
        <w:r w:rsidR="001325BD" w:rsidRPr="003936F2">
          <w:rPr>
            <w:rStyle w:val="Hyperlink"/>
            <w:rFonts w:cs="Times New Roman"/>
            <w:noProof/>
          </w:rPr>
          <w:t xml:space="preserve">3.2.1 </w:t>
        </w:r>
        <w:r w:rsidR="001325BD">
          <w:rPr>
            <w:rFonts w:asciiTheme="minorHAnsi" w:eastAsiaTheme="minorEastAsia" w:hAnsiTheme="minorHAnsi" w:cstheme="minorBidi"/>
            <w:noProof/>
            <w:sz w:val="22"/>
            <w:szCs w:val="22"/>
          </w:rPr>
          <w:tab/>
        </w:r>
        <w:r w:rsidR="001325BD" w:rsidRPr="003936F2">
          <w:rPr>
            <w:rStyle w:val="Hyperlink"/>
            <w:rFonts w:cs="Times New Roman"/>
            <w:noProof/>
          </w:rPr>
          <w:t>Operation &amp; Maintenance Expenses</w:t>
        </w:r>
        <w:r w:rsidR="001325BD">
          <w:rPr>
            <w:noProof/>
            <w:webHidden/>
          </w:rPr>
          <w:tab/>
        </w:r>
        <w:r>
          <w:rPr>
            <w:noProof/>
            <w:webHidden/>
          </w:rPr>
          <w:fldChar w:fldCharType="begin"/>
        </w:r>
        <w:r w:rsidR="001325BD">
          <w:rPr>
            <w:noProof/>
            <w:webHidden/>
          </w:rPr>
          <w:instrText xml:space="preserve"> PAGEREF _Toc411605251 \h </w:instrText>
        </w:r>
        <w:r>
          <w:rPr>
            <w:noProof/>
            <w:webHidden/>
          </w:rPr>
        </w:r>
        <w:r>
          <w:rPr>
            <w:noProof/>
            <w:webHidden/>
          </w:rPr>
          <w:fldChar w:fldCharType="separate"/>
        </w:r>
        <w:r w:rsidR="002326CE">
          <w:rPr>
            <w:noProof/>
            <w:webHidden/>
          </w:rPr>
          <w:t>38</w:t>
        </w:r>
        <w:r>
          <w:rPr>
            <w:noProof/>
            <w:webHidden/>
          </w:rPr>
          <w:fldChar w:fldCharType="end"/>
        </w:r>
      </w:hyperlink>
    </w:p>
    <w:p w:rsidR="001325BD" w:rsidRDefault="001D1793">
      <w:pPr>
        <w:pStyle w:val="TOC3"/>
        <w:tabs>
          <w:tab w:val="left" w:pos="1440"/>
          <w:tab w:val="right" w:leader="dot" w:pos="8832"/>
        </w:tabs>
        <w:rPr>
          <w:rFonts w:asciiTheme="minorHAnsi" w:eastAsiaTheme="minorEastAsia" w:hAnsiTheme="minorHAnsi" w:cstheme="minorBidi"/>
          <w:noProof/>
          <w:sz w:val="22"/>
          <w:szCs w:val="22"/>
        </w:rPr>
      </w:pPr>
      <w:hyperlink w:anchor="_Toc411605252" w:history="1">
        <w:r w:rsidR="001325BD" w:rsidRPr="003936F2">
          <w:rPr>
            <w:rStyle w:val="Hyperlink"/>
            <w:noProof/>
          </w:rPr>
          <w:t>3.2.2</w:t>
        </w:r>
        <w:r w:rsidR="001325BD">
          <w:rPr>
            <w:rFonts w:asciiTheme="minorHAnsi" w:eastAsiaTheme="minorEastAsia" w:hAnsiTheme="minorHAnsi" w:cstheme="minorBidi"/>
            <w:noProof/>
            <w:sz w:val="22"/>
            <w:szCs w:val="22"/>
          </w:rPr>
          <w:tab/>
        </w:r>
        <w:r w:rsidR="001325BD" w:rsidRPr="003936F2">
          <w:rPr>
            <w:rStyle w:val="Hyperlink"/>
            <w:noProof/>
          </w:rPr>
          <w:t>Interest on Loan</w:t>
        </w:r>
        <w:r w:rsidR="001325BD">
          <w:rPr>
            <w:noProof/>
            <w:webHidden/>
          </w:rPr>
          <w:tab/>
        </w:r>
        <w:r>
          <w:rPr>
            <w:noProof/>
            <w:webHidden/>
          </w:rPr>
          <w:fldChar w:fldCharType="begin"/>
        </w:r>
        <w:r w:rsidR="001325BD">
          <w:rPr>
            <w:noProof/>
            <w:webHidden/>
          </w:rPr>
          <w:instrText xml:space="preserve"> PAGEREF _Toc411605252 \h </w:instrText>
        </w:r>
        <w:r>
          <w:rPr>
            <w:noProof/>
            <w:webHidden/>
          </w:rPr>
        </w:r>
        <w:r>
          <w:rPr>
            <w:noProof/>
            <w:webHidden/>
          </w:rPr>
          <w:fldChar w:fldCharType="separate"/>
        </w:r>
        <w:r w:rsidR="002326CE">
          <w:rPr>
            <w:noProof/>
            <w:webHidden/>
          </w:rPr>
          <w:t>49</w:t>
        </w:r>
        <w:r>
          <w:rPr>
            <w:noProof/>
            <w:webHidden/>
          </w:rPr>
          <w:fldChar w:fldCharType="end"/>
        </w:r>
      </w:hyperlink>
    </w:p>
    <w:p w:rsidR="001325BD" w:rsidRDefault="001D1793">
      <w:pPr>
        <w:pStyle w:val="TOC3"/>
        <w:tabs>
          <w:tab w:val="left" w:pos="1440"/>
          <w:tab w:val="right" w:leader="dot" w:pos="8832"/>
        </w:tabs>
        <w:rPr>
          <w:rFonts w:asciiTheme="minorHAnsi" w:eastAsiaTheme="minorEastAsia" w:hAnsiTheme="minorHAnsi" w:cstheme="minorBidi"/>
          <w:noProof/>
          <w:sz w:val="22"/>
          <w:szCs w:val="22"/>
        </w:rPr>
      </w:pPr>
      <w:hyperlink w:anchor="_Toc411605253" w:history="1">
        <w:r w:rsidR="001325BD" w:rsidRPr="003936F2">
          <w:rPr>
            <w:rStyle w:val="Hyperlink"/>
            <w:rFonts w:cs="Times New Roman"/>
            <w:noProof/>
          </w:rPr>
          <w:t>3.2.3</w:t>
        </w:r>
        <w:r w:rsidR="001325BD">
          <w:rPr>
            <w:rFonts w:asciiTheme="minorHAnsi" w:eastAsiaTheme="minorEastAsia" w:hAnsiTheme="minorHAnsi" w:cstheme="minorBidi"/>
            <w:noProof/>
            <w:sz w:val="22"/>
            <w:szCs w:val="22"/>
          </w:rPr>
          <w:tab/>
        </w:r>
        <w:r w:rsidR="001325BD" w:rsidRPr="003936F2">
          <w:rPr>
            <w:rStyle w:val="Hyperlink"/>
            <w:rFonts w:cs="Times New Roman"/>
            <w:noProof/>
          </w:rPr>
          <w:t>Depreciation</w:t>
        </w:r>
        <w:r w:rsidR="001325BD">
          <w:rPr>
            <w:noProof/>
            <w:webHidden/>
          </w:rPr>
          <w:tab/>
        </w:r>
        <w:r>
          <w:rPr>
            <w:noProof/>
            <w:webHidden/>
          </w:rPr>
          <w:fldChar w:fldCharType="begin"/>
        </w:r>
        <w:r w:rsidR="001325BD">
          <w:rPr>
            <w:noProof/>
            <w:webHidden/>
          </w:rPr>
          <w:instrText xml:space="preserve"> PAGEREF _Toc411605253 \h </w:instrText>
        </w:r>
        <w:r>
          <w:rPr>
            <w:noProof/>
            <w:webHidden/>
          </w:rPr>
        </w:r>
        <w:r>
          <w:rPr>
            <w:noProof/>
            <w:webHidden/>
          </w:rPr>
          <w:fldChar w:fldCharType="separate"/>
        </w:r>
        <w:r w:rsidR="002326CE">
          <w:rPr>
            <w:noProof/>
            <w:webHidden/>
          </w:rPr>
          <w:t>50</w:t>
        </w:r>
        <w:r>
          <w:rPr>
            <w:noProof/>
            <w:webHidden/>
          </w:rPr>
          <w:fldChar w:fldCharType="end"/>
        </w:r>
      </w:hyperlink>
    </w:p>
    <w:p w:rsidR="001325BD" w:rsidRDefault="001D1793">
      <w:pPr>
        <w:pStyle w:val="TOC3"/>
        <w:tabs>
          <w:tab w:val="left" w:pos="1440"/>
          <w:tab w:val="right" w:leader="dot" w:pos="8832"/>
        </w:tabs>
        <w:rPr>
          <w:rFonts w:asciiTheme="minorHAnsi" w:eastAsiaTheme="minorEastAsia" w:hAnsiTheme="minorHAnsi" w:cstheme="minorBidi"/>
          <w:noProof/>
          <w:sz w:val="22"/>
          <w:szCs w:val="22"/>
        </w:rPr>
      </w:pPr>
      <w:hyperlink w:anchor="_Toc411605254" w:history="1">
        <w:r w:rsidR="001325BD" w:rsidRPr="003936F2">
          <w:rPr>
            <w:rStyle w:val="Hyperlink"/>
            <w:rFonts w:cs="Times New Roman"/>
            <w:noProof/>
          </w:rPr>
          <w:t>3.2.4</w:t>
        </w:r>
        <w:r w:rsidR="001325BD">
          <w:rPr>
            <w:rFonts w:asciiTheme="minorHAnsi" w:eastAsiaTheme="minorEastAsia" w:hAnsiTheme="minorHAnsi" w:cstheme="minorBidi"/>
            <w:noProof/>
            <w:sz w:val="22"/>
            <w:szCs w:val="22"/>
          </w:rPr>
          <w:tab/>
        </w:r>
        <w:r w:rsidR="001325BD" w:rsidRPr="003936F2">
          <w:rPr>
            <w:rStyle w:val="Hyperlink"/>
            <w:rFonts w:cs="Times New Roman"/>
            <w:noProof/>
          </w:rPr>
          <w:t>Return on Equity</w:t>
        </w:r>
        <w:r w:rsidR="001325BD">
          <w:rPr>
            <w:noProof/>
            <w:webHidden/>
          </w:rPr>
          <w:tab/>
        </w:r>
        <w:r>
          <w:rPr>
            <w:noProof/>
            <w:webHidden/>
          </w:rPr>
          <w:fldChar w:fldCharType="begin"/>
        </w:r>
        <w:r w:rsidR="001325BD">
          <w:rPr>
            <w:noProof/>
            <w:webHidden/>
          </w:rPr>
          <w:instrText xml:space="preserve"> PAGEREF _Toc411605254 \h </w:instrText>
        </w:r>
        <w:r>
          <w:rPr>
            <w:noProof/>
            <w:webHidden/>
          </w:rPr>
        </w:r>
        <w:r>
          <w:rPr>
            <w:noProof/>
            <w:webHidden/>
          </w:rPr>
          <w:fldChar w:fldCharType="separate"/>
        </w:r>
        <w:r w:rsidR="002326CE">
          <w:rPr>
            <w:noProof/>
            <w:webHidden/>
          </w:rPr>
          <w:t>51</w:t>
        </w:r>
        <w:r>
          <w:rPr>
            <w:noProof/>
            <w:webHidden/>
          </w:rPr>
          <w:fldChar w:fldCharType="end"/>
        </w:r>
      </w:hyperlink>
    </w:p>
    <w:p w:rsidR="001325BD" w:rsidRDefault="001D1793">
      <w:pPr>
        <w:pStyle w:val="TOC3"/>
        <w:tabs>
          <w:tab w:val="left" w:pos="1440"/>
          <w:tab w:val="right" w:leader="dot" w:pos="8832"/>
        </w:tabs>
        <w:rPr>
          <w:rFonts w:asciiTheme="minorHAnsi" w:eastAsiaTheme="minorEastAsia" w:hAnsiTheme="minorHAnsi" w:cstheme="minorBidi"/>
          <w:noProof/>
          <w:sz w:val="22"/>
          <w:szCs w:val="22"/>
        </w:rPr>
      </w:pPr>
      <w:hyperlink w:anchor="_Toc411605255" w:history="1">
        <w:r w:rsidR="001325BD" w:rsidRPr="003936F2">
          <w:rPr>
            <w:rStyle w:val="Hyperlink"/>
            <w:rFonts w:cs="Times New Roman"/>
            <w:noProof/>
          </w:rPr>
          <w:t>3.2.5</w:t>
        </w:r>
        <w:r w:rsidR="001325BD">
          <w:rPr>
            <w:rFonts w:asciiTheme="minorHAnsi" w:eastAsiaTheme="minorEastAsia" w:hAnsiTheme="minorHAnsi" w:cstheme="minorBidi"/>
            <w:noProof/>
            <w:sz w:val="22"/>
            <w:szCs w:val="22"/>
          </w:rPr>
          <w:tab/>
        </w:r>
        <w:r w:rsidR="001325BD" w:rsidRPr="003936F2">
          <w:rPr>
            <w:rStyle w:val="Hyperlink"/>
            <w:rFonts w:cs="Times New Roman"/>
            <w:noProof/>
          </w:rPr>
          <w:t>Interest on Working Capital</w:t>
        </w:r>
        <w:r w:rsidR="001325BD">
          <w:rPr>
            <w:noProof/>
            <w:webHidden/>
          </w:rPr>
          <w:tab/>
        </w:r>
        <w:r>
          <w:rPr>
            <w:noProof/>
            <w:webHidden/>
          </w:rPr>
          <w:fldChar w:fldCharType="begin"/>
        </w:r>
        <w:r w:rsidR="001325BD">
          <w:rPr>
            <w:noProof/>
            <w:webHidden/>
          </w:rPr>
          <w:instrText xml:space="preserve"> PAGEREF _Toc411605255 \h </w:instrText>
        </w:r>
        <w:r>
          <w:rPr>
            <w:noProof/>
            <w:webHidden/>
          </w:rPr>
        </w:r>
        <w:r>
          <w:rPr>
            <w:noProof/>
            <w:webHidden/>
          </w:rPr>
          <w:fldChar w:fldCharType="separate"/>
        </w:r>
        <w:r w:rsidR="002326CE">
          <w:rPr>
            <w:noProof/>
            <w:webHidden/>
          </w:rPr>
          <w:t>60</w:t>
        </w:r>
        <w:r>
          <w:rPr>
            <w:noProof/>
            <w:webHidden/>
          </w:rPr>
          <w:fldChar w:fldCharType="end"/>
        </w:r>
      </w:hyperlink>
    </w:p>
    <w:p w:rsidR="001325BD" w:rsidRDefault="001D1793">
      <w:pPr>
        <w:pStyle w:val="TOC3"/>
        <w:tabs>
          <w:tab w:val="left" w:pos="1440"/>
          <w:tab w:val="right" w:leader="dot" w:pos="8832"/>
        </w:tabs>
        <w:rPr>
          <w:rFonts w:asciiTheme="minorHAnsi" w:eastAsiaTheme="minorEastAsia" w:hAnsiTheme="minorHAnsi" w:cstheme="minorBidi"/>
          <w:noProof/>
          <w:sz w:val="22"/>
          <w:szCs w:val="22"/>
        </w:rPr>
      </w:pPr>
      <w:hyperlink w:anchor="_Toc411605256" w:history="1">
        <w:r w:rsidR="001325BD" w:rsidRPr="003936F2">
          <w:rPr>
            <w:rStyle w:val="Hyperlink"/>
            <w:noProof/>
          </w:rPr>
          <w:t>3.2.6</w:t>
        </w:r>
        <w:r w:rsidR="001325BD">
          <w:rPr>
            <w:rFonts w:asciiTheme="minorHAnsi" w:eastAsiaTheme="minorEastAsia" w:hAnsiTheme="minorHAnsi" w:cstheme="minorBidi"/>
            <w:noProof/>
            <w:sz w:val="22"/>
            <w:szCs w:val="22"/>
          </w:rPr>
          <w:tab/>
        </w:r>
        <w:r w:rsidR="001325BD" w:rsidRPr="003936F2">
          <w:rPr>
            <w:rStyle w:val="Hyperlink"/>
            <w:noProof/>
          </w:rPr>
          <w:t>Summary of Fixed Cost</w:t>
        </w:r>
        <w:r w:rsidR="001325BD">
          <w:rPr>
            <w:noProof/>
            <w:webHidden/>
          </w:rPr>
          <w:tab/>
        </w:r>
        <w:r>
          <w:rPr>
            <w:noProof/>
            <w:webHidden/>
          </w:rPr>
          <w:fldChar w:fldCharType="begin"/>
        </w:r>
        <w:r w:rsidR="001325BD">
          <w:rPr>
            <w:noProof/>
            <w:webHidden/>
          </w:rPr>
          <w:instrText xml:space="preserve"> PAGEREF _Toc411605256 \h </w:instrText>
        </w:r>
        <w:r>
          <w:rPr>
            <w:noProof/>
            <w:webHidden/>
          </w:rPr>
        </w:r>
        <w:r>
          <w:rPr>
            <w:noProof/>
            <w:webHidden/>
          </w:rPr>
          <w:fldChar w:fldCharType="separate"/>
        </w:r>
        <w:r w:rsidR="002326CE">
          <w:rPr>
            <w:noProof/>
            <w:webHidden/>
          </w:rPr>
          <w:t>64</w:t>
        </w:r>
        <w:r>
          <w:rPr>
            <w:noProof/>
            <w:webHidden/>
          </w:rPr>
          <w:fldChar w:fldCharType="end"/>
        </w:r>
      </w:hyperlink>
    </w:p>
    <w:p w:rsidR="001325BD" w:rsidRDefault="001D1793">
      <w:pPr>
        <w:pStyle w:val="TOC1"/>
        <w:tabs>
          <w:tab w:val="right" w:leader="dot" w:pos="8832"/>
        </w:tabs>
        <w:rPr>
          <w:rFonts w:asciiTheme="minorHAnsi" w:eastAsiaTheme="minorEastAsia" w:hAnsiTheme="minorHAnsi" w:cstheme="minorBidi"/>
          <w:noProof/>
          <w:sz w:val="22"/>
          <w:szCs w:val="22"/>
        </w:rPr>
      </w:pPr>
      <w:hyperlink w:anchor="_Toc411605257" w:history="1">
        <w:r w:rsidR="001325BD" w:rsidRPr="003936F2">
          <w:rPr>
            <w:rStyle w:val="Hyperlink"/>
            <w:noProof/>
          </w:rPr>
          <w:t>Chapter 4: Capital Expenditure</w:t>
        </w:r>
        <w:r w:rsidR="001325BD">
          <w:rPr>
            <w:noProof/>
            <w:webHidden/>
          </w:rPr>
          <w:tab/>
        </w:r>
        <w:r>
          <w:rPr>
            <w:noProof/>
            <w:webHidden/>
          </w:rPr>
          <w:fldChar w:fldCharType="begin"/>
        </w:r>
        <w:r w:rsidR="001325BD">
          <w:rPr>
            <w:noProof/>
            <w:webHidden/>
          </w:rPr>
          <w:instrText xml:space="preserve"> PAGEREF _Toc411605257 \h </w:instrText>
        </w:r>
        <w:r>
          <w:rPr>
            <w:noProof/>
            <w:webHidden/>
          </w:rPr>
        </w:r>
        <w:r>
          <w:rPr>
            <w:noProof/>
            <w:webHidden/>
          </w:rPr>
          <w:fldChar w:fldCharType="separate"/>
        </w:r>
        <w:r w:rsidR="002326CE">
          <w:rPr>
            <w:noProof/>
            <w:webHidden/>
          </w:rPr>
          <w:t>67</w:t>
        </w:r>
        <w:r>
          <w:rPr>
            <w:noProof/>
            <w:webHidden/>
          </w:rPr>
          <w:fldChar w:fldCharType="end"/>
        </w:r>
      </w:hyperlink>
    </w:p>
    <w:p w:rsidR="001325BD" w:rsidRDefault="001D1793">
      <w:pPr>
        <w:pStyle w:val="TOC2"/>
        <w:tabs>
          <w:tab w:val="left" w:pos="720"/>
          <w:tab w:val="right" w:leader="dot" w:pos="8832"/>
        </w:tabs>
        <w:rPr>
          <w:rFonts w:asciiTheme="minorHAnsi" w:eastAsiaTheme="minorEastAsia" w:hAnsiTheme="minorHAnsi" w:cstheme="minorBidi"/>
          <w:noProof/>
          <w:sz w:val="22"/>
          <w:szCs w:val="22"/>
        </w:rPr>
      </w:pPr>
      <w:hyperlink w:anchor="_Toc411605258" w:history="1">
        <w:r w:rsidR="001325BD" w:rsidRPr="003936F2">
          <w:rPr>
            <w:rStyle w:val="Hyperlink"/>
            <w:noProof/>
          </w:rPr>
          <w:t>4.</w:t>
        </w:r>
        <w:r w:rsidR="001325BD">
          <w:rPr>
            <w:rFonts w:asciiTheme="minorHAnsi" w:eastAsiaTheme="minorEastAsia" w:hAnsiTheme="minorHAnsi" w:cstheme="minorBidi"/>
            <w:noProof/>
            <w:sz w:val="22"/>
            <w:szCs w:val="22"/>
          </w:rPr>
          <w:tab/>
        </w:r>
        <w:r w:rsidR="001325BD" w:rsidRPr="003936F2">
          <w:rPr>
            <w:rStyle w:val="Hyperlink"/>
            <w:noProof/>
          </w:rPr>
          <w:t>Capital Expenditure</w:t>
        </w:r>
        <w:r w:rsidR="001325BD">
          <w:rPr>
            <w:noProof/>
            <w:webHidden/>
          </w:rPr>
          <w:tab/>
        </w:r>
        <w:r>
          <w:rPr>
            <w:noProof/>
            <w:webHidden/>
          </w:rPr>
          <w:fldChar w:fldCharType="begin"/>
        </w:r>
        <w:r w:rsidR="001325BD">
          <w:rPr>
            <w:noProof/>
            <w:webHidden/>
          </w:rPr>
          <w:instrText xml:space="preserve"> PAGEREF _Toc411605258 \h </w:instrText>
        </w:r>
        <w:r>
          <w:rPr>
            <w:noProof/>
            <w:webHidden/>
          </w:rPr>
        </w:r>
        <w:r>
          <w:rPr>
            <w:noProof/>
            <w:webHidden/>
          </w:rPr>
          <w:fldChar w:fldCharType="separate"/>
        </w:r>
        <w:r w:rsidR="002326CE">
          <w:rPr>
            <w:noProof/>
            <w:webHidden/>
          </w:rPr>
          <w:t>67</w:t>
        </w:r>
        <w:r>
          <w:rPr>
            <w:noProof/>
            <w:webHidden/>
          </w:rPr>
          <w:fldChar w:fldCharType="end"/>
        </w:r>
      </w:hyperlink>
    </w:p>
    <w:p w:rsidR="001325BD" w:rsidRDefault="001D1793">
      <w:pPr>
        <w:pStyle w:val="TOC1"/>
        <w:tabs>
          <w:tab w:val="right" w:leader="dot" w:pos="8832"/>
        </w:tabs>
        <w:rPr>
          <w:rFonts w:asciiTheme="minorHAnsi" w:eastAsiaTheme="minorEastAsia" w:hAnsiTheme="minorHAnsi" w:cstheme="minorBidi"/>
          <w:noProof/>
          <w:sz w:val="22"/>
          <w:szCs w:val="22"/>
        </w:rPr>
      </w:pPr>
      <w:hyperlink w:anchor="_Toc411605259" w:history="1">
        <w:r w:rsidR="001325BD" w:rsidRPr="003936F2">
          <w:rPr>
            <w:rStyle w:val="Hyperlink"/>
            <w:noProof/>
          </w:rPr>
          <w:t>Chapter 5: Prayer</w:t>
        </w:r>
        <w:r w:rsidR="001325BD">
          <w:rPr>
            <w:noProof/>
            <w:webHidden/>
          </w:rPr>
          <w:tab/>
        </w:r>
        <w:r>
          <w:rPr>
            <w:noProof/>
            <w:webHidden/>
          </w:rPr>
          <w:fldChar w:fldCharType="begin"/>
        </w:r>
        <w:r w:rsidR="001325BD">
          <w:rPr>
            <w:noProof/>
            <w:webHidden/>
          </w:rPr>
          <w:instrText xml:space="preserve"> PAGEREF _Toc411605259 \h </w:instrText>
        </w:r>
        <w:r>
          <w:rPr>
            <w:noProof/>
            <w:webHidden/>
          </w:rPr>
        </w:r>
        <w:r>
          <w:rPr>
            <w:noProof/>
            <w:webHidden/>
          </w:rPr>
          <w:fldChar w:fldCharType="separate"/>
        </w:r>
        <w:r w:rsidR="002326CE">
          <w:rPr>
            <w:noProof/>
            <w:webHidden/>
          </w:rPr>
          <w:t>70</w:t>
        </w:r>
        <w:r>
          <w:rPr>
            <w:noProof/>
            <w:webHidden/>
          </w:rPr>
          <w:fldChar w:fldCharType="end"/>
        </w:r>
      </w:hyperlink>
    </w:p>
    <w:p w:rsidR="001325BD" w:rsidRDefault="001D1793">
      <w:pPr>
        <w:pStyle w:val="TOC2"/>
        <w:tabs>
          <w:tab w:val="left" w:pos="720"/>
          <w:tab w:val="right" w:leader="dot" w:pos="8832"/>
        </w:tabs>
        <w:rPr>
          <w:rFonts w:asciiTheme="minorHAnsi" w:eastAsiaTheme="minorEastAsia" w:hAnsiTheme="minorHAnsi" w:cstheme="minorBidi"/>
          <w:noProof/>
          <w:sz w:val="22"/>
          <w:szCs w:val="22"/>
        </w:rPr>
      </w:pPr>
      <w:hyperlink w:anchor="_Toc411605260" w:history="1">
        <w:r w:rsidR="001325BD" w:rsidRPr="003936F2">
          <w:rPr>
            <w:rStyle w:val="Hyperlink"/>
            <w:noProof/>
          </w:rPr>
          <w:t>5.</w:t>
        </w:r>
        <w:r w:rsidR="001325BD">
          <w:rPr>
            <w:rFonts w:asciiTheme="minorHAnsi" w:eastAsiaTheme="minorEastAsia" w:hAnsiTheme="minorHAnsi" w:cstheme="minorBidi"/>
            <w:noProof/>
            <w:sz w:val="22"/>
            <w:szCs w:val="22"/>
          </w:rPr>
          <w:tab/>
        </w:r>
        <w:r w:rsidR="001325BD" w:rsidRPr="003936F2">
          <w:rPr>
            <w:rStyle w:val="Hyperlink"/>
            <w:noProof/>
          </w:rPr>
          <w:t>Prayer</w:t>
        </w:r>
        <w:r w:rsidR="001325BD">
          <w:rPr>
            <w:noProof/>
            <w:webHidden/>
          </w:rPr>
          <w:tab/>
        </w:r>
        <w:r>
          <w:rPr>
            <w:noProof/>
            <w:webHidden/>
          </w:rPr>
          <w:fldChar w:fldCharType="begin"/>
        </w:r>
        <w:r w:rsidR="001325BD">
          <w:rPr>
            <w:noProof/>
            <w:webHidden/>
          </w:rPr>
          <w:instrText xml:space="preserve"> PAGEREF _Toc411605260 \h </w:instrText>
        </w:r>
        <w:r>
          <w:rPr>
            <w:noProof/>
            <w:webHidden/>
          </w:rPr>
        </w:r>
        <w:r>
          <w:rPr>
            <w:noProof/>
            <w:webHidden/>
          </w:rPr>
          <w:fldChar w:fldCharType="separate"/>
        </w:r>
        <w:r w:rsidR="002326CE">
          <w:rPr>
            <w:noProof/>
            <w:webHidden/>
          </w:rPr>
          <w:t>70</w:t>
        </w:r>
        <w:r>
          <w:rPr>
            <w:noProof/>
            <w:webHidden/>
          </w:rPr>
          <w:fldChar w:fldCharType="end"/>
        </w:r>
      </w:hyperlink>
    </w:p>
    <w:p w:rsidR="0095439C" w:rsidRDefault="001D1793">
      <w:pPr>
        <w:rPr>
          <w:sz w:val="22"/>
          <w:szCs w:val="22"/>
        </w:rPr>
      </w:pPr>
      <w:r>
        <w:rPr>
          <w:sz w:val="22"/>
          <w:szCs w:val="22"/>
        </w:rPr>
        <w:fldChar w:fldCharType="end"/>
      </w:r>
    </w:p>
    <w:p w:rsidR="0095439C" w:rsidRDefault="0095439C">
      <w:pPr>
        <w:rPr>
          <w:sz w:val="22"/>
          <w:szCs w:val="22"/>
        </w:rPr>
      </w:pPr>
    </w:p>
    <w:p w:rsidR="0095439C" w:rsidRDefault="0095439C">
      <w:pPr>
        <w:rPr>
          <w:sz w:val="22"/>
          <w:szCs w:val="22"/>
        </w:rPr>
      </w:pPr>
    </w:p>
    <w:p w:rsidR="0095439C" w:rsidRDefault="0095439C" w:rsidP="0005376F">
      <w:pPr>
        <w:jc w:val="center"/>
        <w:rPr>
          <w:sz w:val="22"/>
          <w:szCs w:val="22"/>
        </w:rPr>
      </w:pPr>
    </w:p>
    <w:p w:rsidR="0005376F" w:rsidRDefault="0005376F" w:rsidP="0005376F">
      <w:pPr>
        <w:jc w:val="center"/>
        <w:rPr>
          <w:sz w:val="22"/>
          <w:szCs w:val="22"/>
        </w:rPr>
      </w:pPr>
    </w:p>
    <w:p w:rsidR="0005376F" w:rsidRDefault="0005376F" w:rsidP="0005376F">
      <w:pPr>
        <w:jc w:val="center"/>
        <w:rPr>
          <w:sz w:val="22"/>
          <w:szCs w:val="22"/>
        </w:rPr>
      </w:pPr>
    </w:p>
    <w:p w:rsidR="0005376F" w:rsidRDefault="0005376F" w:rsidP="0005376F">
      <w:pPr>
        <w:jc w:val="center"/>
        <w:rPr>
          <w:sz w:val="22"/>
          <w:szCs w:val="22"/>
        </w:rPr>
      </w:pPr>
    </w:p>
    <w:p w:rsidR="0005376F" w:rsidRDefault="0005376F" w:rsidP="0005376F">
      <w:pPr>
        <w:jc w:val="center"/>
        <w:rPr>
          <w:sz w:val="22"/>
          <w:szCs w:val="22"/>
        </w:rPr>
      </w:pPr>
    </w:p>
    <w:p w:rsidR="00C70F40" w:rsidRDefault="00C70F40" w:rsidP="0005376F">
      <w:pPr>
        <w:jc w:val="center"/>
        <w:rPr>
          <w:sz w:val="22"/>
          <w:szCs w:val="22"/>
        </w:rPr>
      </w:pPr>
    </w:p>
    <w:p w:rsidR="00C70F40" w:rsidRDefault="00C70F40" w:rsidP="0005376F">
      <w:pPr>
        <w:jc w:val="center"/>
        <w:rPr>
          <w:sz w:val="22"/>
          <w:szCs w:val="22"/>
        </w:rPr>
      </w:pPr>
    </w:p>
    <w:p w:rsidR="00E972D6" w:rsidRDefault="0005376F" w:rsidP="0005376F">
      <w:pPr>
        <w:jc w:val="center"/>
        <w:rPr>
          <w:noProof/>
        </w:rPr>
      </w:pPr>
      <w:r w:rsidRPr="009F67FF">
        <w:rPr>
          <w:b/>
          <w:sz w:val="22"/>
          <w:szCs w:val="22"/>
        </w:rPr>
        <w:lastRenderedPageBreak/>
        <w:t>List of Tables</w:t>
      </w:r>
      <w:r w:rsidR="001D1793" w:rsidRPr="001D1793">
        <w:rPr>
          <w:b/>
          <w:sz w:val="22"/>
          <w:szCs w:val="22"/>
        </w:rPr>
        <w:fldChar w:fldCharType="begin"/>
      </w:r>
      <w:r w:rsidR="008C3715" w:rsidRPr="009F67FF">
        <w:rPr>
          <w:b/>
          <w:sz w:val="22"/>
          <w:szCs w:val="22"/>
        </w:rPr>
        <w:instrText xml:space="preserve"> TOC \h \z \c "Table" </w:instrText>
      </w:r>
      <w:r w:rsidR="001D1793" w:rsidRPr="001D1793">
        <w:rPr>
          <w:b/>
          <w:sz w:val="22"/>
          <w:szCs w:val="22"/>
        </w:rPr>
        <w:fldChar w:fldCharType="separate"/>
      </w:r>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78" w:history="1">
        <w:r w:rsidR="00E972D6" w:rsidRPr="00D71640">
          <w:rPr>
            <w:rStyle w:val="Hyperlink"/>
            <w:noProof/>
          </w:rPr>
          <w:t>Table 1: Availability (%)</w:t>
        </w:r>
        <w:r w:rsidR="00E972D6">
          <w:rPr>
            <w:noProof/>
            <w:webHidden/>
          </w:rPr>
          <w:tab/>
        </w:r>
        <w:r>
          <w:rPr>
            <w:noProof/>
            <w:webHidden/>
          </w:rPr>
          <w:fldChar w:fldCharType="begin"/>
        </w:r>
        <w:r w:rsidR="00E972D6">
          <w:rPr>
            <w:noProof/>
            <w:webHidden/>
          </w:rPr>
          <w:instrText xml:space="preserve"> PAGEREF _Toc411603978 \h </w:instrText>
        </w:r>
        <w:r>
          <w:rPr>
            <w:noProof/>
            <w:webHidden/>
          </w:rPr>
        </w:r>
        <w:r>
          <w:rPr>
            <w:noProof/>
            <w:webHidden/>
          </w:rPr>
          <w:fldChar w:fldCharType="separate"/>
        </w:r>
        <w:r w:rsidR="002326CE">
          <w:rPr>
            <w:noProof/>
            <w:webHidden/>
          </w:rPr>
          <w:t>16</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79" w:history="1">
        <w:r w:rsidR="00E972D6" w:rsidRPr="00D71640">
          <w:rPr>
            <w:rStyle w:val="Hyperlink"/>
            <w:noProof/>
          </w:rPr>
          <w:t>Table 2 : Availability (%) of GTPS</w:t>
        </w:r>
        <w:r w:rsidR="00E972D6">
          <w:rPr>
            <w:noProof/>
            <w:webHidden/>
          </w:rPr>
          <w:tab/>
        </w:r>
        <w:r>
          <w:rPr>
            <w:noProof/>
            <w:webHidden/>
          </w:rPr>
          <w:fldChar w:fldCharType="begin"/>
        </w:r>
        <w:r w:rsidR="00E972D6">
          <w:rPr>
            <w:noProof/>
            <w:webHidden/>
          </w:rPr>
          <w:instrText xml:space="preserve"> PAGEREF _Toc411603979 \h </w:instrText>
        </w:r>
        <w:r>
          <w:rPr>
            <w:noProof/>
            <w:webHidden/>
          </w:rPr>
        </w:r>
        <w:r>
          <w:rPr>
            <w:noProof/>
            <w:webHidden/>
          </w:rPr>
          <w:fldChar w:fldCharType="separate"/>
        </w:r>
        <w:r w:rsidR="002326CE">
          <w:rPr>
            <w:noProof/>
            <w:webHidden/>
          </w:rPr>
          <w:t>19</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0" w:history="1">
        <w:r w:rsidR="00E972D6" w:rsidRPr="00D71640">
          <w:rPr>
            <w:rStyle w:val="Hyperlink"/>
            <w:noProof/>
          </w:rPr>
          <w:t>Table 3 : Station Heat Rates (kCal/kWh) for IPGCL Stations</w:t>
        </w:r>
        <w:r w:rsidR="00E972D6">
          <w:rPr>
            <w:noProof/>
            <w:webHidden/>
          </w:rPr>
          <w:tab/>
        </w:r>
        <w:r>
          <w:rPr>
            <w:noProof/>
            <w:webHidden/>
          </w:rPr>
          <w:fldChar w:fldCharType="begin"/>
        </w:r>
        <w:r w:rsidR="00E972D6">
          <w:rPr>
            <w:noProof/>
            <w:webHidden/>
          </w:rPr>
          <w:instrText xml:space="preserve"> PAGEREF _Toc411603980 \h </w:instrText>
        </w:r>
        <w:r>
          <w:rPr>
            <w:noProof/>
            <w:webHidden/>
          </w:rPr>
        </w:r>
        <w:r>
          <w:rPr>
            <w:noProof/>
            <w:webHidden/>
          </w:rPr>
          <w:fldChar w:fldCharType="separate"/>
        </w:r>
        <w:r w:rsidR="002326CE">
          <w:rPr>
            <w:noProof/>
            <w:webHidden/>
          </w:rPr>
          <w:t>20</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1" w:history="1">
        <w:r w:rsidR="00E972D6" w:rsidRPr="00D71640">
          <w:rPr>
            <w:rStyle w:val="Hyperlink"/>
            <w:noProof/>
          </w:rPr>
          <w:t>Table 4 : SHR (Approved vs. Actual)</w:t>
        </w:r>
        <w:r w:rsidR="00E972D6">
          <w:rPr>
            <w:noProof/>
            <w:webHidden/>
          </w:rPr>
          <w:tab/>
        </w:r>
        <w:r>
          <w:rPr>
            <w:noProof/>
            <w:webHidden/>
          </w:rPr>
          <w:fldChar w:fldCharType="begin"/>
        </w:r>
        <w:r w:rsidR="00E972D6">
          <w:rPr>
            <w:noProof/>
            <w:webHidden/>
          </w:rPr>
          <w:instrText xml:space="preserve"> PAGEREF _Toc411603981 \h </w:instrText>
        </w:r>
        <w:r>
          <w:rPr>
            <w:noProof/>
            <w:webHidden/>
          </w:rPr>
        </w:r>
        <w:r>
          <w:rPr>
            <w:noProof/>
            <w:webHidden/>
          </w:rPr>
          <w:fldChar w:fldCharType="separate"/>
        </w:r>
        <w:r w:rsidR="002326CE">
          <w:rPr>
            <w:noProof/>
            <w:webHidden/>
          </w:rPr>
          <w:t>20</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2" w:history="1">
        <w:r w:rsidR="00E972D6" w:rsidRPr="00D71640">
          <w:rPr>
            <w:rStyle w:val="Hyperlink"/>
            <w:noProof/>
          </w:rPr>
          <w:t>Table 5 : Heat Rate of Gas Turbine Power Station</w:t>
        </w:r>
        <w:r w:rsidR="00E972D6">
          <w:rPr>
            <w:noProof/>
            <w:webHidden/>
          </w:rPr>
          <w:tab/>
        </w:r>
        <w:r>
          <w:rPr>
            <w:noProof/>
            <w:webHidden/>
          </w:rPr>
          <w:fldChar w:fldCharType="begin"/>
        </w:r>
        <w:r w:rsidR="00E972D6">
          <w:rPr>
            <w:noProof/>
            <w:webHidden/>
          </w:rPr>
          <w:instrText xml:space="preserve"> PAGEREF _Toc411603982 \h </w:instrText>
        </w:r>
        <w:r>
          <w:rPr>
            <w:noProof/>
            <w:webHidden/>
          </w:rPr>
        </w:r>
        <w:r>
          <w:rPr>
            <w:noProof/>
            <w:webHidden/>
          </w:rPr>
          <w:fldChar w:fldCharType="separate"/>
        </w:r>
        <w:r w:rsidR="002326CE">
          <w:rPr>
            <w:noProof/>
            <w:webHidden/>
          </w:rPr>
          <w:t>24</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3" w:history="1">
        <w:r w:rsidR="00E972D6" w:rsidRPr="00D71640">
          <w:rPr>
            <w:rStyle w:val="Hyperlink"/>
            <w:noProof/>
          </w:rPr>
          <w:t>Table 6 : Recommendation of Heat Rate by CEA in 2004</w:t>
        </w:r>
        <w:r w:rsidR="00E972D6">
          <w:rPr>
            <w:noProof/>
            <w:webHidden/>
          </w:rPr>
          <w:tab/>
        </w:r>
        <w:r>
          <w:rPr>
            <w:noProof/>
            <w:webHidden/>
          </w:rPr>
          <w:fldChar w:fldCharType="begin"/>
        </w:r>
        <w:r w:rsidR="00E972D6">
          <w:rPr>
            <w:noProof/>
            <w:webHidden/>
          </w:rPr>
          <w:instrText xml:space="preserve"> PAGEREF _Toc411603983 \h </w:instrText>
        </w:r>
        <w:r>
          <w:rPr>
            <w:noProof/>
            <w:webHidden/>
          </w:rPr>
        </w:r>
        <w:r>
          <w:rPr>
            <w:noProof/>
            <w:webHidden/>
          </w:rPr>
          <w:fldChar w:fldCharType="separate"/>
        </w:r>
        <w:r w:rsidR="002326CE">
          <w:rPr>
            <w:noProof/>
            <w:webHidden/>
          </w:rPr>
          <w:t>24</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4" w:history="1">
        <w:r w:rsidR="00E972D6" w:rsidRPr="00D71640">
          <w:rPr>
            <w:rStyle w:val="Hyperlink"/>
            <w:noProof/>
          </w:rPr>
          <w:t>Table 7 : Open cycle (%) certified by SLDC</w:t>
        </w:r>
        <w:r w:rsidR="00E972D6">
          <w:rPr>
            <w:noProof/>
            <w:webHidden/>
          </w:rPr>
          <w:tab/>
        </w:r>
        <w:r>
          <w:rPr>
            <w:noProof/>
            <w:webHidden/>
          </w:rPr>
          <w:fldChar w:fldCharType="begin"/>
        </w:r>
        <w:r w:rsidR="00E972D6">
          <w:rPr>
            <w:noProof/>
            <w:webHidden/>
          </w:rPr>
          <w:instrText xml:space="preserve"> PAGEREF _Toc411603984 \h </w:instrText>
        </w:r>
        <w:r>
          <w:rPr>
            <w:noProof/>
            <w:webHidden/>
          </w:rPr>
        </w:r>
        <w:r>
          <w:rPr>
            <w:noProof/>
            <w:webHidden/>
          </w:rPr>
          <w:fldChar w:fldCharType="separate"/>
        </w:r>
        <w:r w:rsidR="002326CE">
          <w:rPr>
            <w:noProof/>
            <w:webHidden/>
          </w:rPr>
          <w:t>25</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5" w:history="1">
        <w:r w:rsidR="00E972D6" w:rsidRPr="00D71640">
          <w:rPr>
            <w:rStyle w:val="Hyperlink"/>
            <w:noProof/>
          </w:rPr>
          <w:t>Table 8 : Comparison of Availability &amp; PLF for GTPS</w:t>
        </w:r>
        <w:r w:rsidR="00E972D6">
          <w:rPr>
            <w:noProof/>
            <w:webHidden/>
          </w:rPr>
          <w:tab/>
        </w:r>
        <w:r>
          <w:rPr>
            <w:noProof/>
            <w:webHidden/>
          </w:rPr>
          <w:fldChar w:fldCharType="begin"/>
        </w:r>
        <w:r w:rsidR="00E972D6">
          <w:rPr>
            <w:noProof/>
            <w:webHidden/>
          </w:rPr>
          <w:instrText xml:space="preserve"> PAGEREF _Toc411603985 \h </w:instrText>
        </w:r>
        <w:r>
          <w:rPr>
            <w:noProof/>
            <w:webHidden/>
          </w:rPr>
        </w:r>
        <w:r>
          <w:rPr>
            <w:noProof/>
            <w:webHidden/>
          </w:rPr>
          <w:fldChar w:fldCharType="separate"/>
        </w:r>
        <w:r w:rsidR="002326CE">
          <w:rPr>
            <w:noProof/>
            <w:webHidden/>
          </w:rPr>
          <w:t>26</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6" w:history="1">
        <w:r w:rsidR="00E972D6" w:rsidRPr="00D71640">
          <w:rPr>
            <w:rStyle w:val="Hyperlink"/>
            <w:noProof/>
          </w:rPr>
          <w:t>Table 9 : Auxiliary power Consumption (%) for IPGCL Stations</w:t>
        </w:r>
        <w:r w:rsidR="00E972D6">
          <w:rPr>
            <w:noProof/>
            <w:webHidden/>
          </w:rPr>
          <w:tab/>
        </w:r>
        <w:r>
          <w:rPr>
            <w:noProof/>
            <w:webHidden/>
          </w:rPr>
          <w:fldChar w:fldCharType="begin"/>
        </w:r>
        <w:r w:rsidR="00E972D6">
          <w:rPr>
            <w:noProof/>
            <w:webHidden/>
          </w:rPr>
          <w:instrText xml:space="preserve"> PAGEREF _Toc411603986 \h </w:instrText>
        </w:r>
        <w:r>
          <w:rPr>
            <w:noProof/>
            <w:webHidden/>
          </w:rPr>
        </w:r>
        <w:r>
          <w:rPr>
            <w:noProof/>
            <w:webHidden/>
          </w:rPr>
          <w:fldChar w:fldCharType="separate"/>
        </w:r>
        <w:r w:rsidR="002326CE">
          <w:rPr>
            <w:noProof/>
            <w:webHidden/>
          </w:rPr>
          <w:t>28</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7" w:history="1">
        <w:r w:rsidR="00E972D6" w:rsidRPr="00D71640">
          <w:rPr>
            <w:rStyle w:val="Hyperlink"/>
            <w:noProof/>
          </w:rPr>
          <w:t>Table 10 : Auxiliary Power Consumption of Rajghat Power House</w:t>
        </w:r>
        <w:r w:rsidR="00E972D6">
          <w:rPr>
            <w:noProof/>
            <w:webHidden/>
          </w:rPr>
          <w:tab/>
        </w:r>
        <w:r>
          <w:rPr>
            <w:noProof/>
            <w:webHidden/>
          </w:rPr>
          <w:fldChar w:fldCharType="begin"/>
        </w:r>
        <w:r w:rsidR="00E972D6">
          <w:rPr>
            <w:noProof/>
            <w:webHidden/>
          </w:rPr>
          <w:instrText xml:space="preserve"> PAGEREF _Toc411603987 \h </w:instrText>
        </w:r>
        <w:r>
          <w:rPr>
            <w:noProof/>
            <w:webHidden/>
          </w:rPr>
        </w:r>
        <w:r>
          <w:rPr>
            <w:noProof/>
            <w:webHidden/>
          </w:rPr>
          <w:fldChar w:fldCharType="separate"/>
        </w:r>
        <w:r w:rsidR="002326CE">
          <w:rPr>
            <w:noProof/>
            <w:webHidden/>
          </w:rPr>
          <w:t>28</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8" w:history="1">
        <w:r w:rsidR="00E972D6" w:rsidRPr="00D71640">
          <w:rPr>
            <w:rStyle w:val="Hyperlink"/>
            <w:noProof/>
          </w:rPr>
          <w:t>Table 11 : Auxiliary Power Consumption of Gas Turbine Power Station</w:t>
        </w:r>
        <w:r w:rsidR="00E972D6">
          <w:rPr>
            <w:noProof/>
            <w:webHidden/>
          </w:rPr>
          <w:tab/>
        </w:r>
        <w:r>
          <w:rPr>
            <w:noProof/>
            <w:webHidden/>
          </w:rPr>
          <w:fldChar w:fldCharType="begin"/>
        </w:r>
        <w:r w:rsidR="00E972D6">
          <w:rPr>
            <w:noProof/>
            <w:webHidden/>
          </w:rPr>
          <w:instrText xml:space="preserve"> PAGEREF _Toc411603988 \h </w:instrText>
        </w:r>
        <w:r>
          <w:rPr>
            <w:noProof/>
            <w:webHidden/>
          </w:rPr>
        </w:r>
        <w:r>
          <w:rPr>
            <w:noProof/>
            <w:webHidden/>
          </w:rPr>
          <w:fldChar w:fldCharType="separate"/>
        </w:r>
        <w:r w:rsidR="002326CE">
          <w:rPr>
            <w:noProof/>
            <w:webHidden/>
          </w:rPr>
          <w:t>30</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89" w:history="1">
        <w:r w:rsidR="00E972D6" w:rsidRPr="00D71640">
          <w:rPr>
            <w:rStyle w:val="Hyperlink"/>
            <w:noProof/>
          </w:rPr>
          <w:t>Table 12 : Comparison of Availability &amp; PLF for GTPS</w:t>
        </w:r>
        <w:r w:rsidR="00E972D6">
          <w:rPr>
            <w:noProof/>
            <w:webHidden/>
          </w:rPr>
          <w:tab/>
        </w:r>
        <w:r>
          <w:rPr>
            <w:noProof/>
            <w:webHidden/>
          </w:rPr>
          <w:fldChar w:fldCharType="begin"/>
        </w:r>
        <w:r w:rsidR="00E972D6">
          <w:rPr>
            <w:noProof/>
            <w:webHidden/>
          </w:rPr>
          <w:instrText xml:space="preserve"> PAGEREF _Toc411603989 \h </w:instrText>
        </w:r>
        <w:r>
          <w:rPr>
            <w:noProof/>
            <w:webHidden/>
          </w:rPr>
        </w:r>
        <w:r>
          <w:rPr>
            <w:noProof/>
            <w:webHidden/>
          </w:rPr>
          <w:fldChar w:fldCharType="separate"/>
        </w:r>
        <w:r w:rsidR="002326CE">
          <w:rPr>
            <w:noProof/>
            <w:webHidden/>
          </w:rPr>
          <w:t>30</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0" w:history="1">
        <w:r w:rsidR="00E972D6" w:rsidRPr="00D71640">
          <w:rPr>
            <w:rStyle w:val="Hyperlink"/>
            <w:noProof/>
          </w:rPr>
          <w:t>Table 13 : Gross and Net Generation</w:t>
        </w:r>
        <w:r w:rsidR="00E972D6">
          <w:rPr>
            <w:noProof/>
            <w:webHidden/>
          </w:rPr>
          <w:tab/>
        </w:r>
        <w:r>
          <w:rPr>
            <w:noProof/>
            <w:webHidden/>
          </w:rPr>
          <w:fldChar w:fldCharType="begin"/>
        </w:r>
        <w:r w:rsidR="00E972D6">
          <w:rPr>
            <w:noProof/>
            <w:webHidden/>
          </w:rPr>
          <w:instrText xml:space="preserve"> PAGEREF _Toc411603990 \h </w:instrText>
        </w:r>
        <w:r>
          <w:rPr>
            <w:noProof/>
            <w:webHidden/>
          </w:rPr>
        </w:r>
        <w:r>
          <w:rPr>
            <w:noProof/>
            <w:webHidden/>
          </w:rPr>
          <w:fldChar w:fldCharType="separate"/>
        </w:r>
        <w:r w:rsidR="002326CE">
          <w:rPr>
            <w:noProof/>
            <w:webHidden/>
          </w:rPr>
          <w:t>31</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1" w:history="1">
        <w:r w:rsidR="00E972D6" w:rsidRPr="00D71640">
          <w:rPr>
            <w:rStyle w:val="Hyperlink"/>
            <w:noProof/>
          </w:rPr>
          <w:t>Table 14 : Norms of Secondary Fuel allowed for RPH</w:t>
        </w:r>
        <w:r w:rsidR="00E972D6">
          <w:rPr>
            <w:noProof/>
            <w:webHidden/>
          </w:rPr>
          <w:tab/>
        </w:r>
        <w:r>
          <w:rPr>
            <w:noProof/>
            <w:webHidden/>
          </w:rPr>
          <w:fldChar w:fldCharType="begin"/>
        </w:r>
        <w:r w:rsidR="00E972D6">
          <w:rPr>
            <w:noProof/>
            <w:webHidden/>
          </w:rPr>
          <w:instrText xml:space="preserve"> PAGEREF _Toc411603991 \h </w:instrText>
        </w:r>
        <w:r>
          <w:rPr>
            <w:noProof/>
            <w:webHidden/>
          </w:rPr>
        </w:r>
        <w:r>
          <w:rPr>
            <w:noProof/>
            <w:webHidden/>
          </w:rPr>
          <w:fldChar w:fldCharType="separate"/>
        </w:r>
        <w:r w:rsidR="002326CE">
          <w:rPr>
            <w:noProof/>
            <w:webHidden/>
          </w:rPr>
          <w:t>34</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2" w:history="1">
        <w:r w:rsidR="00E972D6" w:rsidRPr="00D71640">
          <w:rPr>
            <w:rStyle w:val="Hyperlink"/>
            <w:noProof/>
          </w:rPr>
          <w:t>Table 15 : Actual  Secondary Fuel consumption for RPH</w:t>
        </w:r>
        <w:r w:rsidR="00E972D6">
          <w:rPr>
            <w:noProof/>
            <w:webHidden/>
          </w:rPr>
          <w:tab/>
        </w:r>
        <w:r>
          <w:rPr>
            <w:noProof/>
            <w:webHidden/>
          </w:rPr>
          <w:fldChar w:fldCharType="begin"/>
        </w:r>
        <w:r w:rsidR="00E972D6">
          <w:rPr>
            <w:noProof/>
            <w:webHidden/>
          </w:rPr>
          <w:instrText xml:space="preserve"> PAGEREF _Toc411603992 \h </w:instrText>
        </w:r>
        <w:r>
          <w:rPr>
            <w:noProof/>
            <w:webHidden/>
          </w:rPr>
        </w:r>
        <w:r>
          <w:rPr>
            <w:noProof/>
            <w:webHidden/>
          </w:rPr>
          <w:fldChar w:fldCharType="separate"/>
        </w:r>
        <w:r w:rsidR="002326CE">
          <w:rPr>
            <w:noProof/>
            <w:webHidden/>
          </w:rPr>
          <w:t>34</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3" w:history="1">
        <w:r w:rsidR="00E972D6" w:rsidRPr="00D71640">
          <w:rPr>
            <w:rStyle w:val="Hyperlink"/>
            <w:noProof/>
          </w:rPr>
          <w:t>Table 16 : Equivalent HSD in lieu of LDO and LSHS</w:t>
        </w:r>
        <w:r w:rsidR="00E972D6">
          <w:rPr>
            <w:noProof/>
            <w:webHidden/>
          </w:rPr>
          <w:tab/>
        </w:r>
        <w:r>
          <w:rPr>
            <w:noProof/>
            <w:webHidden/>
          </w:rPr>
          <w:fldChar w:fldCharType="begin"/>
        </w:r>
        <w:r w:rsidR="00E972D6">
          <w:rPr>
            <w:noProof/>
            <w:webHidden/>
          </w:rPr>
          <w:instrText xml:space="preserve"> PAGEREF _Toc411603993 \h </w:instrText>
        </w:r>
        <w:r>
          <w:rPr>
            <w:noProof/>
            <w:webHidden/>
          </w:rPr>
        </w:r>
        <w:r>
          <w:rPr>
            <w:noProof/>
            <w:webHidden/>
          </w:rPr>
          <w:fldChar w:fldCharType="separate"/>
        </w:r>
        <w:r w:rsidR="002326CE">
          <w:rPr>
            <w:noProof/>
            <w:webHidden/>
          </w:rPr>
          <w:t>35</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4" w:history="1">
        <w:r w:rsidR="00E972D6" w:rsidRPr="00D71640">
          <w:rPr>
            <w:rStyle w:val="Hyperlink"/>
            <w:noProof/>
          </w:rPr>
          <w:t>Table 17 : Variable Cost for RPH</w:t>
        </w:r>
        <w:r w:rsidR="00E972D6">
          <w:rPr>
            <w:noProof/>
            <w:webHidden/>
          </w:rPr>
          <w:tab/>
        </w:r>
        <w:r>
          <w:rPr>
            <w:noProof/>
            <w:webHidden/>
          </w:rPr>
          <w:fldChar w:fldCharType="begin"/>
        </w:r>
        <w:r w:rsidR="00E972D6">
          <w:rPr>
            <w:noProof/>
            <w:webHidden/>
          </w:rPr>
          <w:instrText xml:space="preserve"> PAGEREF _Toc411603994 \h </w:instrText>
        </w:r>
        <w:r>
          <w:rPr>
            <w:noProof/>
            <w:webHidden/>
          </w:rPr>
        </w:r>
        <w:r>
          <w:rPr>
            <w:noProof/>
            <w:webHidden/>
          </w:rPr>
          <w:fldChar w:fldCharType="separate"/>
        </w:r>
        <w:r w:rsidR="002326CE">
          <w:rPr>
            <w:noProof/>
            <w:webHidden/>
          </w:rPr>
          <w:t>35</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5" w:history="1">
        <w:r w:rsidR="00E972D6" w:rsidRPr="00D71640">
          <w:rPr>
            <w:rStyle w:val="Hyperlink"/>
            <w:noProof/>
          </w:rPr>
          <w:t>Table 18 : Variable Cost for GT Power Station</w:t>
        </w:r>
        <w:r w:rsidR="00E972D6">
          <w:rPr>
            <w:noProof/>
            <w:webHidden/>
          </w:rPr>
          <w:tab/>
        </w:r>
        <w:r>
          <w:rPr>
            <w:noProof/>
            <w:webHidden/>
          </w:rPr>
          <w:fldChar w:fldCharType="begin"/>
        </w:r>
        <w:r w:rsidR="00E972D6">
          <w:rPr>
            <w:noProof/>
            <w:webHidden/>
          </w:rPr>
          <w:instrText xml:space="preserve"> PAGEREF _Toc411603995 \h </w:instrText>
        </w:r>
        <w:r>
          <w:rPr>
            <w:noProof/>
            <w:webHidden/>
          </w:rPr>
        </w:r>
        <w:r>
          <w:rPr>
            <w:noProof/>
            <w:webHidden/>
          </w:rPr>
          <w:fldChar w:fldCharType="separate"/>
        </w:r>
        <w:r w:rsidR="002326CE">
          <w:rPr>
            <w:noProof/>
            <w:webHidden/>
          </w:rPr>
          <w:t>36</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6" w:history="1">
        <w:r w:rsidR="00E972D6" w:rsidRPr="00D71640">
          <w:rPr>
            <w:rStyle w:val="Hyperlink"/>
            <w:noProof/>
          </w:rPr>
          <w:t>Table 19 : Computation of INDEX for FY 2011-12 base year</w:t>
        </w:r>
        <w:r w:rsidR="00E972D6">
          <w:rPr>
            <w:noProof/>
            <w:webHidden/>
          </w:rPr>
          <w:tab/>
        </w:r>
        <w:r>
          <w:rPr>
            <w:noProof/>
            <w:webHidden/>
          </w:rPr>
          <w:fldChar w:fldCharType="begin"/>
        </w:r>
        <w:r w:rsidR="00E972D6">
          <w:rPr>
            <w:noProof/>
            <w:webHidden/>
          </w:rPr>
          <w:instrText xml:space="preserve"> PAGEREF _Toc411603996 \h </w:instrText>
        </w:r>
        <w:r>
          <w:rPr>
            <w:noProof/>
            <w:webHidden/>
          </w:rPr>
        </w:r>
        <w:r>
          <w:rPr>
            <w:noProof/>
            <w:webHidden/>
          </w:rPr>
          <w:fldChar w:fldCharType="separate"/>
        </w:r>
        <w:r w:rsidR="002326CE">
          <w:rPr>
            <w:noProof/>
            <w:webHidden/>
          </w:rPr>
          <w:t>39</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7" w:history="1">
        <w:r w:rsidR="00E972D6" w:rsidRPr="00D71640">
          <w:rPr>
            <w:rStyle w:val="Hyperlink"/>
            <w:noProof/>
          </w:rPr>
          <w:t>Table 20 : Computation of INDEX for FY 2014-15 base year</w:t>
        </w:r>
        <w:r w:rsidR="00E972D6">
          <w:rPr>
            <w:noProof/>
            <w:webHidden/>
          </w:rPr>
          <w:tab/>
        </w:r>
        <w:r>
          <w:rPr>
            <w:noProof/>
            <w:webHidden/>
          </w:rPr>
          <w:fldChar w:fldCharType="begin"/>
        </w:r>
        <w:r w:rsidR="00E972D6">
          <w:rPr>
            <w:noProof/>
            <w:webHidden/>
          </w:rPr>
          <w:instrText xml:space="preserve"> PAGEREF _Toc411603997 \h </w:instrText>
        </w:r>
        <w:r>
          <w:rPr>
            <w:noProof/>
            <w:webHidden/>
          </w:rPr>
        </w:r>
        <w:r>
          <w:rPr>
            <w:noProof/>
            <w:webHidden/>
          </w:rPr>
          <w:fldChar w:fldCharType="separate"/>
        </w:r>
        <w:r w:rsidR="002326CE">
          <w:rPr>
            <w:noProof/>
            <w:webHidden/>
          </w:rPr>
          <w:t>40</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8" w:history="1">
        <w:r w:rsidR="00E972D6" w:rsidRPr="00D71640">
          <w:rPr>
            <w:rStyle w:val="Hyperlink"/>
            <w:noProof/>
          </w:rPr>
          <w:t>Table 21 : Special allowances for RPH</w:t>
        </w:r>
        <w:r w:rsidR="00E972D6">
          <w:rPr>
            <w:noProof/>
            <w:webHidden/>
          </w:rPr>
          <w:tab/>
        </w:r>
        <w:r>
          <w:rPr>
            <w:noProof/>
            <w:webHidden/>
          </w:rPr>
          <w:fldChar w:fldCharType="begin"/>
        </w:r>
        <w:r w:rsidR="00E972D6">
          <w:rPr>
            <w:noProof/>
            <w:webHidden/>
          </w:rPr>
          <w:instrText xml:space="preserve"> PAGEREF _Toc411603998 \h </w:instrText>
        </w:r>
        <w:r>
          <w:rPr>
            <w:noProof/>
            <w:webHidden/>
          </w:rPr>
        </w:r>
        <w:r>
          <w:rPr>
            <w:noProof/>
            <w:webHidden/>
          </w:rPr>
          <w:fldChar w:fldCharType="separate"/>
        </w:r>
        <w:r w:rsidR="002326CE">
          <w:rPr>
            <w:noProof/>
            <w:webHidden/>
          </w:rPr>
          <w:t>44</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3999" w:history="1">
        <w:r w:rsidR="00E972D6" w:rsidRPr="00D71640">
          <w:rPr>
            <w:rStyle w:val="Hyperlink"/>
            <w:noProof/>
          </w:rPr>
          <w:t>Table 22 : Total R&amp;M expenses for IPGCL</w:t>
        </w:r>
        <w:r w:rsidR="00E972D6">
          <w:rPr>
            <w:noProof/>
            <w:webHidden/>
          </w:rPr>
          <w:tab/>
        </w:r>
        <w:r>
          <w:rPr>
            <w:noProof/>
            <w:webHidden/>
          </w:rPr>
          <w:fldChar w:fldCharType="begin"/>
        </w:r>
        <w:r w:rsidR="00E972D6">
          <w:rPr>
            <w:noProof/>
            <w:webHidden/>
          </w:rPr>
          <w:instrText xml:space="preserve"> PAGEREF _Toc411603999 \h </w:instrText>
        </w:r>
        <w:r>
          <w:rPr>
            <w:noProof/>
            <w:webHidden/>
          </w:rPr>
        </w:r>
        <w:r>
          <w:rPr>
            <w:noProof/>
            <w:webHidden/>
          </w:rPr>
          <w:fldChar w:fldCharType="separate"/>
        </w:r>
        <w:r w:rsidR="002326CE">
          <w:rPr>
            <w:noProof/>
            <w:webHidden/>
          </w:rPr>
          <w:t>44</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0" w:history="1">
        <w:r w:rsidR="00E972D6" w:rsidRPr="00D71640">
          <w:rPr>
            <w:rStyle w:val="Hyperlink"/>
            <w:noProof/>
          </w:rPr>
          <w:t>Table 23 : Increase in DA of employees during FY 2012-13 to 2014-15</w:t>
        </w:r>
        <w:r w:rsidR="00E972D6">
          <w:rPr>
            <w:noProof/>
            <w:webHidden/>
          </w:rPr>
          <w:tab/>
        </w:r>
        <w:r>
          <w:rPr>
            <w:noProof/>
            <w:webHidden/>
          </w:rPr>
          <w:fldChar w:fldCharType="begin"/>
        </w:r>
        <w:r w:rsidR="00E972D6">
          <w:rPr>
            <w:noProof/>
            <w:webHidden/>
          </w:rPr>
          <w:instrText xml:space="preserve"> PAGEREF _Toc411604000 \h </w:instrText>
        </w:r>
        <w:r>
          <w:rPr>
            <w:noProof/>
            <w:webHidden/>
          </w:rPr>
        </w:r>
        <w:r>
          <w:rPr>
            <w:noProof/>
            <w:webHidden/>
          </w:rPr>
          <w:fldChar w:fldCharType="separate"/>
        </w:r>
        <w:r w:rsidR="002326CE">
          <w:rPr>
            <w:noProof/>
            <w:webHidden/>
          </w:rPr>
          <w:t>45</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1" w:history="1">
        <w:r w:rsidR="00E972D6" w:rsidRPr="00D71640">
          <w:rPr>
            <w:rStyle w:val="Hyperlink"/>
            <w:noProof/>
          </w:rPr>
          <w:t>Table 24 : A&amp;G Cost for IPGCL</w:t>
        </w:r>
        <w:r w:rsidR="00E972D6">
          <w:rPr>
            <w:noProof/>
            <w:webHidden/>
          </w:rPr>
          <w:tab/>
        </w:r>
        <w:r>
          <w:rPr>
            <w:noProof/>
            <w:webHidden/>
          </w:rPr>
          <w:fldChar w:fldCharType="begin"/>
        </w:r>
        <w:r w:rsidR="00E972D6">
          <w:rPr>
            <w:noProof/>
            <w:webHidden/>
          </w:rPr>
          <w:instrText xml:space="preserve"> PAGEREF _Toc411604001 \h </w:instrText>
        </w:r>
        <w:r>
          <w:rPr>
            <w:noProof/>
            <w:webHidden/>
          </w:rPr>
        </w:r>
        <w:r>
          <w:rPr>
            <w:noProof/>
            <w:webHidden/>
          </w:rPr>
          <w:fldChar w:fldCharType="separate"/>
        </w:r>
        <w:r w:rsidR="002326CE">
          <w:rPr>
            <w:noProof/>
            <w:webHidden/>
          </w:rPr>
          <w:t>47</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2" w:history="1">
        <w:r w:rsidR="00E972D6" w:rsidRPr="00D71640">
          <w:rPr>
            <w:rStyle w:val="Hyperlink"/>
            <w:noProof/>
          </w:rPr>
          <w:t>Table 25 : Comparison of O&amp;M with CERC normative base for FY 2014-15</w:t>
        </w:r>
        <w:r w:rsidR="00E972D6">
          <w:rPr>
            <w:noProof/>
            <w:webHidden/>
          </w:rPr>
          <w:tab/>
        </w:r>
        <w:r>
          <w:rPr>
            <w:noProof/>
            <w:webHidden/>
          </w:rPr>
          <w:fldChar w:fldCharType="begin"/>
        </w:r>
        <w:r w:rsidR="00E972D6">
          <w:rPr>
            <w:noProof/>
            <w:webHidden/>
          </w:rPr>
          <w:instrText xml:space="preserve"> PAGEREF _Toc411604002 \h </w:instrText>
        </w:r>
        <w:r>
          <w:rPr>
            <w:noProof/>
            <w:webHidden/>
          </w:rPr>
        </w:r>
        <w:r>
          <w:rPr>
            <w:noProof/>
            <w:webHidden/>
          </w:rPr>
          <w:fldChar w:fldCharType="separate"/>
        </w:r>
        <w:r w:rsidR="002326CE">
          <w:rPr>
            <w:noProof/>
            <w:webHidden/>
          </w:rPr>
          <w:t>47</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3" w:history="1">
        <w:r w:rsidR="00E972D6" w:rsidRPr="00D71640">
          <w:rPr>
            <w:rStyle w:val="Hyperlink"/>
            <w:noProof/>
          </w:rPr>
          <w:t>Table 26 : Comparison of O&amp;M Expenses allowed vis-à-vis Actual O&amp;M</w:t>
        </w:r>
        <w:r w:rsidR="00E972D6">
          <w:rPr>
            <w:noProof/>
            <w:webHidden/>
          </w:rPr>
          <w:tab/>
        </w:r>
        <w:r>
          <w:rPr>
            <w:noProof/>
            <w:webHidden/>
          </w:rPr>
          <w:fldChar w:fldCharType="begin"/>
        </w:r>
        <w:r w:rsidR="00E972D6">
          <w:rPr>
            <w:noProof/>
            <w:webHidden/>
          </w:rPr>
          <w:instrText xml:space="preserve"> PAGEREF _Toc411604003 \h </w:instrText>
        </w:r>
        <w:r>
          <w:rPr>
            <w:noProof/>
            <w:webHidden/>
          </w:rPr>
        </w:r>
        <w:r>
          <w:rPr>
            <w:noProof/>
            <w:webHidden/>
          </w:rPr>
          <w:fldChar w:fldCharType="separate"/>
        </w:r>
        <w:r w:rsidR="002326CE">
          <w:rPr>
            <w:noProof/>
            <w:webHidden/>
          </w:rPr>
          <w:t>48</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4" w:history="1">
        <w:r w:rsidR="00E972D6" w:rsidRPr="00D71640">
          <w:rPr>
            <w:rStyle w:val="Hyperlink"/>
            <w:noProof/>
          </w:rPr>
          <w:t>Table 27 : O&amp;M Cost for IPGCL Power Plants</w:t>
        </w:r>
        <w:r w:rsidR="00E972D6">
          <w:rPr>
            <w:noProof/>
            <w:webHidden/>
          </w:rPr>
          <w:tab/>
        </w:r>
        <w:r>
          <w:rPr>
            <w:noProof/>
            <w:webHidden/>
          </w:rPr>
          <w:fldChar w:fldCharType="begin"/>
        </w:r>
        <w:r w:rsidR="00E972D6">
          <w:rPr>
            <w:noProof/>
            <w:webHidden/>
          </w:rPr>
          <w:instrText xml:space="preserve"> PAGEREF _Toc411604004 \h </w:instrText>
        </w:r>
        <w:r>
          <w:rPr>
            <w:noProof/>
            <w:webHidden/>
          </w:rPr>
        </w:r>
        <w:r>
          <w:rPr>
            <w:noProof/>
            <w:webHidden/>
          </w:rPr>
          <w:fldChar w:fldCharType="separate"/>
        </w:r>
        <w:r w:rsidR="002326CE">
          <w:rPr>
            <w:noProof/>
            <w:webHidden/>
          </w:rPr>
          <w:t>48</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5" w:history="1">
        <w:r w:rsidR="00E972D6" w:rsidRPr="00D71640">
          <w:rPr>
            <w:rStyle w:val="Hyperlink"/>
            <w:noProof/>
          </w:rPr>
          <w:t>Table 28 : Loan Bifurcation for IPGCL Plants</w:t>
        </w:r>
        <w:r w:rsidR="00E972D6">
          <w:rPr>
            <w:noProof/>
            <w:webHidden/>
          </w:rPr>
          <w:tab/>
        </w:r>
        <w:r>
          <w:rPr>
            <w:noProof/>
            <w:webHidden/>
          </w:rPr>
          <w:fldChar w:fldCharType="begin"/>
        </w:r>
        <w:r w:rsidR="00E972D6">
          <w:rPr>
            <w:noProof/>
            <w:webHidden/>
          </w:rPr>
          <w:instrText xml:space="preserve"> PAGEREF _Toc411604005 \h </w:instrText>
        </w:r>
        <w:r>
          <w:rPr>
            <w:noProof/>
            <w:webHidden/>
          </w:rPr>
        </w:r>
        <w:r>
          <w:rPr>
            <w:noProof/>
            <w:webHidden/>
          </w:rPr>
          <w:fldChar w:fldCharType="separate"/>
        </w:r>
        <w:r w:rsidR="002326CE">
          <w:rPr>
            <w:noProof/>
            <w:webHidden/>
          </w:rPr>
          <w:t>49</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6" w:history="1">
        <w:r w:rsidR="00E972D6" w:rsidRPr="00D71640">
          <w:rPr>
            <w:rStyle w:val="Hyperlink"/>
            <w:noProof/>
          </w:rPr>
          <w:t>Table 29 : Interest on Loan</w:t>
        </w:r>
        <w:r w:rsidR="00E972D6">
          <w:rPr>
            <w:noProof/>
            <w:webHidden/>
          </w:rPr>
          <w:tab/>
        </w:r>
        <w:r>
          <w:rPr>
            <w:noProof/>
            <w:webHidden/>
          </w:rPr>
          <w:fldChar w:fldCharType="begin"/>
        </w:r>
        <w:r w:rsidR="00E972D6">
          <w:rPr>
            <w:noProof/>
            <w:webHidden/>
          </w:rPr>
          <w:instrText xml:space="preserve"> PAGEREF _Toc411604006 \h </w:instrText>
        </w:r>
        <w:r>
          <w:rPr>
            <w:noProof/>
            <w:webHidden/>
          </w:rPr>
        </w:r>
        <w:r>
          <w:rPr>
            <w:noProof/>
            <w:webHidden/>
          </w:rPr>
          <w:fldChar w:fldCharType="separate"/>
        </w:r>
        <w:r w:rsidR="002326CE">
          <w:rPr>
            <w:noProof/>
            <w:webHidden/>
          </w:rPr>
          <w:t>50</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7" w:history="1">
        <w:r w:rsidR="00E972D6" w:rsidRPr="00D71640">
          <w:rPr>
            <w:rStyle w:val="Hyperlink"/>
            <w:noProof/>
          </w:rPr>
          <w:t>Table 30 : Depreciation of IPGCL Power Plants</w:t>
        </w:r>
        <w:r w:rsidR="00E972D6">
          <w:rPr>
            <w:noProof/>
            <w:webHidden/>
          </w:rPr>
          <w:tab/>
        </w:r>
        <w:r>
          <w:rPr>
            <w:noProof/>
            <w:webHidden/>
          </w:rPr>
          <w:fldChar w:fldCharType="begin"/>
        </w:r>
        <w:r w:rsidR="00E972D6">
          <w:rPr>
            <w:noProof/>
            <w:webHidden/>
          </w:rPr>
          <w:instrText xml:space="preserve"> PAGEREF _Toc411604007 \h </w:instrText>
        </w:r>
        <w:r>
          <w:rPr>
            <w:noProof/>
            <w:webHidden/>
          </w:rPr>
        </w:r>
        <w:r>
          <w:rPr>
            <w:noProof/>
            <w:webHidden/>
          </w:rPr>
          <w:fldChar w:fldCharType="separate"/>
        </w:r>
        <w:r w:rsidR="002326CE">
          <w:rPr>
            <w:noProof/>
            <w:webHidden/>
          </w:rPr>
          <w:t>51</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8" w:history="1">
        <w:r w:rsidR="00E972D6" w:rsidRPr="00D71640">
          <w:rPr>
            <w:rStyle w:val="Hyperlink"/>
            <w:noProof/>
          </w:rPr>
          <w:t>Table 31 : Equity Bifurcation for IPGCL Power Plants</w:t>
        </w:r>
        <w:r w:rsidR="00E972D6">
          <w:rPr>
            <w:noProof/>
            <w:webHidden/>
          </w:rPr>
          <w:tab/>
        </w:r>
        <w:r>
          <w:rPr>
            <w:noProof/>
            <w:webHidden/>
          </w:rPr>
          <w:fldChar w:fldCharType="begin"/>
        </w:r>
        <w:r w:rsidR="00E972D6">
          <w:rPr>
            <w:noProof/>
            <w:webHidden/>
          </w:rPr>
          <w:instrText xml:space="preserve"> PAGEREF _Toc411604008 \h </w:instrText>
        </w:r>
        <w:r>
          <w:rPr>
            <w:noProof/>
            <w:webHidden/>
          </w:rPr>
        </w:r>
        <w:r>
          <w:rPr>
            <w:noProof/>
            <w:webHidden/>
          </w:rPr>
          <w:fldChar w:fldCharType="separate"/>
        </w:r>
        <w:r w:rsidR="002326CE">
          <w:rPr>
            <w:noProof/>
            <w:webHidden/>
          </w:rPr>
          <w:t>51</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09" w:history="1">
        <w:r w:rsidR="00E972D6" w:rsidRPr="00D71640">
          <w:rPr>
            <w:rStyle w:val="Hyperlink"/>
            <w:noProof/>
          </w:rPr>
          <w:t>Table 32 : grossed up Income tax for GTPS</w:t>
        </w:r>
        <w:r w:rsidR="00E972D6">
          <w:rPr>
            <w:noProof/>
            <w:webHidden/>
          </w:rPr>
          <w:tab/>
        </w:r>
        <w:r>
          <w:rPr>
            <w:noProof/>
            <w:webHidden/>
          </w:rPr>
          <w:fldChar w:fldCharType="begin"/>
        </w:r>
        <w:r w:rsidR="00E972D6">
          <w:rPr>
            <w:noProof/>
            <w:webHidden/>
          </w:rPr>
          <w:instrText xml:space="preserve"> PAGEREF _Toc411604009 \h </w:instrText>
        </w:r>
        <w:r>
          <w:rPr>
            <w:noProof/>
            <w:webHidden/>
          </w:rPr>
        </w:r>
        <w:r>
          <w:rPr>
            <w:noProof/>
            <w:webHidden/>
          </w:rPr>
          <w:fldChar w:fldCharType="separate"/>
        </w:r>
        <w:r w:rsidR="002326CE">
          <w:rPr>
            <w:noProof/>
            <w:webHidden/>
          </w:rPr>
          <w:t>59</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0" w:history="1">
        <w:r w:rsidR="00E972D6" w:rsidRPr="00D71640">
          <w:rPr>
            <w:rStyle w:val="Hyperlink"/>
            <w:noProof/>
          </w:rPr>
          <w:t>Table 33 : grossed up Income tax for RPH</w:t>
        </w:r>
        <w:r w:rsidR="00E972D6">
          <w:rPr>
            <w:noProof/>
            <w:webHidden/>
          </w:rPr>
          <w:tab/>
        </w:r>
        <w:r>
          <w:rPr>
            <w:noProof/>
            <w:webHidden/>
          </w:rPr>
          <w:fldChar w:fldCharType="begin"/>
        </w:r>
        <w:r w:rsidR="00E972D6">
          <w:rPr>
            <w:noProof/>
            <w:webHidden/>
          </w:rPr>
          <w:instrText xml:space="preserve"> PAGEREF _Toc411604010 \h </w:instrText>
        </w:r>
        <w:r>
          <w:rPr>
            <w:noProof/>
            <w:webHidden/>
          </w:rPr>
        </w:r>
        <w:r>
          <w:rPr>
            <w:noProof/>
            <w:webHidden/>
          </w:rPr>
          <w:fldChar w:fldCharType="separate"/>
        </w:r>
        <w:r w:rsidR="002326CE">
          <w:rPr>
            <w:noProof/>
            <w:webHidden/>
          </w:rPr>
          <w:t>59</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1" w:history="1">
        <w:r w:rsidR="00E972D6" w:rsidRPr="00D71640">
          <w:rPr>
            <w:rStyle w:val="Hyperlink"/>
            <w:noProof/>
          </w:rPr>
          <w:t>Table 34 : grossed up Income tax for IPGCL</w:t>
        </w:r>
        <w:r w:rsidR="00E972D6">
          <w:rPr>
            <w:noProof/>
            <w:webHidden/>
          </w:rPr>
          <w:tab/>
        </w:r>
        <w:r>
          <w:rPr>
            <w:noProof/>
            <w:webHidden/>
          </w:rPr>
          <w:fldChar w:fldCharType="begin"/>
        </w:r>
        <w:r w:rsidR="00E972D6">
          <w:rPr>
            <w:noProof/>
            <w:webHidden/>
          </w:rPr>
          <w:instrText xml:space="preserve"> PAGEREF _Toc411604011 \h </w:instrText>
        </w:r>
        <w:r>
          <w:rPr>
            <w:noProof/>
            <w:webHidden/>
          </w:rPr>
        </w:r>
        <w:r>
          <w:rPr>
            <w:noProof/>
            <w:webHidden/>
          </w:rPr>
          <w:fldChar w:fldCharType="separate"/>
        </w:r>
        <w:r w:rsidR="002326CE">
          <w:rPr>
            <w:noProof/>
            <w:webHidden/>
          </w:rPr>
          <w:t>60</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2" w:history="1">
        <w:r w:rsidR="00E972D6" w:rsidRPr="00D71640">
          <w:rPr>
            <w:rStyle w:val="Hyperlink"/>
            <w:noProof/>
          </w:rPr>
          <w:t>Table 35 : Interest on Working Capital</w:t>
        </w:r>
        <w:r w:rsidR="00E972D6">
          <w:rPr>
            <w:noProof/>
            <w:webHidden/>
          </w:rPr>
          <w:tab/>
        </w:r>
        <w:r>
          <w:rPr>
            <w:noProof/>
            <w:webHidden/>
          </w:rPr>
          <w:fldChar w:fldCharType="begin"/>
        </w:r>
        <w:r w:rsidR="00E972D6">
          <w:rPr>
            <w:noProof/>
            <w:webHidden/>
          </w:rPr>
          <w:instrText xml:space="preserve"> PAGEREF _Toc411604012 \h </w:instrText>
        </w:r>
        <w:r>
          <w:rPr>
            <w:noProof/>
            <w:webHidden/>
          </w:rPr>
        </w:r>
        <w:r>
          <w:rPr>
            <w:noProof/>
            <w:webHidden/>
          </w:rPr>
          <w:fldChar w:fldCharType="separate"/>
        </w:r>
        <w:r w:rsidR="002326CE">
          <w:rPr>
            <w:noProof/>
            <w:webHidden/>
          </w:rPr>
          <w:t>61</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3" w:history="1">
        <w:r w:rsidR="00E972D6" w:rsidRPr="00D71640">
          <w:rPr>
            <w:rStyle w:val="Hyperlink"/>
            <w:noProof/>
          </w:rPr>
          <w:t>Table 36 : Special allowances for RPH</w:t>
        </w:r>
        <w:r w:rsidR="00E972D6">
          <w:rPr>
            <w:noProof/>
            <w:webHidden/>
          </w:rPr>
          <w:tab/>
        </w:r>
        <w:r>
          <w:rPr>
            <w:noProof/>
            <w:webHidden/>
          </w:rPr>
          <w:fldChar w:fldCharType="begin"/>
        </w:r>
        <w:r w:rsidR="00E972D6">
          <w:rPr>
            <w:noProof/>
            <w:webHidden/>
          </w:rPr>
          <w:instrText xml:space="preserve"> PAGEREF _Toc411604013 \h </w:instrText>
        </w:r>
        <w:r>
          <w:rPr>
            <w:noProof/>
            <w:webHidden/>
          </w:rPr>
        </w:r>
        <w:r>
          <w:rPr>
            <w:noProof/>
            <w:webHidden/>
          </w:rPr>
          <w:fldChar w:fldCharType="separate"/>
        </w:r>
        <w:r w:rsidR="002326CE">
          <w:rPr>
            <w:noProof/>
            <w:webHidden/>
          </w:rPr>
          <w:t>64</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4" w:history="1">
        <w:r w:rsidR="00E972D6" w:rsidRPr="00D71640">
          <w:rPr>
            <w:rStyle w:val="Hyperlink"/>
            <w:noProof/>
          </w:rPr>
          <w:t>Table 37 : Total Fixed Cost for Rajghat Power House</w:t>
        </w:r>
        <w:r w:rsidR="00E972D6">
          <w:rPr>
            <w:noProof/>
            <w:webHidden/>
          </w:rPr>
          <w:tab/>
        </w:r>
        <w:r>
          <w:rPr>
            <w:noProof/>
            <w:webHidden/>
          </w:rPr>
          <w:fldChar w:fldCharType="begin"/>
        </w:r>
        <w:r w:rsidR="00E972D6">
          <w:rPr>
            <w:noProof/>
            <w:webHidden/>
          </w:rPr>
          <w:instrText xml:space="preserve"> PAGEREF _Toc411604014 \h </w:instrText>
        </w:r>
        <w:r>
          <w:rPr>
            <w:noProof/>
            <w:webHidden/>
          </w:rPr>
        </w:r>
        <w:r>
          <w:rPr>
            <w:noProof/>
            <w:webHidden/>
          </w:rPr>
          <w:fldChar w:fldCharType="separate"/>
        </w:r>
        <w:r w:rsidR="002326CE">
          <w:rPr>
            <w:noProof/>
            <w:webHidden/>
          </w:rPr>
          <w:t>64</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5" w:history="1">
        <w:r w:rsidR="00E972D6" w:rsidRPr="00D71640">
          <w:rPr>
            <w:rStyle w:val="Hyperlink"/>
            <w:noProof/>
          </w:rPr>
          <w:t>Table 38 : Total Fixed Cost for Gas Turbine Power Station</w:t>
        </w:r>
        <w:r w:rsidR="00E972D6">
          <w:rPr>
            <w:noProof/>
            <w:webHidden/>
          </w:rPr>
          <w:tab/>
        </w:r>
        <w:r>
          <w:rPr>
            <w:noProof/>
            <w:webHidden/>
          </w:rPr>
          <w:fldChar w:fldCharType="begin"/>
        </w:r>
        <w:r w:rsidR="00E972D6">
          <w:rPr>
            <w:noProof/>
            <w:webHidden/>
          </w:rPr>
          <w:instrText xml:space="preserve"> PAGEREF _Toc411604015 \h </w:instrText>
        </w:r>
        <w:r>
          <w:rPr>
            <w:noProof/>
            <w:webHidden/>
          </w:rPr>
        </w:r>
        <w:r>
          <w:rPr>
            <w:noProof/>
            <w:webHidden/>
          </w:rPr>
          <w:fldChar w:fldCharType="separate"/>
        </w:r>
        <w:r w:rsidR="002326CE">
          <w:rPr>
            <w:noProof/>
            <w:webHidden/>
          </w:rPr>
          <w:t>65</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6" w:history="1">
        <w:r w:rsidR="00E972D6" w:rsidRPr="00D71640">
          <w:rPr>
            <w:rStyle w:val="Hyperlink"/>
            <w:noProof/>
          </w:rPr>
          <w:t>Table 39 : Fixed Cost per Unit RPH &amp; GT Stations</w:t>
        </w:r>
        <w:r w:rsidR="00E972D6">
          <w:rPr>
            <w:noProof/>
            <w:webHidden/>
          </w:rPr>
          <w:tab/>
        </w:r>
        <w:r>
          <w:rPr>
            <w:noProof/>
            <w:webHidden/>
          </w:rPr>
          <w:fldChar w:fldCharType="begin"/>
        </w:r>
        <w:r w:rsidR="00E972D6">
          <w:rPr>
            <w:noProof/>
            <w:webHidden/>
          </w:rPr>
          <w:instrText xml:space="preserve"> PAGEREF _Toc411604016 \h </w:instrText>
        </w:r>
        <w:r>
          <w:rPr>
            <w:noProof/>
            <w:webHidden/>
          </w:rPr>
        </w:r>
        <w:r>
          <w:rPr>
            <w:noProof/>
            <w:webHidden/>
          </w:rPr>
          <w:fldChar w:fldCharType="separate"/>
        </w:r>
        <w:r w:rsidR="002326CE">
          <w:rPr>
            <w:noProof/>
            <w:webHidden/>
          </w:rPr>
          <w:t>65</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7" w:history="1">
        <w:r w:rsidR="00E972D6" w:rsidRPr="00D71640">
          <w:rPr>
            <w:rStyle w:val="Hyperlink"/>
            <w:noProof/>
          </w:rPr>
          <w:t>Table 40 : Capital Expenditure for GT Station</w:t>
        </w:r>
        <w:r w:rsidR="00E972D6">
          <w:rPr>
            <w:noProof/>
            <w:webHidden/>
          </w:rPr>
          <w:tab/>
        </w:r>
        <w:r>
          <w:rPr>
            <w:noProof/>
            <w:webHidden/>
          </w:rPr>
          <w:fldChar w:fldCharType="begin"/>
        </w:r>
        <w:r w:rsidR="00E972D6">
          <w:rPr>
            <w:noProof/>
            <w:webHidden/>
          </w:rPr>
          <w:instrText xml:space="preserve"> PAGEREF _Toc411604017 \h </w:instrText>
        </w:r>
        <w:r>
          <w:rPr>
            <w:noProof/>
            <w:webHidden/>
          </w:rPr>
        </w:r>
        <w:r>
          <w:rPr>
            <w:noProof/>
            <w:webHidden/>
          </w:rPr>
          <w:fldChar w:fldCharType="separate"/>
        </w:r>
        <w:r w:rsidR="002326CE">
          <w:rPr>
            <w:noProof/>
            <w:webHidden/>
          </w:rPr>
          <w:t>68</w:t>
        </w:r>
        <w:r>
          <w:rPr>
            <w:noProof/>
            <w:webHidden/>
          </w:rPr>
          <w:fldChar w:fldCharType="end"/>
        </w:r>
      </w:hyperlink>
    </w:p>
    <w:p w:rsidR="00E972D6" w:rsidRDefault="001D1793">
      <w:pPr>
        <w:pStyle w:val="TableofFigures"/>
        <w:tabs>
          <w:tab w:val="right" w:leader="dot" w:pos="8832"/>
        </w:tabs>
        <w:rPr>
          <w:rFonts w:asciiTheme="minorHAnsi" w:eastAsiaTheme="minorEastAsia" w:hAnsiTheme="minorHAnsi" w:cstheme="minorBidi"/>
          <w:noProof/>
          <w:sz w:val="22"/>
          <w:szCs w:val="22"/>
        </w:rPr>
      </w:pPr>
      <w:hyperlink w:anchor="_Toc411604018" w:history="1">
        <w:r w:rsidR="00E972D6" w:rsidRPr="00D71640">
          <w:rPr>
            <w:rStyle w:val="Hyperlink"/>
            <w:noProof/>
          </w:rPr>
          <w:t>Table 41 : Capital Expenditure schemes for ITO Barrage</w:t>
        </w:r>
        <w:r w:rsidR="00E972D6">
          <w:rPr>
            <w:noProof/>
            <w:webHidden/>
          </w:rPr>
          <w:tab/>
        </w:r>
        <w:r>
          <w:rPr>
            <w:noProof/>
            <w:webHidden/>
          </w:rPr>
          <w:fldChar w:fldCharType="begin"/>
        </w:r>
        <w:r w:rsidR="00E972D6">
          <w:rPr>
            <w:noProof/>
            <w:webHidden/>
          </w:rPr>
          <w:instrText xml:space="preserve"> PAGEREF _Toc411604018 \h </w:instrText>
        </w:r>
        <w:r>
          <w:rPr>
            <w:noProof/>
            <w:webHidden/>
          </w:rPr>
        </w:r>
        <w:r>
          <w:rPr>
            <w:noProof/>
            <w:webHidden/>
          </w:rPr>
          <w:fldChar w:fldCharType="separate"/>
        </w:r>
        <w:r w:rsidR="002326CE">
          <w:rPr>
            <w:noProof/>
            <w:webHidden/>
          </w:rPr>
          <w:t>69</w:t>
        </w:r>
        <w:r>
          <w:rPr>
            <w:noProof/>
            <w:webHidden/>
          </w:rPr>
          <w:fldChar w:fldCharType="end"/>
        </w:r>
      </w:hyperlink>
    </w:p>
    <w:p w:rsidR="0095439C" w:rsidRDefault="001D1793">
      <w:pPr>
        <w:rPr>
          <w:sz w:val="22"/>
          <w:szCs w:val="22"/>
        </w:rPr>
      </w:pPr>
      <w:r w:rsidRPr="009F67FF">
        <w:rPr>
          <w:sz w:val="22"/>
          <w:szCs w:val="22"/>
        </w:rPr>
        <w:fldChar w:fldCharType="end"/>
      </w:r>
    </w:p>
    <w:p w:rsidR="008C3715" w:rsidRDefault="008C3715">
      <w:pPr>
        <w:rPr>
          <w:sz w:val="22"/>
          <w:szCs w:val="22"/>
        </w:rPr>
      </w:pPr>
    </w:p>
    <w:p w:rsidR="008C3715" w:rsidRDefault="008C3715">
      <w:pPr>
        <w:rPr>
          <w:sz w:val="22"/>
          <w:szCs w:val="22"/>
        </w:rPr>
      </w:pPr>
    </w:p>
    <w:p w:rsidR="008C3715" w:rsidRDefault="008C3715">
      <w:pPr>
        <w:rPr>
          <w:sz w:val="22"/>
          <w:szCs w:val="22"/>
        </w:rPr>
      </w:pPr>
    </w:p>
    <w:p w:rsidR="008C3715" w:rsidRDefault="008C3715">
      <w:pPr>
        <w:rPr>
          <w:sz w:val="22"/>
          <w:szCs w:val="22"/>
        </w:rPr>
      </w:pPr>
    </w:p>
    <w:p w:rsidR="008C3715" w:rsidRDefault="008C3715">
      <w:pPr>
        <w:rPr>
          <w:sz w:val="22"/>
          <w:szCs w:val="22"/>
        </w:rPr>
      </w:pPr>
    </w:p>
    <w:p w:rsidR="008C3715" w:rsidRDefault="008C3715">
      <w:pPr>
        <w:rPr>
          <w:sz w:val="22"/>
          <w:szCs w:val="22"/>
        </w:rPr>
      </w:pPr>
    </w:p>
    <w:p w:rsidR="008C3715" w:rsidRDefault="008C3715">
      <w:pPr>
        <w:rPr>
          <w:sz w:val="22"/>
          <w:szCs w:val="22"/>
        </w:rPr>
      </w:pPr>
    </w:p>
    <w:p w:rsidR="008C3715" w:rsidRDefault="008C3715">
      <w:pPr>
        <w:rPr>
          <w:sz w:val="22"/>
          <w:szCs w:val="22"/>
        </w:rPr>
      </w:pPr>
    </w:p>
    <w:p w:rsidR="008C3715" w:rsidRDefault="008C3715">
      <w:pPr>
        <w:rPr>
          <w:sz w:val="22"/>
          <w:szCs w:val="22"/>
        </w:rPr>
      </w:pPr>
    </w:p>
    <w:p w:rsidR="008C3715" w:rsidRDefault="008C3715">
      <w:pPr>
        <w:rPr>
          <w:sz w:val="22"/>
          <w:szCs w:val="22"/>
        </w:rPr>
      </w:pPr>
    </w:p>
    <w:p w:rsidR="008C3715" w:rsidRDefault="008C3715">
      <w:pPr>
        <w:rPr>
          <w:sz w:val="22"/>
          <w:szCs w:val="22"/>
        </w:rPr>
      </w:pPr>
    </w:p>
    <w:p w:rsidR="008E313B" w:rsidRDefault="008E313B">
      <w:pPr>
        <w:rPr>
          <w:sz w:val="22"/>
          <w:szCs w:val="22"/>
        </w:rPr>
      </w:pPr>
    </w:p>
    <w:p w:rsidR="008E313B" w:rsidRDefault="008E313B">
      <w:pPr>
        <w:rPr>
          <w:sz w:val="22"/>
          <w:szCs w:val="22"/>
        </w:rPr>
      </w:pPr>
    </w:p>
    <w:p w:rsidR="008E313B" w:rsidRDefault="008E313B">
      <w:pPr>
        <w:rPr>
          <w:sz w:val="22"/>
          <w:szCs w:val="22"/>
        </w:rPr>
      </w:pPr>
    </w:p>
    <w:p w:rsidR="008C3715" w:rsidRDefault="008C3715">
      <w:pPr>
        <w:rPr>
          <w:sz w:val="22"/>
          <w:szCs w:val="22"/>
        </w:rPr>
      </w:pPr>
    </w:p>
    <w:p w:rsidR="008C3715" w:rsidRDefault="008C3715">
      <w:pPr>
        <w:rPr>
          <w:sz w:val="22"/>
          <w:szCs w:val="22"/>
        </w:rPr>
      </w:pPr>
    </w:p>
    <w:p w:rsidR="00586CAB" w:rsidRDefault="00586CAB">
      <w:pPr>
        <w:rPr>
          <w:sz w:val="22"/>
          <w:szCs w:val="22"/>
        </w:rPr>
      </w:pPr>
    </w:p>
    <w:p w:rsidR="008C3715" w:rsidRDefault="008C3715">
      <w:pPr>
        <w:rPr>
          <w:sz w:val="22"/>
          <w:szCs w:val="22"/>
        </w:rPr>
      </w:pPr>
    </w:p>
    <w:p w:rsidR="0095439C" w:rsidRDefault="0095439C">
      <w:pPr>
        <w:pStyle w:val="Heading1"/>
        <w:jc w:val="center"/>
      </w:pPr>
      <w:bookmarkStart w:id="1" w:name="_Toc411605241"/>
      <w:r>
        <w:lastRenderedPageBreak/>
        <w:t>: Background</w:t>
      </w:r>
      <w:bookmarkEnd w:id="1"/>
    </w:p>
    <w:p w:rsidR="0095439C" w:rsidRDefault="0095439C">
      <w:pPr>
        <w:rPr>
          <w:sz w:val="22"/>
          <w:szCs w:val="22"/>
        </w:rPr>
      </w:pPr>
      <w:r>
        <w:rPr>
          <w:sz w:val="22"/>
          <w:szCs w:val="22"/>
        </w:rPr>
        <w:t xml:space="preserve">This Chapter </w:t>
      </w:r>
      <w:r w:rsidR="0061785E">
        <w:rPr>
          <w:sz w:val="22"/>
          <w:szCs w:val="22"/>
        </w:rPr>
        <w:t xml:space="preserve">deals </w:t>
      </w:r>
      <w:r w:rsidR="00B30F75">
        <w:rPr>
          <w:sz w:val="22"/>
          <w:szCs w:val="22"/>
        </w:rPr>
        <w:t>with the</w:t>
      </w:r>
      <w:r>
        <w:rPr>
          <w:sz w:val="22"/>
          <w:szCs w:val="22"/>
        </w:rPr>
        <w:t xml:space="preserve"> background </w:t>
      </w:r>
      <w:r w:rsidR="0061785E">
        <w:rPr>
          <w:sz w:val="22"/>
          <w:szCs w:val="22"/>
        </w:rPr>
        <w:t>for</w:t>
      </w:r>
      <w:r>
        <w:rPr>
          <w:sz w:val="22"/>
          <w:szCs w:val="22"/>
        </w:rPr>
        <w:t xml:space="preserve"> this Petition.</w:t>
      </w:r>
    </w:p>
    <w:p w:rsidR="0095439C" w:rsidRPr="00FD4471" w:rsidRDefault="0095439C" w:rsidP="00FD4471">
      <w:pPr>
        <w:pStyle w:val="StyleHeading216ptJustifiedLinespacing15lines"/>
        <w:numPr>
          <w:ilvl w:val="0"/>
          <w:numId w:val="0"/>
        </w:numPr>
        <w:rPr>
          <w:color w:val="000080"/>
          <w:sz w:val="10"/>
        </w:rPr>
      </w:pPr>
    </w:p>
    <w:p w:rsidR="0095439C" w:rsidRDefault="0095439C" w:rsidP="005925C7">
      <w:pPr>
        <w:pStyle w:val="StyleHeading216ptJustifiedLinespacing15lines"/>
        <w:numPr>
          <w:ilvl w:val="1"/>
          <w:numId w:val="3"/>
        </w:numPr>
        <w:tabs>
          <w:tab w:val="clear" w:pos="360"/>
        </w:tabs>
        <w:ind w:left="540" w:hanging="540"/>
        <w:rPr>
          <w:color w:val="000080"/>
        </w:rPr>
      </w:pPr>
      <w:bookmarkStart w:id="2" w:name="_Toc411605242"/>
      <w:r>
        <w:rPr>
          <w:color w:val="000080"/>
        </w:rPr>
        <w:t>Introduction</w:t>
      </w:r>
      <w:bookmarkEnd w:id="2"/>
    </w:p>
    <w:p w:rsidR="0095439C" w:rsidRPr="004F5A97" w:rsidRDefault="0095439C">
      <w:pPr>
        <w:rPr>
          <w:sz w:val="16"/>
          <w:szCs w:val="22"/>
        </w:rPr>
      </w:pPr>
    </w:p>
    <w:p w:rsidR="008D15DA" w:rsidRDefault="008D15DA" w:rsidP="008D15DA">
      <w:pPr>
        <w:rPr>
          <w:sz w:val="22"/>
          <w:szCs w:val="22"/>
        </w:rPr>
      </w:pPr>
      <w:r>
        <w:rPr>
          <w:sz w:val="22"/>
          <w:szCs w:val="22"/>
        </w:rPr>
        <w:t>The Electricity Act, 2003 was notified on 10</w:t>
      </w:r>
      <w:r w:rsidRPr="00C1774C">
        <w:rPr>
          <w:sz w:val="22"/>
          <w:szCs w:val="22"/>
          <w:vertAlign w:val="superscript"/>
        </w:rPr>
        <w:t>th</w:t>
      </w:r>
      <w:r>
        <w:rPr>
          <w:sz w:val="22"/>
          <w:szCs w:val="22"/>
        </w:rPr>
        <w:t xml:space="preserve"> June, 2003 repealing the Indian Electricity Act-1910, the Electricity (Supply) Act, 1948 and the E.R.C. Act, 1998. Among the tariff related provisions, the State Electricity Regulatory Commission (SERC) has to be guided by National Electricity Policy, National Tariff Policy</w:t>
      </w:r>
      <w:r w:rsidRPr="007A5C06">
        <w:rPr>
          <w:sz w:val="22"/>
          <w:szCs w:val="22"/>
        </w:rPr>
        <w:t xml:space="preserve"> </w:t>
      </w:r>
      <w:r>
        <w:rPr>
          <w:sz w:val="22"/>
          <w:szCs w:val="22"/>
        </w:rPr>
        <w:t xml:space="preserve">and Central Electricity Regulatory Commission (CERC). As per Section 86 (1)(a) of the Electricity Act, the State Commission shall discharge the function of determining the tariff for generation, supply, transmission and wheeling of electricity, wholesale, bulk or retail as the case may be within the state. The generation, transmission and distribution tariff have to be determined separately. </w:t>
      </w:r>
    </w:p>
    <w:p w:rsidR="00FD7E43" w:rsidRPr="00F72F48" w:rsidRDefault="00FD7E43" w:rsidP="00FD7E43">
      <w:pPr>
        <w:autoSpaceDE w:val="0"/>
        <w:autoSpaceDN w:val="0"/>
        <w:adjustRightInd w:val="0"/>
        <w:rPr>
          <w:sz w:val="22"/>
          <w:szCs w:val="22"/>
        </w:rPr>
      </w:pPr>
      <w:r>
        <w:rPr>
          <w:sz w:val="22"/>
          <w:szCs w:val="22"/>
        </w:rPr>
        <w:t xml:space="preserve">The </w:t>
      </w:r>
      <w:r w:rsidRPr="00F72F48">
        <w:rPr>
          <w:sz w:val="22"/>
          <w:szCs w:val="22"/>
        </w:rPr>
        <w:t>Section 61</w:t>
      </w:r>
      <w:r>
        <w:rPr>
          <w:sz w:val="22"/>
          <w:szCs w:val="22"/>
        </w:rPr>
        <w:t xml:space="preserve"> of the Electricity Act, 2003 provides as under in respect of Tariff Regulations:</w:t>
      </w:r>
      <w:r w:rsidRPr="00F72F48">
        <w:rPr>
          <w:sz w:val="22"/>
          <w:szCs w:val="22"/>
        </w:rPr>
        <w:t xml:space="preserve"> </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“The Appropriate Commission shall, subject to the provisions of this Act, specify the terms and conditions for the determination of tariff, and in doing so, shall be  guided by the following, namely:-</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(a) the principles and methodologies specified by the Central Commission for determination of the tariff applicable to generating companies and transmission licensees;</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(b) the generation, transmission, distribution and supply of electricity are conducted on commercial principles;</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(c) the factors which would encourage competition, efficiency, economical use of the resources, good performance and optimum investments;</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(d) safeguarding of consumers' interest and at the same time, recovery of the cost of electricity in a reasonable manner;</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(e) the principles rewarding efficiency in performance;</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(f) multi year tariff principles;</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(g) that the tariff progressively reflects the cost of supply of electricity</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and also, reduces cross-subsidies in the manner specified by the</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Appropri</w:t>
      </w:r>
      <w:r w:rsidR="000905C4">
        <w:rPr>
          <w:rFonts w:ascii="Trebuchet MS" w:eastAsia="Batang" w:hAnsi="Trebuchet MS"/>
          <w:b/>
          <w:bCs/>
          <w:i/>
          <w:iCs/>
          <w:sz w:val="22"/>
          <w:szCs w:val="22"/>
        </w:rPr>
        <w:t>ate Commission;</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(h) the promotion of co-generation and generation of electricity from</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renewable sources of energy;</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lastRenderedPageBreak/>
        <w:t>(i) the National Electricity Policy and tariff policy:</w:t>
      </w:r>
    </w:p>
    <w:p w:rsidR="00FD7E43" w:rsidRPr="003F125D" w:rsidRDefault="00FD7E43" w:rsidP="00FD7E43">
      <w:pPr>
        <w:autoSpaceDE w:val="0"/>
        <w:autoSpaceDN w:val="0"/>
        <w:adjustRightInd w:val="0"/>
        <w:rPr>
          <w:rFonts w:ascii="Trebuchet MS" w:eastAsia="Batang" w:hAnsi="Trebuchet MS"/>
          <w:b/>
          <w:bCs/>
          <w:i/>
          <w:iCs/>
          <w:sz w:val="22"/>
          <w:szCs w:val="22"/>
        </w:rPr>
      </w:pPr>
      <w:r w:rsidRPr="003F125D">
        <w:rPr>
          <w:rFonts w:ascii="Trebuchet MS" w:eastAsia="Batang" w:hAnsi="Trebuchet MS"/>
          <w:b/>
          <w:bCs/>
          <w:i/>
          <w:iCs/>
          <w:sz w:val="22"/>
          <w:szCs w:val="22"/>
        </w:rPr>
        <w:t>Provided that the terms and conditions for determination of tariff under the Electricity (Supply) Act, 1948, the Electricity Regulatory Commission Act, 1998 and the enactments specified in the Schedule as they stood immediately before the appointed date, shall continue to apply for a period of one year or until the terms and conditions for tariff are specified under this section, whichever is earlier.”</w:t>
      </w:r>
    </w:p>
    <w:p w:rsidR="00311756" w:rsidRPr="003F125D" w:rsidRDefault="00311756">
      <w:pPr>
        <w:rPr>
          <w:rFonts w:ascii="Trebuchet MS" w:hAnsi="Trebuchet MS"/>
          <w:sz w:val="22"/>
          <w:szCs w:val="22"/>
        </w:rPr>
      </w:pPr>
    </w:p>
    <w:p w:rsidR="001A00B6" w:rsidRDefault="007E7E64" w:rsidP="00360FE5">
      <w:pPr>
        <w:rPr>
          <w:sz w:val="22"/>
          <w:szCs w:val="22"/>
        </w:rPr>
      </w:pPr>
      <w:r>
        <w:rPr>
          <w:sz w:val="22"/>
          <w:szCs w:val="22"/>
        </w:rPr>
        <w:t xml:space="preserve">The Delhi Electricity Regulatory Commission (hereinafter referred as “Commission”) has notified “Delhi Electricity Regulatory Commission (Terms and Conditions for  Determination  of Generation Tariff ) Regulations, </w:t>
      </w:r>
      <w:smartTag w:uri="urn:schemas-microsoft-com:office:smarttags" w:element="metricconverter">
        <w:smartTagPr>
          <w:attr w:name="ProductID" w:val="2011”"/>
        </w:smartTagPr>
        <w:r>
          <w:rPr>
            <w:sz w:val="22"/>
            <w:szCs w:val="22"/>
          </w:rPr>
          <w:t>2011”</w:t>
        </w:r>
      </w:smartTag>
      <w:r>
        <w:rPr>
          <w:sz w:val="22"/>
          <w:szCs w:val="22"/>
        </w:rPr>
        <w:t xml:space="preserve"> on 02.12.2011, specifying the terms and conditions for determination of tariff for the control period FY 2012-13 to FY 2014-15. Hon’ble Commission ha</w:t>
      </w:r>
      <w:r w:rsidR="00EA42FE">
        <w:rPr>
          <w:sz w:val="22"/>
          <w:szCs w:val="22"/>
        </w:rPr>
        <w:t xml:space="preserve">s </w:t>
      </w:r>
      <w:r w:rsidR="00DD18F2">
        <w:rPr>
          <w:sz w:val="22"/>
          <w:szCs w:val="22"/>
        </w:rPr>
        <w:t>further extended</w:t>
      </w:r>
      <w:r>
        <w:rPr>
          <w:sz w:val="22"/>
          <w:szCs w:val="22"/>
        </w:rPr>
        <w:t xml:space="preserve"> the principles of MYT control period</w:t>
      </w:r>
      <w:r w:rsidR="00EA42FE">
        <w:rPr>
          <w:sz w:val="22"/>
          <w:szCs w:val="22"/>
        </w:rPr>
        <w:t xml:space="preserve"> </w:t>
      </w:r>
      <w:r w:rsidR="00DD18F2">
        <w:rPr>
          <w:sz w:val="22"/>
          <w:szCs w:val="22"/>
        </w:rPr>
        <w:t>FY 2012</w:t>
      </w:r>
      <w:r w:rsidR="00EA42FE">
        <w:rPr>
          <w:sz w:val="22"/>
          <w:szCs w:val="22"/>
        </w:rPr>
        <w:t xml:space="preserve">-13 to 2014-15 </w:t>
      </w:r>
      <w:r>
        <w:rPr>
          <w:sz w:val="22"/>
          <w:szCs w:val="22"/>
        </w:rPr>
        <w:t>to the next FY 20</w:t>
      </w:r>
      <w:r w:rsidR="00EA42FE">
        <w:rPr>
          <w:sz w:val="22"/>
          <w:szCs w:val="22"/>
        </w:rPr>
        <w:t>15-16</w:t>
      </w:r>
      <w:r>
        <w:rPr>
          <w:sz w:val="22"/>
          <w:szCs w:val="22"/>
        </w:rPr>
        <w:t xml:space="preserve">. </w:t>
      </w:r>
    </w:p>
    <w:p w:rsidR="00AD5541" w:rsidRDefault="00AD5541" w:rsidP="00A76DD0">
      <w:pPr>
        <w:rPr>
          <w:sz w:val="22"/>
          <w:szCs w:val="22"/>
        </w:rPr>
      </w:pPr>
    </w:p>
    <w:p w:rsidR="00A76DD0" w:rsidRDefault="009B5327" w:rsidP="00A76DD0">
      <w:pPr>
        <w:rPr>
          <w:sz w:val="22"/>
          <w:szCs w:val="22"/>
        </w:rPr>
      </w:pPr>
      <w:r>
        <w:rPr>
          <w:sz w:val="22"/>
          <w:szCs w:val="22"/>
        </w:rPr>
        <w:t>Petitioner</w:t>
      </w:r>
      <w:r w:rsidR="00360FE5">
        <w:rPr>
          <w:sz w:val="22"/>
          <w:szCs w:val="22"/>
        </w:rPr>
        <w:t xml:space="preserve"> is submitting this petition for approval of the Aggregate Revenue Requirement (ARR) for the Control Period from FY </w:t>
      </w:r>
      <w:r w:rsidR="00EA42FE">
        <w:rPr>
          <w:sz w:val="22"/>
          <w:szCs w:val="22"/>
        </w:rPr>
        <w:t>2015-16</w:t>
      </w:r>
      <w:r w:rsidR="00360FE5">
        <w:rPr>
          <w:sz w:val="22"/>
          <w:szCs w:val="22"/>
        </w:rPr>
        <w:t xml:space="preserve"> and truing up for the previous </w:t>
      </w:r>
      <w:r w:rsidR="00ED2F80">
        <w:rPr>
          <w:sz w:val="22"/>
          <w:szCs w:val="22"/>
        </w:rPr>
        <w:t xml:space="preserve">years of current </w:t>
      </w:r>
      <w:r w:rsidR="00AD5541">
        <w:rPr>
          <w:sz w:val="22"/>
          <w:szCs w:val="22"/>
        </w:rPr>
        <w:t>MYT from</w:t>
      </w:r>
      <w:r w:rsidR="00360FE5">
        <w:rPr>
          <w:sz w:val="22"/>
          <w:szCs w:val="22"/>
        </w:rPr>
        <w:t xml:space="preserve"> </w:t>
      </w:r>
      <w:r w:rsidR="00EA42FE">
        <w:rPr>
          <w:sz w:val="22"/>
          <w:szCs w:val="22"/>
        </w:rPr>
        <w:t xml:space="preserve">FY 2012-13 to FY </w:t>
      </w:r>
      <w:r w:rsidR="00782005">
        <w:rPr>
          <w:sz w:val="22"/>
          <w:szCs w:val="22"/>
        </w:rPr>
        <w:t>2013-14 and approval of revised estimate for 2014-15</w:t>
      </w:r>
      <w:r w:rsidR="00360FE5">
        <w:rPr>
          <w:sz w:val="22"/>
          <w:szCs w:val="22"/>
        </w:rPr>
        <w:t xml:space="preserve">. </w:t>
      </w:r>
      <w:r w:rsidR="00A76DD0">
        <w:rPr>
          <w:sz w:val="22"/>
          <w:szCs w:val="22"/>
        </w:rPr>
        <w:t xml:space="preserve">The </w:t>
      </w:r>
      <w:r w:rsidR="00692731">
        <w:rPr>
          <w:sz w:val="22"/>
          <w:szCs w:val="22"/>
        </w:rPr>
        <w:t>petitioner</w:t>
      </w:r>
      <w:r w:rsidR="00A76DD0">
        <w:rPr>
          <w:sz w:val="22"/>
          <w:szCs w:val="22"/>
        </w:rPr>
        <w:t xml:space="preserve"> </w:t>
      </w:r>
      <w:r w:rsidR="004F70DC">
        <w:rPr>
          <w:sz w:val="22"/>
          <w:szCs w:val="22"/>
        </w:rPr>
        <w:t xml:space="preserve">has sought certain relaxations in parameters as specified in the MYT Regulations. </w:t>
      </w:r>
      <w:r w:rsidR="00A76DD0">
        <w:rPr>
          <w:sz w:val="22"/>
          <w:szCs w:val="22"/>
        </w:rPr>
        <w:t xml:space="preserve">It is </w:t>
      </w:r>
      <w:r w:rsidR="00795189">
        <w:rPr>
          <w:sz w:val="22"/>
          <w:szCs w:val="22"/>
        </w:rPr>
        <w:t xml:space="preserve">prayed </w:t>
      </w:r>
      <w:r w:rsidR="00A76DD0">
        <w:rPr>
          <w:sz w:val="22"/>
          <w:szCs w:val="22"/>
        </w:rPr>
        <w:t xml:space="preserve">that </w:t>
      </w:r>
      <w:r w:rsidR="00795189">
        <w:rPr>
          <w:sz w:val="22"/>
          <w:szCs w:val="22"/>
        </w:rPr>
        <w:t>t</w:t>
      </w:r>
      <w:r w:rsidR="00A76DD0">
        <w:rPr>
          <w:sz w:val="22"/>
          <w:szCs w:val="22"/>
        </w:rPr>
        <w:t xml:space="preserve">he Hon’ble Commission </w:t>
      </w:r>
      <w:r w:rsidR="00795189">
        <w:rPr>
          <w:sz w:val="22"/>
          <w:szCs w:val="22"/>
        </w:rPr>
        <w:t xml:space="preserve">may kindly </w:t>
      </w:r>
      <w:r w:rsidR="00A76DD0">
        <w:rPr>
          <w:sz w:val="22"/>
          <w:szCs w:val="22"/>
        </w:rPr>
        <w:t>invoke its power of relaxation wherever requ</w:t>
      </w:r>
      <w:r w:rsidR="00606CEB">
        <w:rPr>
          <w:sz w:val="22"/>
          <w:szCs w:val="22"/>
        </w:rPr>
        <w:t xml:space="preserve">ested </w:t>
      </w:r>
      <w:r w:rsidR="00A76DD0">
        <w:rPr>
          <w:sz w:val="22"/>
          <w:szCs w:val="22"/>
        </w:rPr>
        <w:t xml:space="preserve">in the petition.  </w:t>
      </w:r>
    </w:p>
    <w:p w:rsidR="00360FE5" w:rsidRDefault="00360FE5" w:rsidP="00360FE5">
      <w:pPr>
        <w:rPr>
          <w:sz w:val="22"/>
          <w:szCs w:val="22"/>
        </w:rPr>
      </w:pPr>
    </w:p>
    <w:p w:rsidR="00360FE5" w:rsidRDefault="004D2773" w:rsidP="00360FE5">
      <w:pPr>
        <w:rPr>
          <w:sz w:val="22"/>
          <w:szCs w:val="22"/>
        </w:rPr>
      </w:pPr>
      <w:r>
        <w:rPr>
          <w:sz w:val="22"/>
          <w:szCs w:val="22"/>
        </w:rPr>
        <w:t>Petitioner</w:t>
      </w:r>
      <w:r w:rsidR="00360FE5">
        <w:rPr>
          <w:sz w:val="22"/>
          <w:szCs w:val="22"/>
        </w:rPr>
        <w:t xml:space="preserve"> is filing this petition without prejudice to its right to challenge the “Delhi Electricity Regulatory Commission (Terms and Conditions for Determination of Generation Tariff) Regulations, </w:t>
      </w:r>
      <w:smartTag w:uri="urn:schemas-microsoft-com:office:smarttags" w:element="metricconverter">
        <w:smartTagPr>
          <w:attr w:name="ProductID" w:val="2011”"/>
        </w:smartTagPr>
        <w:r w:rsidR="00360FE5">
          <w:rPr>
            <w:sz w:val="22"/>
            <w:szCs w:val="22"/>
          </w:rPr>
          <w:t>2011”</w:t>
        </w:r>
      </w:smartTag>
      <w:r w:rsidR="00360FE5">
        <w:rPr>
          <w:sz w:val="22"/>
          <w:szCs w:val="22"/>
        </w:rPr>
        <w:t xml:space="preserve"> and </w:t>
      </w:r>
      <w:r w:rsidR="00D938CF">
        <w:rPr>
          <w:sz w:val="22"/>
          <w:szCs w:val="22"/>
        </w:rPr>
        <w:t xml:space="preserve">petitioner in fact have </w:t>
      </w:r>
      <w:r w:rsidR="00000E5D">
        <w:rPr>
          <w:sz w:val="22"/>
          <w:szCs w:val="22"/>
        </w:rPr>
        <w:t>challenged certain</w:t>
      </w:r>
      <w:r w:rsidR="00D938CF">
        <w:rPr>
          <w:sz w:val="22"/>
          <w:szCs w:val="22"/>
        </w:rPr>
        <w:t xml:space="preserve"> provisions of above regulation </w:t>
      </w:r>
      <w:r w:rsidR="00AD5541">
        <w:rPr>
          <w:sz w:val="22"/>
          <w:szCs w:val="22"/>
        </w:rPr>
        <w:t>in Hon’ble</w:t>
      </w:r>
      <w:r w:rsidR="00360FE5">
        <w:rPr>
          <w:sz w:val="22"/>
          <w:szCs w:val="22"/>
        </w:rPr>
        <w:t xml:space="preserve"> High Court </w:t>
      </w:r>
      <w:r w:rsidR="00D938CF">
        <w:rPr>
          <w:sz w:val="22"/>
          <w:szCs w:val="22"/>
        </w:rPr>
        <w:t>of Delhi</w:t>
      </w:r>
      <w:r w:rsidR="00F24F81">
        <w:rPr>
          <w:sz w:val="22"/>
          <w:szCs w:val="22"/>
        </w:rPr>
        <w:t xml:space="preserve"> wide writ petition 2903 0f 2013.</w:t>
      </w:r>
      <w:r w:rsidR="00AD5541">
        <w:rPr>
          <w:sz w:val="22"/>
          <w:szCs w:val="22"/>
        </w:rPr>
        <w:t xml:space="preserve">  </w:t>
      </w:r>
      <w:r w:rsidR="007635B5">
        <w:rPr>
          <w:sz w:val="22"/>
          <w:szCs w:val="22"/>
        </w:rPr>
        <w:t>The matter is under process of hearing by Delhi High Court.</w:t>
      </w:r>
    </w:p>
    <w:p w:rsidR="007C5BEA" w:rsidRPr="00042273" w:rsidRDefault="007C5BEA">
      <w:pPr>
        <w:rPr>
          <w:sz w:val="10"/>
          <w:szCs w:val="22"/>
        </w:rPr>
      </w:pPr>
    </w:p>
    <w:p w:rsidR="0095439C" w:rsidRDefault="0095439C" w:rsidP="005925C7">
      <w:pPr>
        <w:pStyle w:val="StyleHeading216ptJustifiedLinespacing15lines"/>
        <w:numPr>
          <w:ilvl w:val="1"/>
          <w:numId w:val="3"/>
        </w:numPr>
        <w:tabs>
          <w:tab w:val="clear" w:pos="360"/>
        </w:tabs>
        <w:ind w:left="540" w:hanging="540"/>
        <w:rPr>
          <w:color w:val="000080"/>
        </w:rPr>
      </w:pPr>
      <w:bookmarkStart w:id="3" w:name="_Toc411605243"/>
      <w:r>
        <w:rPr>
          <w:color w:val="000080"/>
        </w:rPr>
        <w:t>Brief Company Profile</w:t>
      </w:r>
      <w:bookmarkEnd w:id="3"/>
    </w:p>
    <w:p w:rsidR="0095439C" w:rsidRPr="00042273" w:rsidRDefault="0095439C">
      <w:pPr>
        <w:rPr>
          <w:sz w:val="10"/>
          <w:szCs w:val="22"/>
        </w:rPr>
      </w:pPr>
    </w:p>
    <w:p w:rsidR="0095439C" w:rsidRDefault="0095439C">
      <w:pPr>
        <w:pStyle w:val="BodyText"/>
        <w:rPr>
          <w:rFonts w:ascii="Century Gothic" w:hAnsi="Century Gothic"/>
          <w:szCs w:val="22"/>
        </w:rPr>
      </w:pPr>
      <w:r>
        <w:rPr>
          <w:rFonts w:ascii="Century Gothic" w:hAnsi="Century Gothic"/>
          <w:szCs w:val="22"/>
        </w:rPr>
        <w:t xml:space="preserve">“Indraprastha Power Generation Company Limited” (IPGCL) is a Government Company </w:t>
      </w:r>
      <w:r w:rsidR="00007BCC">
        <w:rPr>
          <w:rFonts w:ascii="Century Gothic" w:hAnsi="Century Gothic"/>
          <w:szCs w:val="22"/>
        </w:rPr>
        <w:t xml:space="preserve">engaged in </w:t>
      </w:r>
      <w:r w:rsidR="00C76087">
        <w:rPr>
          <w:rFonts w:ascii="Century Gothic" w:hAnsi="Century Gothic"/>
          <w:szCs w:val="22"/>
        </w:rPr>
        <w:t>Power G</w:t>
      </w:r>
      <w:r>
        <w:rPr>
          <w:rFonts w:ascii="Century Gothic" w:hAnsi="Century Gothic"/>
          <w:szCs w:val="22"/>
        </w:rPr>
        <w:t>eneration and is wholly owned by the Government of National Capital Territory of Delhi. Pursuant to the provisions of</w:t>
      </w:r>
      <w:r w:rsidR="00007BCC">
        <w:rPr>
          <w:rFonts w:ascii="Century Gothic" w:hAnsi="Century Gothic"/>
          <w:szCs w:val="22"/>
        </w:rPr>
        <w:t xml:space="preserve"> the Delhi Electricity Reforms A</w:t>
      </w:r>
      <w:r>
        <w:rPr>
          <w:rFonts w:ascii="Century Gothic" w:hAnsi="Century Gothic"/>
          <w:szCs w:val="22"/>
        </w:rPr>
        <w:t xml:space="preserve">ct, 2000, the Government of National Capital Territory of Delhi undertook the reform and restructuring of the erstwhile Delhi Vidyut Board (DVB), </w:t>
      </w:r>
      <w:r>
        <w:rPr>
          <w:rFonts w:ascii="Century Gothic" w:hAnsi="Century Gothic"/>
          <w:szCs w:val="22"/>
        </w:rPr>
        <w:lastRenderedPageBreak/>
        <w:t>which was implemented through a statutory transfer scheme. The Transfer Scheme provided for unbundling of the functions of Delhi Vidyut Board and the transfer of existing transmission assets of DVB to Delhi Transco Limited and distribution assets to three Distribution Companies. Further, all the assets, liabilities, rights and interest of DVB in the Indraprastha</w:t>
      </w:r>
      <w:r w:rsidR="00CE6B7E">
        <w:rPr>
          <w:rFonts w:ascii="Century Gothic" w:hAnsi="Century Gothic"/>
          <w:szCs w:val="22"/>
        </w:rPr>
        <w:t xml:space="preserve"> Power Station</w:t>
      </w:r>
      <w:r>
        <w:rPr>
          <w:rFonts w:ascii="Century Gothic" w:hAnsi="Century Gothic"/>
          <w:szCs w:val="22"/>
        </w:rPr>
        <w:t>, Rajghat</w:t>
      </w:r>
      <w:r w:rsidR="00CE6B7E">
        <w:rPr>
          <w:rFonts w:ascii="Century Gothic" w:hAnsi="Century Gothic"/>
          <w:szCs w:val="22"/>
        </w:rPr>
        <w:t xml:space="preserve"> Power House</w:t>
      </w:r>
      <w:r>
        <w:rPr>
          <w:rFonts w:ascii="Century Gothic" w:hAnsi="Century Gothic"/>
          <w:szCs w:val="22"/>
        </w:rPr>
        <w:t xml:space="preserve"> and Gas Turbine Power Station were transferred to IPGCL.</w:t>
      </w:r>
    </w:p>
    <w:p w:rsidR="008215E1" w:rsidRPr="008215E1" w:rsidRDefault="008215E1">
      <w:pPr>
        <w:pStyle w:val="BodyText"/>
        <w:rPr>
          <w:rFonts w:ascii="Century Gothic" w:hAnsi="Century Gothic"/>
          <w:sz w:val="10"/>
          <w:szCs w:val="22"/>
        </w:rPr>
      </w:pPr>
    </w:p>
    <w:p w:rsidR="0095439C" w:rsidRDefault="0095439C">
      <w:pPr>
        <w:pStyle w:val="BodyText"/>
        <w:rPr>
          <w:rFonts w:ascii="Century Gothic" w:hAnsi="Century Gothic"/>
          <w:szCs w:val="22"/>
        </w:rPr>
      </w:pPr>
      <w:r>
        <w:rPr>
          <w:rFonts w:ascii="Century Gothic" w:hAnsi="Century Gothic"/>
          <w:szCs w:val="22"/>
        </w:rPr>
        <w:t xml:space="preserve">The Indraprastha Power Generation Company Limited (IPGCL) has </w:t>
      </w:r>
      <w:r w:rsidR="00FD59DC">
        <w:rPr>
          <w:rFonts w:ascii="Century Gothic" w:hAnsi="Century Gothic"/>
          <w:szCs w:val="22"/>
        </w:rPr>
        <w:t xml:space="preserve">three power plants out of which </w:t>
      </w:r>
      <w:r w:rsidR="00C37928">
        <w:rPr>
          <w:rFonts w:ascii="Century Gothic" w:hAnsi="Century Gothic"/>
          <w:szCs w:val="22"/>
        </w:rPr>
        <w:t xml:space="preserve">two </w:t>
      </w:r>
      <w:r w:rsidR="00FD59DC">
        <w:rPr>
          <w:rFonts w:ascii="Century Gothic" w:hAnsi="Century Gothic"/>
          <w:szCs w:val="22"/>
        </w:rPr>
        <w:t xml:space="preserve">are </w:t>
      </w:r>
      <w:r w:rsidR="00571404">
        <w:rPr>
          <w:rFonts w:ascii="Century Gothic" w:hAnsi="Century Gothic"/>
          <w:szCs w:val="22"/>
        </w:rPr>
        <w:t>operational power plants and one other</w:t>
      </w:r>
      <w:r w:rsidR="00724322">
        <w:rPr>
          <w:rFonts w:ascii="Century Gothic" w:hAnsi="Century Gothic"/>
          <w:szCs w:val="22"/>
        </w:rPr>
        <w:t xml:space="preserve"> closed </w:t>
      </w:r>
      <w:r w:rsidR="00571404">
        <w:rPr>
          <w:rFonts w:ascii="Century Gothic" w:hAnsi="Century Gothic"/>
          <w:szCs w:val="22"/>
        </w:rPr>
        <w:t xml:space="preserve"> plant </w:t>
      </w:r>
      <w:r w:rsidR="00FD59DC">
        <w:rPr>
          <w:rFonts w:ascii="Century Gothic" w:hAnsi="Century Gothic"/>
          <w:szCs w:val="22"/>
        </w:rPr>
        <w:t xml:space="preserve"> is </w:t>
      </w:r>
      <w:r w:rsidR="00571404" w:rsidRPr="00A02C95">
        <w:rPr>
          <w:rFonts w:ascii="Century Gothic" w:hAnsi="Century Gothic"/>
          <w:szCs w:val="22"/>
        </w:rPr>
        <w:t xml:space="preserve">under </w:t>
      </w:r>
      <w:r w:rsidR="00724322">
        <w:rPr>
          <w:rFonts w:ascii="Century Gothic" w:hAnsi="Century Gothic"/>
          <w:szCs w:val="22"/>
        </w:rPr>
        <w:t>disposal,</w:t>
      </w:r>
      <w:r>
        <w:rPr>
          <w:rFonts w:ascii="Century Gothic" w:hAnsi="Century Gothic"/>
          <w:szCs w:val="22"/>
        </w:rPr>
        <w:t xml:space="preserve"> as </w:t>
      </w:r>
      <w:r w:rsidR="00E520E0">
        <w:rPr>
          <w:rFonts w:ascii="Century Gothic" w:hAnsi="Century Gothic"/>
          <w:szCs w:val="22"/>
        </w:rPr>
        <w:t xml:space="preserve">per under mentioned </w:t>
      </w:r>
      <w:r>
        <w:rPr>
          <w:rFonts w:ascii="Century Gothic" w:hAnsi="Century Gothic"/>
          <w:szCs w:val="22"/>
        </w:rPr>
        <w:t>detail</w:t>
      </w:r>
      <w:r w:rsidR="00E520E0">
        <w:rPr>
          <w:rFonts w:ascii="Century Gothic" w:hAnsi="Century Gothic"/>
          <w:szCs w:val="22"/>
        </w:rPr>
        <w:t>s</w:t>
      </w:r>
      <w:r w:rsidR="00693F32">
        <w:rPr>
          <w:rFonts w:ascii="Century Gothic" w:hAnsi="Century Gothic"/>
          <w:szCs w:val="22"/>
        </w:rPr>
        <w:t>:</w:t>
      </w:r>
      <w:r>
        <w:rPr>
          <w:rFonts w:ascii="Century Gothic" w:hAnsi="Century Gothic"/>
          <w:szCs w:val="22"/>
        </w:rPr>
        <w:t xml:space="preserve"> </w:t>
      </w:r>
    </w:p>
    <w:p w:rsidR="00850319" w:rsidRDefault="00850319">
      <w:pPr>
        <w:pStyle w:val="BodyText"/>
        <w:rPr>
          <w:rFonts w:ascii="Century Gothic" w:hAnsi="Century Gothic"/>
          <w:szCs w:val="22"/>
        </w:rPr>
      </w:pPr>
    </w:p>
    <w:p w:rsidR="0095439C" w:rsidRPr="00EC27E9" w:rsidRDefault="0095439C">
      <w:pPr>
        <w:pStyle w:val="BodyText"/>
        <w:numPr>
          <w:ilvl w:val="0"/>
          <w:numId w:val="10"/>
        </w:numPr>
        <w:autoSpaceDE w:val="0"/>
        <w:autoSpaceDN w:val="0"/>
        <w:adjustRightInd w:val="0"/>
        <w:spacing w:after="120"/>
        <w:ind w:left="720" w:hanging="360"/>
        <w:rPr>
          <w:rFonts w:ascii="Century Gothic" w:hAnsi="Century Gothic"/>
          <w:szCs w:val="22"/>
        </w:rPr>
      </w:pPr>
      <w:r>
        <w:rPr>
          <w:rFonts w:ascii="Century Gothic" w:hAnsi="Century Gothic"/>
          <w:szCs w:val="22"/>
        </w:rPr>
        <w:t>1</w:t>
      </w:r>
      <w:r w:rsidR="00D039A6">
        <w:rPr>
          <w:rFonts w:ascii="Century Gothic" w:hAnsi="Century Gothic"/>
          <w:szCs w:val="22"/>
        </w:rPr>
        <w:tab/>
      </w:r>
      <w:r>
        <w:rPr>
          <w:rFonts w:ascii="Century Gothic" w:hAnsi="Century Gothic"/>
          <w:szCs w:val="22"/>
        </w:rPr>
        <w:t xml:space="preserve"> Rajghat Power House (RPH) </w:t>
      </w:r>
      <w:r w:rsidR="00C3358E">
        <w:rPr>
          <w:rFonts w:ascii="Century Gothic" w:hAnsi="Century Gothic"/>
          <w:szCs w:val="22"/>
        </w:rPr>
        <w:t>has</w:t>
      </w:r>
      <w:r>
        <w:rPr>
          <w:rFonts w:ascii="Century Gothic" w:hAnsi="Century Gothic"/>
          <w:szCs w:val="22"/>
        </w:rPr>
        <w:t xml:space="preserve"> a total capacity of 135 MW with two units of 67.5 MW each using coal as </w:t>
      </w:r>
      <w:r w:rsidR="00B02C58">
        <w:rPr>
          <w:rFonts w:ascii="Century Gothic" w:hAnsi="Century Gothic"/>
          <w:szCs w:val="22"/>
        </w:rPr>
        <w:t xml:space="preserve">primary </w:t>
      </w:r>
      <w:r>
        <w:rPr>
          <w:rFonts w:ascii="Century Gothic" w:hAnsi="Century Gothic"/>
          <w:szCs w:val="22"/>
        </w:rPr>
        <w:t>fuel.</w:t>
      </w:r>
      <w:r w:rsidR="00EC27E9">
        <w:rPr>
          <w:rFonts w:ascii="Century Gothic" w:hAnsi="Century Gothic"/>
          <w:szCs w:val="22"/>
        </w:rPr>
        <w:t xml:space="preserve"> The station was set up in the year 1989-</w:t>
      </w:r>
      <w:smartTag w:uri="urn:schemas-microsoft-com:office:smarttags" w:element="metricconverter">
        <w:smartTagPr>
          <w:attr w:name="ProductID" w:val="90. In"/>
        </w:smartTagPr>
        <w:r w:rsidR="00EC27E9">
          <w:rPr>
            <w:rFonts w:ascii="Century Gothic" w:hAnsi="Century Gothic"/>
            <w:szCs w:val="22"/>
          </w:rPr>
          <w:t xml:space="preserve">90. </w:t>
        </w:r>
        <w:r w:rsidR="0007376A">
          <w:rPr>
            <w:rFonts w:ascii="Century Gothic" w:hAnsi="Century Gothic"/>
            <w:szCs w:val="22"/>
          </w:rPr>
          <w:t>In</w:t>
        </w:r>
      </w:smartTag>
      <w:r w:rsidR="0007376A">
        <w:rPr>
          <w:rFonts w:ascii="Century Gothic" w:hAnsi="Century Gothic"/>
          <w:szCs w:val="22"/>
        </w:rPr>
        <w:t xml:space="preserve"> view of environment </w:t>
      </w:r>
      <w:r w:rsidR="00F95B40">
        <w:rPr>
          <w:rFonts w:ascii="Century Gothic" w:hAnsi="Century Gothic"/>
          <w:szCs w:val="22"/>
        </w:rPr>
        <w:t>constraints, the</w:t>
      </w:r>
      <w:r w:rsidR="003356EA">
        <w:rPr>
          <w:rFonts w:ascii="Century Gothic" w:hAnsi="Century Gothic"/>
          <w:szCs w:val="22"/>
        </w:rPr>
        <w:t xml:space="preserve"> station is </w:t>
      </w:r>
      <w:r w:rsidR="0007376A" w:rsidRPr="00EC27E9">
        <w:rPr>
          <w:rFonts w:ascii="Century Gothic" w:hAnsi="Century Gothic"/>
          <w:szCs w:val="22"/>
        </w:rPr>
        <w:t>proposed t</w:t>
      </w:r>
      <w:r w:rsidR="003356EA" w:rsidRPr="00EC27E9">
        <w:rPr>
          <w:rFonts w:ascii="Century Gothic" w:hAnsi="Century Gothic"/>
          <w:szCs w:val="22"/>
        </w:rPr>
        <w:t xml:space="preserve">o be closed down </w:t>
      </w:r>
      <w:r w:rsidR="00EC27E9" w:rsidRPr="00EC27E9">
        <w:rPr>
          <w:rFonts w:ascii="Century Gothic" w:hAnsi="Century Gothic"/>
          <w:szCs w:val="22"/>
        </w:rPr>
        <w:t>in the near future</w:t>
      </w:r>
      <w:r w:rsidR="003356EA" w:rsidRPr="00EC27E9">
        <w:rPr>
          <w:rFonts w:ascii="Century Gothic" w:hAnsi="Century Gothic"/>
          <w:szCs w:val="22"/>
        </w:rPr>
        <w:t>.</w:t>
      </w:r>
      <w:r w:rsidRPr="00EC27E9">
        <w:rPr>
          <w:rFonts w:ascii="Century Gothic" w:hAnsi="Century Gothic"/>
          <w:szCs w:val="22"/>
        </w:rPr>
        <w:t xml:space="preserve"> </w:t>
      </w:r>
    </w:p>
    <w:p w:rsidR="0095439C" w:rsidRDefault="00D039A6">
      <w:pPr>
        <w:pStyle w:val="BodyText"/>
        <w:numPr>
          <w:ilvl w:val="0"/>
          <w:numId w:val="10"/>
        </w:numPr>
        <w:autoSpaceDE w:val="0"/>
        <w:autoSpaceDN w:val="0"/>
        <w:adjustRightInd w:val="0"/>
        <w:spacing w:after="120"/>
        <w:ind w:left="720" w:hanging="360"/>
        <w:rPr>
          <w:rFonts w:ascii="Century Gothic" w:hAnsi="Century Gothic"/>
          <w:szCs w:val="22"/>
        </w:rPr>
      </w:pPr>
      <w:r>
        <w:rPr>
          <w:rFonts w:ascii="Century Gothic" w:hAnsi="Century Gothic"/>
          <w:szCs w:val="22"/>
        </w:rPr>
        <w:t>2</w:t>
      </w:r>
      <w:r w:rsidR="0095439C">
        <w:rPr>
          <w:rFonts w:ascii="Century Gothic" w:hAnsi="Century Gothic"/>
          <w:szCs w:val="22"/>
        </w:rPr>
        <w:t>.  Gas Turbine Power Station (GTPS) with a total capacity of 2</w:t>
      </w:r>
      <w:r w:rsidR="00E90E80">
        <w:rPr>
          <w:rFonts w:ascii="Century Gothic" w:hAnsi="Century Gothic"/>
          <w:szCs w:val="22"/>
        </w:rPr>
        <w:t>70</w:t>
      </w:r>
      <w:r w:rsidR="0095439C">
        <w:rPr>
          <w:rFonts w:ascii="Century Gothic" w:hAnsi="Century Gothic"/>
          <w:szCs w:val="22"/>
        </w:rPr>
        <w:t xml:space="preserve"> MW having six gas turbines of 30 MW each</w:t>
      </w:r>
      <w:r w:rsidR="00007BCC">
        <w:rPr>
          <w:rFonts w:ascii="Century Gothic" w:hAnsi="Century Gothic"/>
          <w:szCs w:val="22"/>
        </w:rPr>
        <w:t>,</w:t>
      </w:r>
      <w:r w:rsidR="0095439C">
        <w:rPr>
          <w:rFonts w:ascii="Century Gothic" w:hAnsi="Century Gothic"/>
          <w:szCs w:val="22"/>
        </w:rPr>
        <w:t xml:space="preserve"> using NG/</w:t>
      </w:r>
      <w:r w:rsidR="00007BCC">
        <w:rPr>
          <w:rFonts w:ascii="Century Gothic" w:hAnsi="Century Gothic"/>
          <w:szCs w:val="22"/>
        </w:rPr>
        <w:t>R</w:t>
      </w:r>
      <w:r w:rsidR="0095439C">
        <w:rPr>
          <w:rFonts w:ascii="Century Gothic" w:hAnsi="Century Gothic"/>
          <w:szCs w:val="22"/>
        </w:rPr>
        <w:t xml:space="preserve">LNG as fuel and three </w:t>
      </w:r>
      <w:r w:rsidR="00BE4EE5">
        <w:rPr>
          <w:rFonts w:ascii="Century Gothic" w:hAnsi="Century Gothic"/>
          <w:szCs w:val="22"/>
        </w:rPr>
        <w:t xml:space="preserve">Waste </w:t>
      </w:r>
      <w:r w:rsidR="00452709">
        <w:rPr>
          <w:rFonts w:ascii="Century Gothic" w:hAnsi="Century Gothic"/>
          <w:szCs w:val="22"/>
        </w:rPr>
        <w:t xml:space="preserve">Heat </w:t>
      </w:r>
      <w:r w:rsidR="00BE4EE5">
        <w:rPr>
          <w:rFonts w:ascii="Century Gothic" w:hAnsi="Century Gothic"/>
          <w:szCs w:val="22"/>
        </w:rPr>
        <w:t>Recovery  S</w:t>
      </w:r>
      <w:r w:rsidR="0095439C">
        <w:rPr>
          <w:rFonts w:ascii="Century Gothic" w:hAnsi="Century Gothic"/>
          <w:szCs w:val="22"/>
        </w:rPr>
        <w:t xml:space="preserve">team </w:t>
      </w:r>
      <w:r w:rsidR="00BE4EE5">
        <w:rPr>
          <w:rFonts w:ascii="Century Gothic" w:hAnsi="Century Gothic"/>
          <w:szCs w:val="22"/>
        </w:rPr>
        <w:t>Tu</w:t>
      </w:r>
      <w:r w:rsidR="0095439C">
        <w:rPr>
          <w:rFonts w:ascii="Century Gothic" w:hAnsi="Century Gothic"/>
          <w:szCs w:val="22"/>
        </w:rPr>
        <w:t xml:space="preserve">rbines of </w:t>
      </w:r>
      <w:r w:rsidR="00B17180">
        <w:rPr>
          <w:rFonts w:ascii="Century Gothic" w:hAnsi="Century Gothic"/>
          <w:szCs w:val="22"/>
        </w:rPr>
        <w:t>d</w:t>
      </w:r>
      <w:r w:rsidR="00774F19">
        <w:rPr>
          <w:rFonts w:ascii="Century Gothic" w:hAnsi="Century Gothic"/>
          <w:szCs w:val="22"/>
        </w:rPr>
        <w:t xml:space="preserve">e-rated </w:t>
      </w:r>
      <w:r w:rsidR="00C43FEB">
        <w:rPr>
          <w:rFonts w:ascii="Century Gothic" w:hAnsi="Century Gothic"/>
          <w:szCs w:val="22"/>
        </w:rPr>
        <w:t xml:space="preserve">capacity of </w:t>
      </w:r>
      <w:r w:rsidR="0095439C">
        <w:rPr>
          <w:rFonts w:ascii="Century Gothic" w:hAnsi="Century Gothic"/>
          <w:szCs w:val="22"/>
        </w:rPr>
        <w:t>3</w:t>
      </w:r>
      <w:r w:rsidR="00DA0406">
        <w:rPr>
          <w:rFonts w:ascii="Century Gothic" w:hAnsi="Century Gothic"/>
          <w:szCs w:val="22"/>
        </w:rPr>
        <w:t>0</w:t>
      </w:r>
      <w:r w:rsidR="0095439C">
        <w:rPr>
          <w:rFonts w:ascii="Century Gothic" w:hAnsi="Century Gothic"/>
          <w:szCs w:val="22"/>
        </w:rPr>
        <w:t xml:space="preserve"> MW each.</w:t>
      </w:r>
      <w:r w:rsidR="00032217">
        <w:rPr>
          <w:rFonts w:ascii="Century Gothic" w:hAnsi="Century Gothic"/>
          <w:szCs w:val="22"/>
        </w:rPr>
        <w:t xml:space="preserve"> The gas Turbines of the station </w:t>
      </w:r>
      <w:r w:rsidR="00850095">
        <w:rPr>
          <w:rFonts w:ascii="Century Gothic" w:hAnsi="Century Gothic"/>
          <w:szCs w:val="22"/>
        </w:rPr>
        <w:t>were</w:t>
      </w:r>
      <w:r w:rsidR="00032217">
        <w:rPr>
          <w:rFonts w:ascii="Century Gothic" w:hAnsi="Century Gothic"/>
          <w:szCs w:val="22"/>
        </w:rPr>
        <w:t xml:space="preserve"> set up in the year 1985-86 to meet the peak load demand of Delhi. The station was retrofitted with Steam Turbines in the year 1996. </w:t>
      </w:r>
      <w:r w:rsidR="0095439C">
        <w:rPr>
          <w:rFonts w:ascii="Century Gothic" w:hAnsi="Century Gothic"/>
          <w:szCs w:val="22"/>
        </w:rPr>
        <w:t xml:space="preserve"> </w:t>
      </w:r>
    </w:p>
    <w:p w:rsidR="0095439C" w:rsidRDefault="00D039A6" w:rsidP="00D039A6">
      <w:pPr>
        <w:ind w:left="720" w:hanging="360"/>
        <w:rPr>
          <w:szCs w:val="22"/>
        </w:rPr>
      </w:pPr>
      <w:r>
        <w:rPr>
          <w:szCs w:val="22"/>
        </w:rPr>
        <w:t>3.</w:t>
      </w:r>
      <w:r>
        <w:rPr>
          <w:szCs w:val="22"/>
        </w:rPr>
        <w:tab/>
        <w:t>Indraprastha Power Station (IP) had a total capacity of 247.5 MW with three units of 62.5 MW each and one unit of 60 MW capacity using coal as fuel. The station was closed down on 31.12.2009.</w:t>
      </w:r>
    </w:p>
    <w:p w:rsidR="00A972F2" w:rsidRDefault="00A972F2" w:rsidP="00D039A6">
      <w:pPr>
        <w:ind w:left="720" w:hanging="360"/>
        <w:rPr>
          <w:szCs w:val="22"/>
        </w:rPr>
      </w:pPr>
    </w:p>
    <w:p w:rsidR="00B07D0C" w:rsidRDefault="00B07D0C" w:rsidP="00D039A6">
      <w:pPr>
        <w:ind w:left="720" w:hanging="360"/>
        <w:rPr>
          <w:szCs w:val="22"/>
        </w:rPr>
      </w:pPr>
    </w:p>
    <w:p w:rsidR="00B07D0C" w:rsidRDefault="00B07D0C" w:rsidP="00D039A6">
      <w:pPr>
        <w:ind w:left="720" w:hanging="360"/>
        <w:rPr>
          <w:szCs w:val="22"/>
        </w:rPr>
      </w:pPr>
    </w:p>
    <w:p w:rsidR="00A972F2" w:rsidRDefault="00A972F2" w:rsidP="00D039A6">
      <w:pPr>
        <w:ind w:left="720" w:hanging="360"/>
        <w:rPr>
          <w:szCs w:val="22"/>
        </w:rPr>
      </w:pPr>
    </w:p>
    <w:p w:rsidR="00A972F2" w:rsidRDefault="00A972F2" w:rsidP="00D039A6">
      <w:pPr>
        <w:ind w:left="720" w:hanging="360"/>
        <w:rPr>
          <w:szCs w:val="22"/>
        </w:rPr>
      </w:pPr>
    </w:p>
    <w:p w:rsidR="00BA2F40" w:rsidRDefault="00BA2F40" w:rsidP="00D039A6">
      <w:pPr>
        <w:ind w:left="720" w:hanging="360"/>
        <w:rPr>
          <w:szCs w:val="22"/>
        </w:rPr>
      </w:pPr>
    </w:p>
    <w:p w:rsidR="00FC724F" w:rsidRDefault="00FC724F" w:rsidP="00D039A6">
      <w:pPr>
        <w:ind w:left="720" w:hanging="360"/>
        <w:rPr>
          <w:szCs w:val="22"/>
        </w:rPr>
      </w:pPr>
    </w:p>
    <w:p w:rsidR="00FC724F" w:rsidRDefault="00FC724F" w:rsidP="00D039A6">
      <w:pPr>
        <w:ind w:left="720" w:hanging="360"/>
        <w:rPr>
          <w:szCs w:val="22"/>
        </w:rPr>
      </w:pPr>
    </w:p>
    <w:p w:rsidR="00FC724F" w:rsidRDefault="00FC724F" w:rsidP="00D039A6">
      <w:pPr>
        <w:ind w:left="720" w:hanging="360"/>
        <w:rPr>
          <w:szCs w:val="22"/>
        </w:rPr>
      </w:pPr>
    </w:p>
    <w:p w:rsidR="00A972F2" w:rsidRDefault="00A972F2" w:rsidP="00EB7B18">
      <w:pPr>
        <w:spacing w:line="240" w:lineRule="auto"/>
        <w:ind w:left="720" w:hanging="360"/>
        <w:rPr>
          <w:sz w:val="22"/>
          <w:szCs w:val="22"/>
        </w:rPr>
      </w:pPr>
    </w:p>
    <w:p w:rsidR="0095439C" w:rsidRDefault="0095439C" w:rsidP="00EB7B18">
      <w:pPr>
        <w:pStyle w:val="Heading1"/>
        <w:ind w:right="-158"/>
        <w:jc w:val="center"/>
      </w:pPr>
      <w:bookmarkStart w:id="4" w:name="_Toc411605244"/>
      <w:r>
        <w:t>: Submissions</w:t>
      </w:r>
      <w:bookmarkEnd w:id="4"/>
    </w:p>
    <w:p w:rsidR="0095439C" w:rsidRDefault="0095439C" w:rsidP="00EB7B18">
      <w:pPr>
        <w:spacing w:line="240" w:lineRule="auto"/>
        <w:rPr>
          <w:sz w:val="22"/>
          <w:szCs w:val="22"/>
        </w:rPr>
      </w:pPr>
    </w:p>
    <w:p w:rsidR="0095439C" w:rsidRDefault="0095439C">
      <w:pPr>
        <w:rPr>
          <w:sz w:val="22"/>
          <w:szCs w:val="22"/>
        </w:rPr>
      </w:pPr>
      <w:r>
        <w:rPr>
          <w:sz w:val="22"/>
          <w:szCs w:val="22"/>
        </w:rPr>
        <w:t xml:space="preserve">This Chapter </w:t>
      </w:r>
      <w:r w:rsidR="00FE1620">
        <w:rPr>
          <w:sz w:val="22"/>
          <w:szCs w:val="22"/>
        </w:rPr>
        <w:t xml:space="preserve">deals with </w:t>
      </w:r>
      <w:r w:rsidR="00F95B40">
        <w:rPr>
          <w:sz w:val="22"/>
          <w:szCs w:val="22"/>
        </w:rPr>
        <w:t>the modality</w:t>
      </w:r>
      <w:r>
        <w:rPr>
          <w:sz w:val="22"/>
          <w:szCs w:val="22"/>
        </w:rPr>
        <w:t xml:space="preserve"> of making submissions to the Hon</w:t>
      </w:r>
      <w:r w:rsidR="00CF7F39">
        <w:rPr>
          <w:sz w:val="22"/>
          <w:szCs w:val="22"/>
        </w:rPr>
        <w:t>’</w:t>
      </w:r>
      <w:r>
        <w:rPr>
          <w:sz w:val="22"/>
          <w:szCs w:val="22"/>
        </w:rPr>
        <w:t>ble Commission in support of the Prayers</w:t>
      </w:r>
      <w:r w:rsidR="00BE4EE5">
        <w:rPr>
          <w:sz w:val="22"/>
          <w:szCs w:val="22"/>
        </w:rPr>
        <w:t>.</w:t>
      </w:r>
    </w:p>
    <w:p w:rsidR="0095439C" w:rsidRDefault="0095439C" w:rsidP="005925C7">
      <w:pPr>
        <w:pStyle w:val="StyleHeading216ptJustifiedLinespacing15lines"/>
        <w:numPr>
          <w:ilvl w:val="1"/>
          <w:numId w:val="11"/>
        </w:numPr>
        <w:tabs>
          <w:tab w:val="clear" w:pos="360"/>
          <w:tab w:val="num" w:pos="540"/>
        </w:tabs>
        <w:rPr>
          <w:color w:val="000080"/>
        </w:rPr>
      </w:pPr>
      <w:bookmarkStart w:id="5" w:name="_Toc115252368"/>
      <w:bookmarkStart w:id="6" w:name="_Toc411605245"/>
      <w:r>
        <w:rPr>
          <w:color w:val="000080"/>
        </w:rPr>
        <w:t>Submission Plan</w:t>
      </w:r>
      <w:bookmarkEnd w:id="5"/>
      <w:bookmarkEnd w:id="6"/>
    </w:p>
    <w:p w:rsidR="0095439C" w:rsidRDefault="0095439C">
      <w:pPr>
        <w:rPr>
          <w:sz w:val="22"/>
          <w:szCs w:val="22"/>
        </w:rPr>
      </w:pPr>
      <w:r>
        <w:rPr>
          <w:sz w:val="22"/>
          <w:szCs w:val="22"/>
        </w:rPr>
        <w:t>IPGCL proposes to make submissions to the Hon</w:t>
      </w:r>
      <w:r w:rsidR="004E6144">
        <w:rPr>
          <w:sz w:val="22"/>
          <w:szCs w:val="22"/>
        </w:rPr>
        <w:t>’</w:t>
      </w:r>
      <w:r>
        <w:rPr>
          <w:sz w:val="22"/>
          <w:szCs w:val="22"/>
        </w:rPr>
        <w:t>ble Commission in support of this Petition as under:</w:t>
      </w:r>
    </w:p>
    <w:p w:rsidR="0095439C" w:rsidRDefault="0095439C" w:rsidP="00EB7B18">
      <w:pPr>
        <w:spacing w:line="240" w:lineRule="auto"/>
        <w:rPr>
          <w:sz w:val="22"/>
          <w:szCs w:val="22"/>
        </w:rPr>
      </w:pPr>
    </w:p>
    <w:p w:rsidR="0095439C" w:rsidRDefault="0095439C" w:rsidP="00EB7B18">
      <w:pPr>
        <w:numPr>
          <w:ilvl w:val="0"/>
          <w:numId w:val="4"/>
        </w:numPr>
        <w:spacing w:line="240" w:lineRule="auto"/>
        <w:ind w:firstLine="0"/>
        <w:rPr>
          <w:sz w:val="22"/>
          <w:szCs w:val="22"/>
        </w:rPr>
      </w:pPr>
      <w:r>
        <w:rPr>
          <w:sz w:val="22"/>
          <w:szCs w:val="22"/>
        </w:rPr>
        <w:t>Operational Parameters</w:t>
      </w:r>
    </w:p>
    <w:p w:rsidR="0095439C" w:rsidRDefault="00806C39" w:rsidP="00EB7B18">
      <w:pPr>
        <w:numPr>
          <w:ilvl w:val="0"/>
          <w:numId w:val="4"/>
        </w:numPr>
        <w:spacing w:line="240" w:lineRule="auto"/>
        <w:ind w:firstLine="0"/>
        <w:rPr>
          <w:sz w:val="22"/>
          <w:szCs w:val="22"/>
        </w:rPr>
      </w:pPr>
      <w:r>
        <w:rPr>
          <w:sz w:val="22"/>
          <w:szCs w:val="22"/>
        </w:rPr>
        <w:t>Financial Parameters</w:t>
      </w:r>
    </w:p>
    <w:p w:rsidR="0095439C" w:rsidRDefault="00806C39" w:rsidP="00EB7B18">
      <w:pPr>
        <w:numPr>
          <w:ilvl w:val="0"/>
          <w:numId w:val="4"/>
        </w:numPr>
        <w:spacing w:line="240" w:lineRule="auto"/>
        <w:ind w:firstLine="0"/>
        <w:rPr>
          <w:sz w:val="22"/>
          <w:szCs w:val="22"/>
        </w:rPr>
      </w:pPr>
      <w:r>
        <w:rPr>
          <w:sz w:val="22"/>
          <w:szCs w:val="22"/>
        </w:rPr>
        <w:t>Capital Expenditure Plan</w:t>
      </w:r>
    </w:p>
    <w:p w:rsidR="0095439C" w:rsidRDefault="00806C39" w:rsidP="00EB7B18">
      <w:pPr>
        <w:numPr>
          <w:ilvl w:val="0"/>
          <w:numId w:val="4"/>
        </w:numPr>
        <w:spacing w:line="240" w:lineRule="auto"/>
        <w:ind w:firstLine="0"/>
        <w:rPr>
          <w:sz w:val="22"/>
          <w:szCs w:val="22"/>
        </w:rPr>
      </w:pPr>
      <w:r>
        <w:rPr>
          <w:sz w:val="22"/>
          <w:szCs w:val="22"/>
        </w:rPr>
        <w:t>Prayer</w:t>
      </w:r>
    </w:p>
    <w:p w:rsidR="0095439C" w:rsidRDefault="0095439C" w:rsidP="00EB7B18">
      <w:pPr>
        <w:spacing w:line="240" w:lineRule="auto"/>
        <w:rPr>
          <w:sz w:val="22"/>
          <w:szCs w:val="22"/>
        </w:rPr>
      </w:pPr>
    </w:p>
    <w:p w:rsidR="0095439C" w:rsidRDefault="0095439C">
      <w:pPr>
        <w:rPr>
          <w:sz w:val="22"/>
          <w:szCs w:val="22"/>
        </w:rPr>
      </w:pPr>
      <w:r>
        <w:rPr>
          <w:sz w:val="22"/>
          <w:szCs w:val="22"/>
        </w:rPr>
        <w:t xml:space="preserve">Detailed submissions on each of </w:t>
      </w:r>
      <w:r w:rsidR="00007BCC">
        <w:rPr>
          <w:sz w:val="22"/>
          <w:szCs w:val="22"/>
        </w:rPr>
        <w:t xml:space="preserve">the above </w:t>
      </w:r>
      <w:r>
        <w:rPr>
          <w:sz w:val="22"/>
          <w:szCs w:val="22"/>
        </w:rPr>
        <w:t>are made in the Chapters to follow.</w:t>
      </w:r>
    </w:p>
    <w:p w:rsidR="0095439C" w:rsidRDefault="006F2490">
      <w:pPr>
        <w:pStyle w:val="StyleHeading216ptJustifiedLinespacing15lines"/>
        <w:numPr>
          <w:ilvl w:val="0"/>
          <w:numId w:val="0"/>
        </w:numPr>
        <w:rPr>
          <w:color w:val="000080"/>
        </w:rPr>
      </w:pPr>
      <w:bookmarkStart w:id="7" w:name="_Toc411605246"/>
      <w:r>
        <w:rPr>
          <w:color w:val="000080"/>
        </w:rPr>
        <w:t>2.2</w:t>
      </w:r>
      <w:r>
        <w:rPr>
          <w:color w:val="000080"/>
        </w:rPr>
        <w:tab/>
        <w:t>Brief of Submissions</w:t>
      </w:r>
      <w:bookmarkEnd w:id="7"/>
    </w:p>
    <w:p w:rsidR="0095439C" w:rsidRDefault="003314D7">
      <w:pPr>
        <w:rPr>
          <w:sz w:val="22"/>
          <w:szCs w:val="22"/>
        </w:rPr>
      </w:pPr>
      <w:r>
        <w:rPr>
          <w:sz w:val="22"/>
          <w:szCs w:val="22"/>
        </w:rPr>
        <w:t xml:space="preserve">Petitioner hereby </w:t>
      </w:r>
      <w:r w:rsidR="0095439C">
        <w:rPr>
          <w:sz w:val="22"/>
          <w:szCs w:val="22"/>
        </w:rPr>
        <w:t>seek</w:t>
      </w:r>
      <w:r>
        <w:rPr>
          <w:sz w:val="22"/>
          <w:szCs w:val="22"/>
        </w:rPr>
        <w:t xml:space="preserve">s </w:t>
      </w:r>
      <w:r w:rsidR="00632B0C">
        <w:rPr>
          <w:sz w:val="22"/>
          <w:szCs w:val="22"/>
        </w:rPr>
        <w:t>the approval</w:t>
      </w:r>
      <w:r w:rsidR="0095439C">
        <w:rPr>
          <w:sz w:val="22"/>
          <w:szCs w:val="22"/>
        </w:rPr>
        <w:t xml:space="preserve"> of</w:t>
      </w:r>
      <w:r>
        <w:rPr>
          <w:sz w:val="22"/>
          <w:szCs w:val="22"/>
        </w:rPr>
        <w:t xml:space="preserve"> the </w:t>
      </w:r>
      <w:r w:rsidR="00632B0C">
        <w:rPr>
          <w:sz w:val="22"/>
          <w:szCs w:val="22"/>
        </w:rPr>
        <w:t>Hon’ble Commission</w:t>
      </w:r>
      <w:r>
        <w:rPr>
          <w:sz w:val="22"/>
          <w:szCs w:val="22"/>
        </w:rPr>
        <w:t xml:space="preserve"> for </w:t>
      </w:r>
      <w:r w:rsidR="0095439C">
        <w:rPr>
          <w:sz w:val="22"/>
          <w:szCs w:val="22"/>
        </w:rPr>
        <w:t>the generation tariffs</w:t>
      </w:r>
      <w:r>
        <w:rPr>
          <w:sz w:val="22"/>
          <w:szCs w:val="22"/>
        </w:rPr>
        <w:t>,</w:t>
      </w:r>
      <w:r w:rsidR="0095439C">
        <w:rPr>
          <w:sz w:val="22"/>
          <w:szCs w:val="22"/>
        </w:rPr>
        <w:t xml:space="preserve"> operational and financial parameters for its generating stations</w:t>
      </w:r>
      <w:r>
        <w:rPr>
          <w:sz w:val="22"/>
          <w:szCs w:val="22"/>
        </w:rPr>
        <w:t xml:space="preserve"> with certain relaxation in </w:t>
      </w:r>
      <w:r w:rsidR="003F125D">
        <w:rPr>
          <w:sz w:val="22"/>
          <w:szCs w:val="22"/>
        </w:rPr>
        <w:t>current MYT R</w:t>
      </w:r>
      <w:r>
        <w:rPr>
          <w:sz w:val="22"/>
          <w:szCs w:val="22"/>
        </w:rPr>
        <w:t>egulations as well as MYT Regulations</w:t>
      </w:r>
      <w:r w:rsidR="00632B0C">
        <w:rPr>
          <w:sz w:val="22"/>
          <w:szCs w:val="22"/>
        </w:rPr>
        <w:t>, 2011</w:t>
      </w:r>
      <w:r w:rsidR="00EA149C">
        <w:rPr>
          <w:sz w:val="22"/>
          <w:szCs w:val="22"/>
        </w:rPr>
        <w:t xml:space="preserve"> </w:t>
      </w:r>
      <w:r>
        <w:rPr>
          <w:sz w:val="22"/>
          <w:szCs w:val="22"/>
        </w:rPr>
        <w:t>for control period FY 2012-13 to FY 2014-15</w:t>
      </w:r>
      <w:r w:rsidR="005A73C5">
        <w:rPr>
          <w:sz w:val="22"/>
          <w:szCs w:val="22"/>
        </w:rPr>
        <w:t xml:space="preserve"> a</w:t>
      </w:r>
      <w:r w:rsidR="00437C4E">
        <w:rPr>
          <w:sz w:val="22"/>
          <w:szCs w:val="22"/>
        </w:rPr>
        <w:t>n</w:t>
      </w:r>
      <w:r w:rsidR="005A73C5">
        <w:rPr>
          <w:sz w:val="22"/>
          <w:szCs w:val="22"/>
        </w:rPr>
        <w:t>d extended period of 2015-16</w:t>
      </w:r>
      <w:r w:rsidR="001A2581">
        <w:rPr>
          <w:sz w:val="22"/>
          <w:szCs w:val="22"/>
        </w:rPr>
        <w:t>.</w:t>
      </w:r>
      <w:r w:rsidR="0095439C">
        <w:rPr>
          <w:sz w:val="22"/>
          <w:szCs w:val="22"/>
        </w:rPr>
        <w:t xml:space="preserve"> </w:t>
      </w:r>
      <w:r w:rsidR="008D57A1">
        <w:rPr>
          <w:sz w:val="22"/>
          <w:szCs w:val="22"/>
        </w:rPr>
        <w:t xml:space="preserve"> It is submitted that t</w:t>
      </w:r>
      <w:r w:rsidR="00077C3B">
        <w:rPr>
          <w:sz w:val="22"/>
          <w:szCs w:val="22"/>
        </w:rPr>
        <w:t>he detailed</w:t>
      </w:r>
      <w:r w:rsidR="0095439C">
        <w:rPr>
          <w:sz w:val="22"/>
          <w:szCs w:val="22"/>
        </w:rPr>
        <w:t xml:space="preserve"> reasons and justifications </w:t>
      </w:r>
      <w:r w:rsidR="008661EE">
        <w:rPr>
          <w:sz w:val="22"/>
          <w:szCs w:val="22"/>
        </w:rPr>
        <w:t xml:space="preserve">for not </w:t>
      </w:r>
      <w:r w:rsidR="0095439C">
        <w:rPr>
          <w:sz w:val="22"/>
          <w:szCs w:val="22"/>
        </w:rPr>
        <w:t>meet</w:t>
      </w:r>
      <w:r w:rsidR="008661EE">
        <w:rPr>
          <w:sz w:val="22"/>
          <w:szCs w:val="22"/>
        </w:rPr>
        <w:t xml:space="preserve">ing </w:t>
      </w:r>
      <w:r w:rsidR="0095439C">
        <w:rPr>
          <w:sz w:val="22"/>
          <w:szCs w:val="22"/>
        </w:rPr>
        <w:t>the operational norms</w:t>
      </w:r>
      <w:r w:rsidR="008661EE">
        <w:rPr>
          <w:sz w:val="22"/>
          <w:szCs w:val="22"/>
        </w:rPr>
        <w:t xml:space="preserve"> </w:t>
      </w:r>
      <w:r w:rsidR="0095439C">
        <w:rPr>
          <w:sz w:val="22"/>
          <w:szCs w:val="22"/>
        </w:rPr>
        <w:t xml:space="preserve">in regard to auxiliary </w:t>
      </w:r>
      <w:r w:rsidR="00007BCC">
        <w:rPr>
          <w:sz w:val="22"/>
          <w:szCs w:val="22"/>
        </w:rPr>
        <w:t>power consumption,</w:t>
      </w:r>
      <w:r w:rsidR="00B21E48">
        <w:rPr>
          <w:sz w:val="22"/>
          <w:szCs w:val="22"/>
        </w:rPr>
        <w:t xml:space="preserve"> availability,</w:t>
      </w:r>
      <w:r w:rsidR="00007BCC">
        <w:rPr>
          <w:sz w:val="22"/>
          <w:szCs w:val="22"/>
        </w:rPr>
        <w:t xml:space="preserve"> station heat rate</w:t>
      </w:r>
      <w:r w:rsidR="00C21DF3">
        <w:rPr>
          <w:sz w:val="22"/>
          <w:szCs w:val="22"/>
        </w:rPr>
        <w:t xml:space="preserve"> and</w:t>
      </w:r>
      <w:r w:rsidR="0095439C">
        <w:rPr>
          <w:sz w:val="22"/>
          <w:szCs w:val="22"/>
        </w:rPr>
        <w:t xml:space="preserve"> O&amp;M costs</w:t>
      </w:r>
      <w:r w:rsidR="008D57A1">
        <w:rPr>
          <w:sz w:val="22"/>
          <w:szCs w:val="22"/>
        </w:rPr>
        <w:t xml:space="preserve"> ha</w:t>
      </w:r>
      <w:r w:rsidR="00EE28F3">
        <w:rPr>
          <w:sz w:val="22"/>
          <w:szCs w:val="22"/>
        </w:rPr>
        <w:t xml:space="preserve">ve </w:t>
      </w:r>
      <w:r w:rsidR="008D57A1">
        <w:rPr>
          <w:sz w:val="22"/>
          <w:szCs w:val="22"/>
        </w:rPr>
        <w:t>been given in the petition</w:t>
      </w:r>
      <w:r w:rsidR="0095439C">
        <w:rPr>
          <w:sz w:val="22"/>
          <w:szCs w:val="22"/>
        </w:rPr>
        <w:t xml:space="preserve">. </w:t>
      </w:r>
      <w:r w:rsidR="008D57A1">
        <w:rPr>
          <w:sz w:val="22"/>
          <w:szCs w:val="22"/>
        </w:rPr>
        <w:t xml:space="preserve">The petitioner </w:t>
      </w:r>
      <w:r w:rsidR="00097FD9">
        <w:rPr>
          <w:sz w:val="22"/>
          <w:szCs w:val="22"/>
        </w:rPr>
        <w:t xml:space="preserve">has </w:t>
      </w:r>
      <w:r w:rsidR="00B541B0">
        <w:rPr>
          <w:sz w:val="22"/>
          <w:szCs w:val="22"/>
        </w:rPr>
        <w:t xml:space="preserve">also </w:t>
      </w:r>
      <w:r w:rsidR="00FD59DC">
        <w:rPr>
          <w:sz w:val="22"/>
          <w:szCs w:val="22"/>
        </w:rPr>
        <w:t xml:space="preserve">drawn </w:t>
      </w:r>
      <w:r w:rsidR="007F3A84">
        <w:rPr>
          <w:sz w:val="22"/>
          <w:szCs w:val="22"/>
        </w:rPr>
        <w:t xml:space="preserve">the attention of the </w:t>
      </w:r>
      <w:r w:rsidR="00BD118B">
        <w:rPr>
          <w:sz w:val="22"/>
          <w:szCs w:val="22"/>
        </w:rPr>
        <w:t>Hon</w:t>
      </w:r>
      <w:r w:rsidR="002D71FE">
        <w:rPr>
          <w:sz w:val="22"/>
          <w:szCs w:val="22"/>
        </w:rPr>
        <w:t>’</w:t>
      </w:r>
      <w:r w:rsidR="00BD118B">
        <w:rPr>
          <w:sz w:val="22"/>
          <w:szCs w:val="22"/>
        </w:rPr>
        <w:t xml:space="preserve">ble Commission </w:t>
      </w:r>
      <w:r w:rsidR="00FD59DC">
        <w:rPr>
          <w:sz w:val="22"/>
          <w:szCs w:val="22"/>
        </w:rPr>
        <w:t xml:space="preserve">in its earlier submissions, </w:t>
      </w:r>
      <w:r w:rsidR="00BD118B">
        <w:rPr>
          <w:sz w:val="22"/>
          <w:szCs w:val="22"/>
        </w:rPr>
        <w:t xml:space="preserve">on the </w:t>
      </w:r>
      <w:r w:rsidR="007F3A84">
        <w:rPr>
          <w:sz w:val="22"/>
          <w:szCs w:val="22"/>
        </w:rPr>
        <w:t xml:space="preserve">difficulties faced by it </w:t>
      </w:r>
      <w:r w:rsidR="00BD118B">
        <w:rPr>
          <w:sz w:val="22"/>
          <w:szCs w:val="22"/>
        </w:rPr>
        <w:t xml:space="preserve">in </w:t>
      </w:r>
      <w:r w:rsidR="007F3A84">
        <w:rPr>
          <w:sz w:val="22"/>
          <w:szCs w:val="22"/>
        </w:rPr>
        <w:t>meeting the norms</w:t>
      </w:r>
      <w:r w:rsidR="00BD118B">
        <w:rPr>
          <w:sz w:val="22"/>
          <w:szCs w:val="22"/>
        </w:rPr>
        <w:t xml:space="preserve">. </w:t>
      </w:r>
      <w:r w:rsidR="00EF29D9">
        <w:rPr>
          <w:sz w:val="22"/>
          <w:szCs w:val="22"/>
        </w:rPr>
        <w:t>Accordingly,</w:t>
      </w:r>
      <w:r w:rsidR="006021BB">
        <w:rPr>
          <w:sz w:val="22"/>
          <w:szCs w:val="22"/>
        </w:rPr>
        <w:t xml:space="preserve"> </w:t>
      </w:r>
      <w:r w:rsidR="00EF29D9">
        <w:rPr>
          <w:sz w:val="22"/>
          <w:szCs w:val="22"/>
        </w:rPr>
        <w:t>t</w:t>
      </w:r>
      <w:r w:rsidR="00077C3B">
        <w:rPr>
          <w:sz w:val="22"/>
          <w:szCs w:val="22"/>
        </w:rPr>
        <w:t>he reasons</w:t>
      </w:r>
      <w:r w:rsidR="006B6723">
        <w:rPr>
          <w:sz w:val="22"/>
          <w:szCs w:val="22"/>
        </w:rPr>
        <w:t xml:space="preserve"> </w:t>
      </w:r>
      <w:r w:rsidR="007F3A84">
        <w:rPr>
          <w:sz w:val="22"/>
          <w:szCs w:val="22"/>
        </w:rPr>
        <w:t xml:space="preserve">for deviations </w:t>
      </w:r>
      <w:r w:rsidR="006B6723">
        <w:rPr>
          <w:sz w:val="22"/>
          <w:szCs w:val="22"/>
        </w:rPr>
        <w:t>are beyond the control of the petitioner</w:t>
      </w:r>
      <w:r w:rsidR="008C3F87">
        <w:rPr>
          <w:sz w:val="22"/>
          <w:szCs w:val="22"/>
        </w:rPr>
        <w:t>.</w:t>
      </w:r>
      <w:r w:rsidR="00532EFF">
        <w:rPr>
          <w:sz w:val="22"/>
          <w:szCs w:val="22"/>
        </w:rPr>
        <w:t xml:space="preserve"> </w:t>
      </w:r>
      <w:r w:rsidR="00FC724F">
        <w:rPr>
          <w:sz w:val="22"/>
          <w:szCs w:val="22"/>
        </w:rPr>
        <w:t>Petitioner therefore</w:t>
      </w:r>
      <w:r w:rsidR="00B9668B">
        <w:rPr>
          <w:sz w:val="22"/>
          <w:szCs w:val="22"/>
        </w:rPr>
        <w:t xml:space="preserve"> </w:t>
      </w:r>
      <w:r w:rsidR="00036299">
        <w:rPr>
          <w:sz w:val="22"/>
          <w:szCs w:val="22"/>
        </w:rPr>
        <w:t>requests</w:t>
      </w:r>
      <w:r w:rsidR="0095439C">
        <w:rPr>
          <w:sz w:val="22"/>
          <w:szCs w:val="22"/>
        </w:rPr>
        <w:t xml:space="preserve"> the Hon</w:t>
      </w:r>
      <w:r w:rsidR="001B54AD">
        <w:rPr>
          <w:sz w:val="22"/>
          <w:szCs w:val="22"/>
        </w:rPr>
        <w:t>’ble</w:t>
      </w:r>
      <w:r w:rsidR="0095439C">
        <w:rPr>
          <w:sz w:val="22"/>
          <w:szCs w:val="22"/>
        </w:rPr>
        <w:t xml:space="preserve"> Commission to give due considerations to </w:t>
      </w:r>
      <w:r w:rsidR="003529C1">
        <w:rPr>
          <w:sz w:val="22"/>
          <w:szCs w:val="22"/>
        </w:rPr>
        <w:t xml:space="preserve">the </w:t>
      </w:r>
      <w:r w:rsidR="0095439C">
        <w:rPr>
          <w:sz w:val="22"/>
          <w:szCs w:val="22"/>
        </w:rPr>
        <w:t xml:space="preserve">following facts </w:t>
      </w:r>
      <w:r w:rsidR="003529C1">
        <w:rPr>
          <w:sz w:val="22"/>
          <w:szCs w:val="22"/>
        </w:rPr>
        <w:t xml:space="preserve">while </w:t>
      </w:r>
      <w:r w:rsidR="0095439C">
        <w:rPr>
          <w:sz w:val="22"/>
          <w:szCs w:val="22"/>
        </w:rPr>
        <w:t xml:space="preserve">evaluating the present tariff </w:t>
      </w:r>
      <w:r w:rsidR="00CA24FD">
        <w:rPr>
          <w:sz w:val="22"/>
          <w:szCs w:val="22"/>
        </w:rPr>
        <w:t>petition:</w:t>
      </w:r>
    </w:p>
    <w:p w:rsidR="0095439C" w:rsidRPr="008215E1" w:rsidRDefault="0095439C">
      <w:pPr>
        <w:rPr>
          <w:sz w:val="16"/>
          <w:szCs w:val="22"/>
        </w:rPr>
      </w:pPr>
    </w:p>
    <w:p w:rsidR="00C22AAB" w:rsidRDefault="00A12A8E" w:rsidP="00620C6E">
      <w:pPr>
        <w:numPr>
          <w:ilvl w:val="0"/>
          <w:numId w:val="21"/>
        </w:numPr>
        <w:rPr>
          <w:sz w:val="22"/>
          <w:szCs w:val="22"/>
        </w:rPr>
      </w:pPr>
      <w:r>
        <w:rPr>
          <w:sz w:val="22"/>
          <w:szCs w:val="22"/>
        </w:rPr>
        <w:t>S</w:t>
      </w:r>
      <w:r w:rsidR="003529C1">
        <w:rPr>
          <w:sz w:val="22"/>
          <w:szCs w:val="22"/>
        </w:rPr>
        <w:t xml:space="preserve">tations of </w:t>
      </w:r>
      <w:r w:rsidR="0095439C">
        <w:rPr>
          <w:sz w:val="22"/>
          <w:szCs w:val="22"/>
        </w:rPr>
        <w:t xml:space="preserve">IPGCL being relatively </w:t>
      </w:r>
      <w:r w:rsidR="00BC1B5E">
        <w:rPr>
          <w:sz w:val="22"/>
          <w:szCs w:val="22"/>
        </w:rPr>
        <w:t>old in age can</w:t>
      </w:r>
      <w:r w:rsidR="0095439C">
        <w:rPr>
          <w:sz w:val="22"/>
          <w:szCs w:val="22"/>
        </w:rPr>
        <w:t xml:space="preserve">not achieve the </w:t>
      </w:r>
      <w:r w:rsidR="00BC1B5E">
        <w:rPr>
          <w:sz w:val="22"/>
          <w:szCs w:val="22"/>
        </w:rPr>
        <w:t>approved</w:t>
      </w:r>
      <w:r w:rsidR="0095439C">
        <w:rPr>
          <w:sz w:val="22"/>
          <w:szCs w:val="22"/>
        </w:rPr>
        <w:t xml:space="preserve"> technical </w:t>
      </w:r>
      <w:r w:rsidR="00FF33C3">
        <w:rPr>
          <w:sz w:val="22"/>
          <w:szCs w:val="22"/>
        </w:rPr>
        <w:t xml:space="preserve">and financial </w:t>
      </w:r>
      <w:r w:rsidR="0095439C">
        <w:rPr>
          <w:sz w:val="22"/>
          <w:szCs w:val="22"/>
        </w:rPr>
        <w:t>performance parameters</w:t>
      </w:r>
      <w:r w:rsidR="00BC1B5E">
        <w:rPr>
          <w:sz w:val="22"/>
          <w:szCs w:val="22"/>
        </w:rPr>
        <w:t>.</w:t>
      </w:r>
      <w:r w:rsidR="00603765">
        <w:rPr>
          <w:sz w:val="22"/>
          <w:szCs w:val="22"/>
        </w:rPr>
        <w:t xml:space="preserve"> </w:t>
      </w:r>
      <w:r w:rsidR="003D6F18">
        <w:rPr>
          <w:sz w:val="22"/>
          <w:szCs w:val="22"/>
        </w:rPr>
        <w:t xml:space="preserve">Rajghat Power </w:t>
      </w:r>
      <w:r w:rsidR="00203461">
        <w:rPr>
          <w:sz w:val="22"/>
          <w:szCs w:val="22"/>
        </w:rPr>
        <w:t>House</w:t>
      </w:r>
      <w:r w:rsidR="00A2385D">
        <w:rPr>
          <w:sz w:val="22"/>
          <w:szCs w:val="22"/>
        </w:rPr>
        <w:t xml:space="preserve"> is</w:t>
      </w:r>
      <w:r w:rsidR="004B673E">
        <w:rPr>
          <w:sz w:val="22"/>
          <w:szCs w:val="22"/>
        </w:rPr>
        <w:t xml:space="preserve"> </w:t>
      </w:r>
      <w:r w:rsidR="00603765">
        <w:rPr>
          <w:sz w:val="22"/>
          <w:szCs w:val="22"/>
        </w:rPr>
        <w:t xml:space="preserve">proposed to be closed down in </w:t>
      </w:r>
      <w:r w:rsidR="00846568">
        <w:rPr>
          <w:sz w:val="22"/>
          <w:szCs w:val="22"/>
        </w:rPr>
        <w:t>the near future</w:t>
      </w:r>
      <w:r w:rsidR="00603765">
        <w:rPr>
          <w:sz w:val="22"/>
          <w:szCs w:val="22"/>
        </w:rPr>
        <w:t xml:space="preserve">. </w:t>
      </w:r>
      <w:r w:rsidR="001C3953">
        <w:rPr>
          <w:sz w:val="22"/>
          <w:szCs w:val="22"/>
        </w:rPr>
        <w:t>Affect of age on the performance parameters of the power station</w:t>
      </w:r>
      <w:r w:rsidR="004B673E">
        <w:rPr>
          <w:sz w:val="22"/>
          <w:szCs w:val="22"/>
        </w:rPr>
        <w:t>s</w:t>
      </w:r>
      <w:r w:rsidR="001C3953">
        <w:rPr>
          <w:sz w:val="22"/>
          <w:szCs w:val="22"/>
        </w:rPr>
        <w:t xml:space="preserve"> has been </w:t>
      </w:r>
      <w:r w:rsidR="00F4345C">
        <w:rPr>
          <w:sz w:val="22"/>
          <w:szCs w:val="22"/>
        </w:rPr>
        <w:t xml:space="preserve">well </w:t>
      </w:r>
      <w:r w:rsidR="001C3953">
        <w:rPr>
          <w:sz w:val="22"/>
          <w:szCs w:val="22"/>
        </w:rPr>
        <w:t xml:space="preserve">recognized by various </w:t>
      </w:r>
      <w:r w:rsidR="00A84611">
        <w:rPr>
          <w:sz w:val="22"/>
          <w:szCs w:val="22"/>
        </w:rPr>
        <w:t>R</w:t>
      </w:r>
      <w:r w:rsidR="001C3953">
        <w:rPr>
          <w:sz w:val="22"/>
          <w:szCs w:val="22"/>
        </w:rPr>
        <w:t xml:space="preserve">egulatory </w:t>
      </w:r>
      <w:r w:rsidR="00A84611">
        <w:rPr>
          <w:sz w:val="22"/>
          <w:szCs w:val="22"/>
        </w:rPr>
        <w:t>C</w:t>
      </w:r>
      <w:r w:rsidR="001C3953">
        <w:rPr>
          <w:sz w:val="22"/>
          <w:szCs w:val="22"/>
        </w:rPr>
        <w:t>ommissions including CERC. CEA ha</w:t>
      </w:r>
      <w:r w:rsidR="00D06B33">
        <w:rPr>
          <w:sz w:val="22"/>
          <w:szCs w:val="22"/>
        </w:rPr>
        <w:t>s also recognized un-avoidable a</w:t>
      </w:r>
      <w:r w:rsidR="001C3953">
        <w:rPr>
          <w:sz w:val="22"/>
          <w:szCs w:val="22"/>
        </w:rPr>
        <w:t xml:space="preserve">ffect of age on the performance of the generating stations and has </w:t>
      </w:r>
      <w:r w:rsidR="001C3953">
        <w:rPr>
          <w:sz w:val="22"/>
          <w:szCs w:val="22"/>
        </w:rPr>
        <w:lastRenderedPageBreak/>
        <w:t xml:space="preserve">recommended liberal norms in line with the actual performance while approving the station parameters for any aged plant. </w:t>
      </w:r>
      <w:r w:rsidR="008215E1">
        <w:rPr>
          <w:sz w:val="22"/>
          <w:szCs w:val="22"/>
        </w:rPr>
        <w:t xml:space="preserve"> </w:t>
      </w:r>
      <w:r w:rsidR="00C22AAB">
        <w:rPr>
          <w:sz w:val="22"/>
          <w:szCs w:val="22"/>
        </w:rPr>
        <w:t>CEA further recognizes that the operation  efficiency  or heat rate and other performance parameters of a Thermal Power Station  depends on a number of factors which can be broadly classified as under:-</w:t>
      </w:r>
    </w:p>
    <w:p w:rsidR="00C22AAB" w:rsidRDefault="006F5DBC" w:rsidP="006F5DBC">
      <w:pPr>
        <w:numPr>
          <w:ilvl w:val="0"/>
          <w:numId w:val="22"/>
        </w:numPr>
        <w:rPr>
          <w:sz w:val="22"/>
          <w:szCs w:val="22"/>
        </w:rPr>
      </w:pPr>
      <w:r>
        <w:rPr>
          <w:sz w:val="22"/>
          <w:szCs w:val="22"/>
        </w:rPr>
        <w:t>Technology  and equipment</w:t>
      </w:r>
    </w:p>
    <w:p w:rsidR="006F5DBC" w:rsidRDefault="006F5DBC" w:rsidP="006F5DBC">
      <w:pPr>
        <w:numPr>
          <w:ilvl w:val="0"/>
          <w:numId w:val="22"/>
        </w:numPr>
        <w:rPr>
          <w:sz w:val="22"/>
          <w:szCs w:val="22"/>
        </w:rPr>
      </w:pPr>
      <w:r>
        <w:rPr>
          <w:sz w:val="22"/>
          <w:szCs w:val="22"/>
        </w:rPr>
        <w:t>Ambient Condition</w:t>
      </w:r>
      <w:r w:rsidR="00211C7F">
        <w:rPr>
          <w:sz w:val="22"/>
          <w:szCs w:val="22"/>
        </w:rPr>
        <w:t>s</w:t>
      </w:r>
      <w:r>
        <w:rPr>
          <w:sz w:val="22"/>
          <w:szCs w:val="22"/>
        </w:rPr>
        <w:t xml:space="preserve"> </w:t>
      </w:r>
    </w:p>
    <w:p w:rsidR="006F5DBC" w:rsidRDefault="00ED1500" w:rsidP="006F5DBC">
      <w:pPr>
        <w:numPr>
          <w:ilvl w:val="0"/>
          <w:numId w:val="22"/>
        </w:numPr>
        <w:rPr>
          <w:sz w:val="22"/>
          <w:szCs w:val="22"/>
        </w:rPr>
      </w:pPr>
      <w:r>
        <w:rPr>
          <w:sz w:val="22"/>
          <w:szCs w:val="22"/>
        </w:rPr>
        <w:t xml:space="preserve">Fuel Quality </w:t>
      </w:r>
    </w:p>
    <w:p w:rsidR="00ED1500" w:rsidRDefault="00711393" w:rsidP="006F5DBC">
      <w:pPr>
        <w:numPr>
          <w:ilvl w:val="0"/>
          <w:numId w:val="22"/>
        </w:numPr>
        <w:rPr>
          <w:sz w:val="22"/>
          <w:szCs w:val="22"/>
        </w:rPr>
      </w:pPr>
      <w:r>
        <w:rPr>
          <w:sz w:val="22"/>
          <w:szCs w:val="22"/>
        </w:rPr>
        <w:t>Plant</w:t>
      </w:r>
      <w:r w:rsidR="00ED1500">
        <w:rPr>
          <w:sz w:val="22"/>
          <w:szCs w:val="22"/>
        </w:rPr>
        <w:t xml:space="preserve"> operation </w:t>
      </w:r>
      <w:r w:rsidR="001E52A1">
        <w:rPr>
          <w:sz w:val="22"/>
          <w:szCs w:val="22"/>
        </w:rPr>
        <w:t>and maintenance</w:t>
      </w:r>
      <w:r w:rsidR="00ED1500">
        <w:rPr>
          <w:sz w:val="22"/>
          <w:szCs w:val="22"/>
        </w:rPr>
        <w:t xml:space="preserve"> practices. </w:t>
      </w:r>
    </w:p>
    <w:p w:rsidR="00AC3A9A" w:rsidRDefault="00AC3A9A" w:rsidP="006F5DBC">
      <w:pPr>
        <w:numPr>
          <w:ilvl w:val="0"/>
          <w:numId w:val="22"/>
        </w:numPr>
        <w:rPr>
          <w:sz w:val="22"/>
          <w:szCs w:val="22"/>
        </w:rPr>
      </w:pPr>
      <w:r>
        <w:rPr>
          <w:sz w:val="22"/>
          <w:szCs w:val="22"/>
        </w:rPr>
        <w:t xml:space="preserve">Unit Sizes </w:t>
      </w:r>
    </w:p>
    <w:p w:rsidR="00C22AAB" w:rsidRPr="006E0B56" w:rsidRDefault="00C22AAB" w:rsidP="00C22AAB">
      <w:pPr>
        <w:ind w:left="1440"/>
        <w:rPr>
          <w:sz w:val="10"/>
          <w:szCs w:val="22"/>
        </w:rPr>
      </w:pPr>
    </w:p>
    <w:p w:rsidR="001E1F42" w:rsidRDefault="007656DD" w:rsidP="00DA3399">
      <w:pPr>
        <w:ind w:left="1440"/>
        <w:rPr>
          <w:b/>
          <w:bCs/>
          <w:i/>
          <w:iCs/>
          <w:sz w:val="22"/>
          <w:szCs w:val="22"/>
        </w:rPr>
      </w:pPr>
      <w:r>
        <w:rPr>
          <w:sz w:val="22"/>
          <w:szCs w:val="22"/>
        </w:rPr>
        <w:t xml:space="preserve">Further, the </w:t>
      </w:r>
      <w:r w:rsidR="00C85E0E">
        <w:rPr>
          <w:sz w:val="22"/>
          <w:szCs w:val="22"/>
        </w:rPr>
        <w:t>National T</w:t>
      </w:r>
      <w:r>
        <w:rPr>
          <w:sz w:val="22"/>
          <w:szCs w:val="22"/>
        </w:rPr>
        <w:t>ariff</w:t>
      </w:r>
      <w:r w:rsidR="008215E1">
        <w:rPr>
          <w:sz w:val="22"/>
          <w:szCs w:val="22"/>
        </w:rPr>
        <w:t xml:space="preserve"> </w:t>
      </w:r>
      <w:r w:rsidR="00C85E0E">
        <w:rPr>
          <w:sz w:val="22"/>
          <w:szCs w:val="22"/>
        </w:rPr>
        <w:t>P</w:t>
      </w:r>
      <w:r w:rsidR="00D0237C">
        <w:rPr>
          <w:sz w:val="22"/>
          <w:szCs w:val="22"/>
        </w:rPr>
        <w:t>olicy provides</w:t>
      </w:r>
      <w:r w:rsidR="0016563E">
        <w:rPr>
          <w:sz w:val="22"/>
          <w:szCs w:val="22"/>
        </w:rPr>
        <w:t xml:space="preserve"> that </w:t>
      </w:r>
      <w:r w:rsidR="00D0237C" w:rsidRPr="00D0237C">
        <w:rPr>
          <w:b/>
          <w:bCs/>
          <w:i/>
          <w:iCs/>
          <w:sz w:val="22"/>
          <w:szCs w:val="22"/>
        </w:rPr>
        <w:t>“in</w:t>
      </w:r>
      <w:r w:rsidR="0016563E" w:rsidRPr="00D0237C">
        <w:rPr>
          <w:b/>
          <w:bCs/>
          <w:i/>
          <w:iCs/>
          <w:sz w:val="22"/>
          <w:szCs w:val="22"/>
        </w:rPr>
        <w:t xml:space="preserve"> </w:t>
      </w:r>
      <w:r w:rsidR="0013348E" w:rsidRPr="00D0237C">
        <w:rPr>
          <w:b/>
          <w:bCs/>
          <w:i/>
          <w:iCs/>
          <w:sz w:val="22"/>
          <w:szCs w:val="22"/>
        </w:rPr>
        <w:t>case where</w:t>
      </w:r>
      <w:r w:rsidR="0016563E" w:rsidRPr="00D0237C">
        <w:rPr>
          <w:b/>
          <w:bCs/>
          <w:i/>
          <w:iCs/>
          <w:sz w:val="22"/>
          <w:szCs w:val="22"/>
        </w:rPr>
        <w:t xml:space="preserve"> operations have </w:t>
      </w:r>
      <w:r w:rsidR="0013348E" w:rsidRPr="00D0237C">
        <w:rPr>
          <w:b/>
          <w:bCs/>
          <w:i/>
          <w:iCs/>
          <w:sz w:val="22"/>
          <w:szCs w:val="22"/>
        </w:rPr>
        <w:t>been much</w:t>
      </w:r>
      <w:r w:rsidR="0016563E" w:rsidRPr="00D0237C">
        <w:rPr>
          <w:b/>
          <w:bCs/>
          <w:i/>
          <w:iCs/>
          <w:sz w:val="22"/>
          <w:szCs w:val="22"/>
        </w:rPr>
        <w:t xml:space="preserve"> below th</w:t>
      </w:r>
      <w:r w:rsidRPr="00D0237C">
        <w:rPr>
          <w:b/>
          <w:bCs/>
          <w:i/>
          <w:iCs/>
          <w:sz w:val="22"/>
          <w:szCs w:val="22"/>
        </w:rPr>
        <w:t xml:space="preserve">e norms for many previous </w:t>
      </w:r>
      <w:r w:rsidR="0016563E" w:rsidRPr="00D0237C">
        <w:rPr>
          <w:b/>
          <w:bCs/>
          <w:i/>
          <w:iCs/>
          <w:sz w:val="22"/>
          <w:szCs w:val="22"/>
        </w:rPr>
        <w:t>years</w:t>
      </w:r>
      <w:r w:rsidR="00EF4956" w:rsidRPr="00D0237C">
        <w:rPr>
          <w:b/>
          <w:bCs/>
          <w:i/>
          <w:iCs/>
          <w:sz w:val="22"/>
          <w:szCs w:val="22"/>
        </w:rPr>
        <w:t>,</w:t>
      </w:r>
      <w:r w:rsidR="0016563E" w:rsidRPr="00D0237C">
        <w:rPr>
          <w:b/>
          <w:bCs/>
          <w:i/>
          <w:iCs/>
          <w:sz w:val="22"/>
          <w:szCs w:val="22"/>
        </w:rPr>
        <w:t xml:space="preserve"> the initial starting point in determining the revenue </w:t>
      </w:r>
      <w:r w:rsidRPr="00D0237C">
        <w:rPr>
          <w:b/>
          <w:bCs/>
          <w:i/>
          <w:iCs/>
          <w:sz w:val="22"/>
          <w:szCs w:val="22"/>
        </w:rPr>
        <w:t xml:space="preserve">requirements </w:t>
      </w:r>
      <w:r w:rsidR="0016563E" w:rsidRPr="00D0237C">
        <w:rPr>
          <w:b/>
          <w:bCs/>
          <w:i/>
          <w:iCs/>
          <w:sz w:val="22"/>
          <w:szCs w:val="22"/>
        </w:rPr>
        <w:t>and the improvement trajectories should be recognized at “relaxed” levels and not the “desired” levels”</w:t>
      </w:r>
    </w:p>
    <w:p w:rsidR="00014797" w:rsidRDefault="00014797" w:rsidP="00014797">
      <w:pPr>
        <w:numPr>
          <w:ilvl w:val="0"/>
          <w:numId w:val="21"/>
        </w:numPr>
        <w:rPr>
          <w:sz w:val="22"/>
          <w:szCs w:val="22"/>
        </w:rPr>
      </w:pPr>
      <w:r w:rsidRPr="003E25D5">
        <w:rPr>
          <w:sz w:val="22"/>
          <w:szCs w:val="22"/>
        </w:rPr>
        <w:t xml:space="preserve">The Petitioner </w:t>
      </w:r>
      <w:r>
        <w:rPr>
          <w:sz w:val="22"/>
          <w:szCs w:val="22"/>
        </w:rPr>
        <w:t>further submits</w:t>
      </w:r>
      <w:r w:rsidRPr="003E25D5">
        <w:rPr>
          <w:sz w:val="22"/>
          <w:szCs w:val="22"/>
        </w:rPr>
        <w:t xml:space="preserve"> that </w:t>
      </w:r>
      <w:r>
        <w:rPr>
          <w:sz w:val="22"/>
          <w:szCs w:val="22"/>
        </w:rPr>
        <w:t xml:space="preserve">IPGCL is already cutting corners on employee cost. As prayed in earlier petitions also that </w:t>
      </w:r>
      <w:r w:rsidRPr="003E25D5">
        <w:rPr>
          <w:sz w:val="22"/>
          <w:szCs w:val="22"/>
        </w:rPr>
        <w:t xml:space="preserve">despite the fact that the Company </w:t>
      </w:r>
      <w:r>
        <w:rPr>
          <w:sz w:val="22"/>
          <w:szCs w:val="22"/>
        </w:rPr>
        <w:t xml:space="preserve">has </w:t>
      </w:r>
      <w:r w:rsidR="00F836BD">
        <w:rPr>
          <w:sz w:val="22"/>
          <w:szCs w:val="22"/>
        </w:rPr>
        <w:t xml:space="preserve">inherited </w:t>
      </w:r>
      <w:r w:rsidR="00F836BD" w:rsidRPr="003E25D5">
        <w:rPr>
          <w:sz w:val="22"/>
          <w:szCs w:val="22"/>
        </w:rPr>
        <w:t>sizeable</w:t>
      </w:r>
      <w:r w:rsidRPr="003E25D5">
        <w:rPr>
          <w:sz w:val="22"/>
          <w:szCs w:val="22"/>
        </w:rPr>
        <w:t xml:space="preserve"> number of employees, resulting in substantial wage bill for the Company, efforts have been made by the Company to optimize the manpower</w:t>
      </w:r>
      <w:r>
        <w:rPr>
          <w:sz w:val="22"/>
          <w:szCs w:val="22"/>
        </w:rPr>
        <w:t xml:space="preserve"> cost</w:t>
      </w:r>
      <w:r w:rsidRPr="003E25D5">
        <w:rPr>
          <w:sz w:val="22"/>
          <w:szCs w:val="22"/>
        </w:rPr>
        <w:t xml:space="preserve">. In this pursuit, VRS was given </w:t>
      </w:r>
      <w:r>
        <w:rPr>
          <w:sz w:val="22"/>
          <w:szCs w:val="22"/>
        </w:rPr>
        <w:t xml:space="preserve">to the </w:t>
      </w:r>
      <w:r w:rsidRPr="003E25D5">
        <w:rPr>
          <w:sz w:val="22"/>
          <w:szCs w:val="22"/>
        </w:rPr>
        <w:t>383</w:t>
      </w:r>
      <w:r>
        <w:rPr>
          <w:sz w:val="22"/>
          <w:szCs w:val="22"/>
        </w:rPr>
        <w:t xml:space="preserve"> employees in 2003, 101employees in FY 2007-08 and 328 employees in FY 2009-10</w:t>
      </w:r>
      <w:r w:rsidRPr="003E25D5">
        <w:rPr>
          <w:sz w:val="22"/>
          <w:szCs w:val="22"/>
        </w:rPr>
        <w:t xml:space="preserve">. </w:t>
      </w:r>
    </w:p>
    <w:p w:rsidR="00014797" w:rsidRDefault="00014797" w:rsidP="00014797">
      <w:pPr>
        <w:numPr>
          <w:ilvl w:val="0"/>
          <w:numId w:val="21"/>
        </w:numPr>
        <w:rPr>
          <w:sz w:val="22"/>
          <w:szCs w:val="22"/>
        </w:rPr>
      </w:pPr>
      <w:r>
        <w:rPr>
          <w:sz w:val="22"/>
          <w:szCs w:val="22"/>
        </w:rPr>
        <w:t xml:space="preserve">It is submitted that the salaries and other incentives paid by the company to its employees are at par with the other departments of Government of Delhi and it is legal binding on the company to follow the same as per the tripartite agreement with the workers. It is pertinent to mention that DA of the employees has increased substantially in past years due to high inflation rate. The </w:t>
      </w:r>
      <w:r w:rsidR="00C21618">
        <w:rPr>
          <w:sz w:val="22"/>
          <w:szCs w:val="22"/>
        </w:rPr>
        <w:t xml:space="preserve">DA on </w:t>
      </w:r>
      <w:r>
        <w:rPr>
          <w:sz w:val="22"/>
          <w:szCs w:val="22"/>
        </w:rPr>
        <w:t xml:space="preserve">salaries of employees have now been increasing by </w:t>
      </w:r>
      <w:r w:rsidR="002456D6">
        <w:rPr>
          <w:sz w:val="22"/>
          <w:szCs w:val="22"/>
        </w:rPr>
        <w:t>14% - 18%</w:t>
      </w:r>
      <w:r>
        <w:rPr>
          <w:sz w:val="22"/>
          <w:szCs w:val="22"/>
        </w:rPr>
        <w:t xml:space="preserve"> annually. Therefore</w:t>
      </w:r>
      <w:r w:rsidRPr="0050077C">
        <w:rPr>
          <w:sz w:val="22"/>
          <w:szCs w:val="22"/>
        </w:rPr>
        <w:t xml:space="preserve">, the petitioner requests the Commission to adopt a relaxed and realistic approach for </w:t>
      </w:r>
      <w:r>
        <w:rPr>
          <w:sz w:val="22"/>
          <w:szCs w:val="22"/>
        </w:rPr>
        <w:t xml:space="preserve">the </w:t>
      </w:r>
      <w:r w:rsidRPr="0050077C">
        <w:rPr>
          <w:sz w:val="22"/>
          <w:szCs w:val="22"/>
        </w:rPr>
        <w:t xml:space="preserve">employee expenditure, keeping in view the obligation of the organization towards </w:t>
      </w:r>
      <w:r>
        <w:rPr>
          <w:sz w:val="22"/>
          <w:szCs w:val="22"/>
        </w:rPr>
        <w:t>its</w:t>
      </w:r>
      <w:r w:rsidRPr="0050077C">
        <w:rPr>
          <w:sz w:val="22"/>
          <w:szCs w:val="22"/>
        </w:rPr>
        <w:t xml:space="preserve"> employees.</w:t>
      </w:r>
    </w:p>
    <w:p w:rsidR="00EB7B18" w:rsidRPr="0050077C" w:rsidRDefault="00EB7B18" w:rsidP="00EB7B18">
      <w:pPr>
        <w:ind w:left="1440"/>
        <w:rPr>
          <w:sz w:val="22"/>
          <w:szCs w:val="22"/>
        </w:rPr>
      </w:pPr>
    </w:p>
    <w:p w:rsidR="00014797" w:rsidRDefault="00014797" w:rsidP="00EB7B18">
      <w:pPr>
        <w:numPr>
          <w:ilvl w:val="0"/>
          <w:numId w:val="21"/>
        </w:numPr>
        <w:tabs>
          <w:tab w:val="clear" w:pos="1440"/>
        </w:tabs>
        <w:ind w:left="540" w:hanging="450"/>
        <w:rPr>
          <w:sz w:val="22"/>
          <w:szCs w:val="22"/>
        </w:rPr>
      </w:pPr>
      <w:r>
        <w:rPr>
          <w:sz w:val="22"/>
          <w:szCs w:val="22"/>
        </w:rPr>
        <w:t xml:space="preserve">Petitioner is presently having 11 No of units with total installed capacity of 405 MW. </w:t>
      </w:r>
      <w:r w:rsidR="00CD3EF8">
        <w:rPr>
          <w:sz w:val="22"/>
          <w:szCs w:val="22"/>
        </w:rPr>
        <w:t>T</w:t>
      </w:r>
      <w:r>
        <w:rPr>
          <w:sz w:val="22"/>
          <w:szCs w:val="22"/>
        </w:rPr>
        <w:t xml:space="preserve">he Repair &amp; Maintenance expenditure would be relatively high due to the small size of the units and their poor condition at the time of takeover </w:t>
      </w:r>
      <w:r w:rsidR="00F9655C">
        <w:rPr>
          <w:sz w:val="22"/>
          <w:szCs w:val="22"/>
        </w:rPr>
        <w:t xml:space="preserve">due </w:t>
      </w:r>
      <w:r w:rsidR="00FC724F">
        <w:rPr>
          <w:sz w:val="22"/>
          <w:szCs w:val="22"/>
        </w:rPr>
        <w:t>to unbundling</w:t>
      </w:r>
      <w:r w:rsidR="00F9655C">
        <w:rPr>
          <w:sz w:val="22"/>
          <w:szCs w:val="22"/>
        </w:rPr>
        <w:t xml:space="preserve"> of DVB</w:t>
      </w:r>
      <w:r>
        <w:rPr>
          <w:sz w:val="22"/>
          <w:szCs w:val="22"/>
        </w:rPr>
        <w:t xml:space="preserve">. The Repair &amp; Maintenance will result into improved capacity utilization and further improve the operating parameters of the station. </w:t>
      </w:r>
    </w:p>
    <w:p w:rsidR="00C24781" w:rsidRDefault="00C24781" w:rsidP="00EB7B18">
      <w:pPr>
        <w:spacing w:line="240" w:lineRule="auto"/>
        <w:ind w:left="540" w:hanging="450"/>
        <w:rPr>
          <w:sz w:val="22"/>
          <w:szCs w:val="22"/>
        </w:rPr>
      </w:pPr>
    </w:p>
    <w:p w:rsidR="00C24781" w:rsidRPr="00E37815" w:rsidRDefault="00C24781" w:rsidP="00EB7B18">
      <w:pPr>
        <w:numPr>
          <w:ilvl w:val="0"/>
          <w:numId w:val="21"/>
        </w:numPr>
        <w:tabs>
          <w:tab w:val="clear" w:pos="1440"/>
        </w:tabs>
        <w:ind w:left="540" w:hanging="450"/>
        <w:rPr>
          <w:sz w:val="22"/>
          <w:szCs w:val="22"/>
        </w:rPr>
      </w:pPr>
      <w:r w:rsidRPr="00E37815">
        <w:rPr>
          <w:sz w:val="22"/>
          <w:szCs w:val="22"/>
        </w:rPr>
        <w:t>It is submitted that RPH is going to complete its useful life of 25 years in May, 2015.</w:t>
      </w:r>
      <w:r w:rsidR="009F57C9" w:rsidRPr="00E37815">
        <w:rPr>
          <w:sz w:val="22"/>
          <w:szCs w:val="22"/>
        </w:rPr>
        <w:t xml:space="preserve"> </w:t>
      </w:r>
      <w:r w:rsidR="009F57C9" w:rsidRPr="00440A2D">
        <w:rPr>
          <w:sz w:val="22"/>
          <w:szCs w:val="22"/>
        </w:rPr>
        <w:t xml:space="preserve">However total accumulated depreciation till date has been only </w:t>
      </w:r>
      <w:r w:rsidR="008D5814" w:rsidRPr="00FC724F">
        <w:rPr>
          <w:sz w:val="22"/>
          <w:szCs w:val="22"/>
        </w:rPr>
        <w:t>69</w:t>
      </w:r>
      <w:r w:rsidR="009F57C9" w:rsidRPr="00FC724F">
        <w:rPr>
          <w:sz w:val="22"/>
          <w:szCs w:val="22"/>
        </w:rPr>
        <w:t>%</w:t>
      </w:r>
      <w:r w:rsidR="009F57C9" w:rsidRPr="00440A2D">
        <w:rPr>
          <w:sz w:val="22"/>
          <w:szCs w:val="22"/>
        </w:rPr>
        <w:t xml:space="preserve">. </w:t>
      </w:r>
      <w:r w:rsidR="00476C24" w:rsidRPr="00440A2D">
        <w:rPr>
          <w:sz w:val="22"/>
          <w:szCs w:val="22"/>
        </w:rPr>
        <w:t xml:space="preserve"> </w:t>
      </w:r>
      <w:r w:rsidR="003C2401" w:rsidRPr="00440A2D">
        <w:rPr>
          <w:sz w:val="22"/>
          <w:szCs w:val="22"/>
        </w:rPr>
        <w:t>T</w:t>
      </w:r>
      <w:r w:rsidR="009F57C9" w:rsidRPr="00440A2D">
        <w:rPr>
          <w:sz w:val="22"/>
          <w:szCs w:val="22"/>
        </w:rPr>
        <w:t xml:space="preserve">he plant is to be depreciated up to 90% at the end of useful life. </w:t>
      </w:r>
      <w:r w:rsidR="00676E74" w:rsidRPr="00440A2D">
        <w:rPr>
          <w:sz w:val="22"/>
          <w:szCs w:val="22"/>
        </w:rPr>
        <w:t>But plant</w:t>
      </w:r>
      <w:r w:rsidR="00614407" w:rsidRPr="00440A2D">
        <w:rPr>
          <w:sz w:val="22"/>
          <w:szCs w:val="22"/>
        </w:rPr>
        <w:t xml:space="preserve"> is </w:t>
      </w:r>
      <w:r w:rsidR="00676E74" w:rsidRPr="00440A2D">
        <w:rPr>
          <w:sz w:val="22"/>
          <w:szCs w:val="22"/>
        </w:rPr>
        <w:t>proposed to</w:t>
      </w:r>
      <w:r w:rsidR="004B647E" w:rsidRPr="00440A2D">
        <w:rPr>
          <w:sz w:val="22"/>
          <w:szCs w:val="22"/>
        </w:rPr>
        <w:t xml:space="preserve"> be </w:t>
      </w:r>
      <w:r w:rsidR="00FC724F" w:rsidRPr="00440A2D">
        <w:rPr>
          <w:sz w:val="22"/>
          <w:szCs w:val="22"/>
        </w:rPr>
        <w:t xml:space="preserve">closed </w:t>
      </w:r>
      <w:r w:rsidR="00FC724F">
        <w:rPr>
          <w:sz w:val="22"/>
          <w:szCs w:val="22"/>
        </w:rPr>
        <w:t>down</w:t>
      </w:r>
      <w:r w:rsidR="00465DD6">
        <w:rPr>
          <w:sz w:val="22"/>
          <w:szCs w:val="22"/>
        </w:rPr>
        <w:t xml:space="preserve"> </w:t>
      </w:r>
      <w:r w:rsidR="00E37815" w:rsidRPr="00440A2D">
        <w:rPr>
          <w:sz w:val="22"/>
          <w:szCs w:val="22"/>
        </w:rPr>
        <w:t xml:space="preserve">with </w:t>
      </w:r>
      <w:r w:rsidR="00614407" w:rsidRPr="00440A2D">
        <w:rPr>
          <w:sz w:val="22"/>
          <w:szCs w:val="22"/>
        </w:rPr>
        <w:t xml:space="preserve">Provision of Transmission and Evacuation facility near RPH to transmit and distribute power in Central Delhi. </w:t>
      </w:r>
      <w:r w:rsidR="00440A2D" w:rsidRPr="00440A2D">
        <w:rPr>
          <w:sz w:val="22"/>
          <w:szCs w:val="22"/>
        </w:rPr>
        <w:t xml:space="preserve"> This was decided in a meeting chaired by Chief </w:t>
      </w:r>
      <w:r w:rsidR="00676E74" w:rsidRPr="00440A2D">
        <w:rPr>
          <w:sz w:val="22"/>
          <w:szCs w:val="22"/>
        </w:rPr>
        <w:t>Secretary</w:t>
      </w:r>
      <w:r w:rsidR="00440A2D" w:rsidRPr="00440A2D">
        <w:rPr>
          <w:sz w:val="22"/>
          <w:szCs w:val="22"/>
        </w:rPr>
        <w:t xml:space="preserve">, GNCTD on 18.03.2014 to provide separate transmission line within 2 years. </w:t>
      </w:r>
      <w:r w:rsidR="00614407" w:rsidRPr="00440A2D">
        <w:rPr>
          <w:sz w:val="22"/>
          <w:szCs w:val="22"/>
        </w:rPr>
        <w:t xml:space="preserve">PGCIL </w:t>
      </w:r>
      <w:r w:rsidR="00657CEE" w:rsidRPr="00440A2D">
        <w:rPr>
          <w:sz w:val="22"/>
          <w:szCs w:val="22"/>
        </w:rPr>
        <w:t xml:space="preserve">(Power Grid Corporation of India Ltd.) </w:t>
      </w:r>
      <w:r w:rsidR="00614407" w:rsidRPr="00440A2D">
        <w:rPr>
          <w:sz w:val="22"/>
          <w:szCs w:val="22"/>
        </w:rPr>
        <w:t xml:space="preserve">has been entrusted to </w:t>
      </w:r>
      <w:r w:rsidR="003C2401" w:rsidRPr="00440A2D">
        <w:rPr>
          <w:sz w:val="22"/>
          <w:szCs w:val="22"/>
        </w:rPr>
        <w:t>e</w:t>
      </w:r>
      <w:r w:rsidR="00614407" w:rsidRPr="00440A2D">
        <w:rPr>
          <w:sz w:val="22"/>
          <w:szCs w:val="22"/>
        </w:rPr>
        <w:t>rect and Commission</w:t>
      </w:r>
      <w:r w:rsidR="005A3CB9" w:rsidRPr="00440A2D">
        <w:rPr>
          <w:sz w:val="22"/>
          <w:szCs w:val="22"/>
        </w:rPr>
        <w:t xml:space="preserve"> </w:t>
      </w:r>
      <w:r w:rsidR="00614407" w:rsidRPr="00440A2D">
        <w:rPr>
          <w:sz w:val="22"/>
          <w:szCs w:val="22"/>
        </w:rPr>
        <w:t>400KV GIS</w:t>
      </w:r>
      <w:r w:rsidR="00657CEE" w:rsidRPr="00440A2D">
        <w:rPr>
          <w:sz w:val="22"/>
          <w:szCs w:val="22"/>
        </w:rPr>
        <w:t xml:space="preserve"> (</w:t>
      </w:r>
      <w:r w:rsidR="00441EDE">
        <w:rPr>
          <w:sz w:val="22"/>
          <w:szCs w:val="22"/>
        </w:rPr>
        <w:t>Gas</w:t>
      </w:r>
      <w:r w:rsidR="00657CEE" w:rsidRPr="00440A2D">
        <w:rPr>
          <w:sz w:val="22"/>
          <w:szCs w:val="22"/>
        </w:rPr>
        <w:t xml:space="preserve"> Insulated Station)</w:t>
      </w:r>
      <w:r w:rsidR="00614407" w:rsidRPr="00440A2D">
        <w:rPr>
          <w:sz w:val="22"/>
          <w:szCs w:val="22"/>
        </w:rPr>
        <w:t xml:space="preserve"> substation near RPH. The foundation stone of the same has been led in December 2014 and project is to be completed in FY 2016-17.</w:t>
      </w:r>
      <w:r w:rsidR="00C21D8C" w:rsidRPr="00440A2D">
        <w:rPr>
          <w:sz w:val="22"/>
          <w:szCs w:val="22"/>
        </w:rPr>
        <w:t xml:space="preserve"> </w:t>
      </w:r>
      <w:r w:rsidR="00C73621" w:rsidRPr="00440A2D">
        <w:rPr>
          <w:sz w:val="22"/>
          <w:szCs w:val="22"/>
        </w:rPr>
        <w:t>There</w:t>
      </w:r>
      <w:r w:rsidR="00C21D8C" w:rsidRPr="00440A2D">
        <w:rPr>
          <w:sz w:val="22"/>
          <w:szCs w:val="22"/>
        </w:rPr>
        <w:t>fore</w:t>
      </w:r>
      <w:r w:rsidR="005A3CB9" w:rsidRPr="00440A2D">
        <w:rPr>
          <w:sz w:val="22"/>
          <w:szCs w:val="22"/>
        </w:rPr>
        <w:t>,</w:t>
      </w:r>
      <w:r w:rsidR="00C73621" w:rsidRPr="00440A2D">
        <w:rPr>
          <w:sz w:val="22"/>
          <w:szCs w:val="22"/>
        </w:rPr>
        <w:t xml:space="preserve"> it is anticipated that RPH </w:t>
      </w:r>
      <w:r w:rsidR="00C21D8C" w:rsidRPr="00440A2D">
        <w:rPr>
          <w:sz w:val="22"/>
          <w:szCs w:val="22"/>
        </w:rPr>
        <w:t>wi</w:t>
      </w:r>
      <w:r w:rsidR="005A3CB9" w:rsidRPr="00440A2D">
        <w:rPr>
          <w:sz w:val="22"/>
          <w:szCs w:val="22"/>
        </w:rPr>
        <w:t>l</w:t>
      </w:r>
      <w:r w:rsidR="00C21D8C" w:rsidRPr="00440A2D">
        <w:rPr>
          <w:sz w:val="22"/>
          <w:szCs w:val="22"/>
        </w:rPr>
        <w:t>l</w:t>
      </w:r>
      <w:r w:rsidR="00C73621" w:rsidRPr="00440A2D">
        <w:rPr>
          <w:sz w:val="22"/>
          <w:szCs w:val="22"/>
        </w:rPr>
        <w:t xml:space="preserve"> be closed down in FY 2016-</w:t>
      </w:r>
      <w:r w:rsidR="005A3CB9" w:rsidRPr="00440A2D">
        <w:rPr>
          <w:sz w:val="22"/>
          <w:szCs w:val="22"/>
        </w:rPr>
        <w:t>17</w:t>
      </w:r>
      <w:r w:rsidR="005A3CB9" w:rsidRPr="00E37815">
        <w:rPr>
          <w:sz w:val="22"/>
          <w:szCs w:val="22"/>
        </w:rPr>
        <w:t xml:space="preserve">. </w:t>
      </w:r>
      <w:r w:rsidR="0052685B" w:rsidRPr="00E37815">
        <w:rPr>
          <w:sz w:val="22"/>
          <w:szCs w:val="22"/>
        </w:rPr>
        <w:t>Accordingly</w:t>
      </w:r>
      <w:r w:rsidR="005A3CB9" w:rsidRPr="00E37815">
        <w:rPr>
          <w:sz w:val="22"/>
          <w:szCs w:val="22"/>
        </w:rPr>
        <w:t>,</w:t>
      </w:r>
      <w:r w:rsidR="0000039D" w:rsidRPr="00E37815">
        <w:rPr>
          <w:sz w:val="22"/>
          <w:szCs w:val="22"/>
        </w:rPr>
        <w:t xml:space="preserve"> in order to avoid burden of balance depreciation in the year 2016-17 only</w:t>
      </w:r>
      <w:r w:rsidR="00AE37D2" w:rsidRPr="00E37815">
        <w:rPr>
          <w:sz w:val="22"/>
          <w:szCs w:val="22"/>
        </w:rPr>
        <w:t>,</w:t>
      </w:r>
      <w:r w:rsidRPr="00E37815">
        <w:rPr>
          <w:sz w:val="22"/>
          <w:szCs w:val="22"/>
        </w:rPr>
        <w:t xml:space="preserve"> the petitioner </w:t>
      </w:r>
      <w:r w:rsidR="00C21D8C" w:rsidRPr="00E37815">
        <w:rPr>
          <w:sz w:val="22"/>
          <w:szCs w:val="22"/>
        </w:rPr>
        <w:t xml:space="preserve">requests </w:t>
      </w:r>
      <w:r w:rsidR="005A3CB9" w:rsidRPr="00E37815">
        <w:rPr>
          <w:sz w:val="22"/>
          <w:szCs w:val="22"/>
        </w:rPr>
        <w:t>H</w:t>
      </w:r>
      <w:r w:rsidR="00C21D8C" w:rsidRPr="00E37815">
        <w:rPr>
          <w:sz w:val="22"/>
          <w:szCs w:val="22"/>
        </w:rPr>
        <w:t>on</w:t>
      </w:r>
      <w:r w:rsidR="005A3CB9" w:rsidRPr="00E37815">
        <w:rPr>
          <w:sz w:val="22"/>
          <w:szCs w:val="22"/>
        </w:rPr>
        <w:t>ora</w:t>
      </w:r>
      <w:r w:rsidR="00C21D8C" w:rsidRPr="00E37815">
        <w:rPr>
          <w:sz w:val="22"/>
          <w:szCs w:val="22"/>
        </w:rPr>
        <w:t xml:space="preserve">ble Commission to </w:t>
      </w:r>
      <w:r w:rsidR="005A3CB9" w:rsidRPr="00E37815">
        <w:rPr>
          <w:sz w:val="22"/>
          <w:szCs w:val="22"/>
        </w:rPr>
        <w:t>allow the</w:t>
      </w:r>
      <w:r w:rsidRPr="00E37815">
        <w:rPr>
          <w:sz w:val="22"/>
          <w:szCs w:val="22"/>
        </w:rPr>
        <w:t xml:space="preserve"> remaining amount of depreciation up</w:t>
      </w:r>
      <w:r w:rsidR="005A73C5" w:rsidRPr="00E37815">
        <w:rPr>
          <w:sz w:val="22"/>
          <w:szCs w:val="22"/>
        </w:rPr>
        <w:t xml:space="preserve"> </w:t>
      </w:r>
      <w:r w:rsidRPr="00E37815">
        <w:rPr>
          <w:sz w:val="22"/>
          <w:szCs w:val="22"/>
        </w:rPr>
        <w:t xml:space="preserve">to the value of </w:t>
      </w:r>
      <w:r w:rsidR="00C21D8C" w:rsidRPr="00E37815">
        <w:rPr>
          <w:sz w:val="22"/>
          <w:szCs w:val="22"/>
        </w:rPr>
        <w:t>9</w:t>
      </w:r>
      <w:r w:rsidRPr="00E37815">
        <w:rPr>
          <w:sz w:val="22"/>
          <w:szCs w:val="22"/>
        </w:rPr>
        <w:t xml:space="preserve">0% during FY </w:t>
      </w:r>
      <w:r w:rsidR="005A73C5" w:rsidRPr="00E37815">
        <w:rPr>
          <w:sz w:val="22"/>
          <w:szCs w:val="22"/>
        </w:rPr>
        <w:t xml:space="preserve">2015-16 </w:t>
      </w:r>
      <w:r w:rsidR="00C21D8C" w:rsidRPr="00E37815">
        <w:rPr>
          <w:sz w:val="22"/>
          <w:szCs w:val="22"/>
        </w:rPr>
        <w:t>and FY 2016-17</w:t>
      </w:r>
      <w:r w:rsidR="00FD20CC" w:rsidRPr="00E37815">
        <w:rPr>
          <w:sz w:val="22"/>
          <w:szCs w:val="22"/>
        </w:rPr>
        <w:t xml:space="preserve"> </w:t>
      </w:r>
      <w:r w:rsidR="005A3CB9" w:rsidRPr="00E37815">
        <w:rPr>
          <w:sz w:val="22"/>
          <w:szCs w:val="22"/>
        </w:rPr>
        <w:t xml:space="preserve">proportionally. </w:t>
      </w:r>
      <w:r w:rsidR="007749E2" w:rsidRPr="00E37815">
        <w:rPr>
          <w:sz w:val="22"/>
          <w:szCs w:val="22"/>
        </w:rPr>
        <w:t>Similarly</w:t>
      </w:r>
      <w:r w:rsidR="0089265C" w:rsidRPr="00E37815">
        <w:rPr>
          <w:sz w:val="22"/>
          <w:szCs w:val="22"/>
        </w:rPr>
        <w:t xml:space="preserve">, </w:t>
      </w:r>
      <w:r w:rsidRPr="00E37815">
        <w:rPr>
          <w:sz w:val="22"/>
          <w:szCs w:val="22"/>
        </w:rPr>
        <w:t>GTPS</w:t>
      </w:r>
      <w:r w:rsidR="0089265C" w:rsidRPr="00E37815">
        <w:rPr>
          <w:sz w:val="22"/>
          <w:szCs w:val="22"/>
        </w:rPr>
        <w:t xml:space="preserve"> </w:t>
      </w:r>
      <w:r w:rsidRPr="00E37815">
        <w:rPr>
          <w:sz w:val="22"/>
          <w:szCs w:val="22"/>
        </w:rPr>
        <w:t xml:space="preserve">has </w:t>
      </w:r>
      <w:r w:rsidR="007749E2" w:rsidRPr="00E37815">
        <w:rPr>
          <w:sz w:val="22"/>
          <w:szCs w:val="22"/>
        </w:rPr>
        <w:t xml:space="preserve">already </w:t>
      </w:r>
      <w:r w:rsidRPr="00E37815">
        <w:rPr>
          <w:sz w:val="22"/>
          <w:szCs w:val="22"/>
        </w:rPr>
        <w:t>completed its useful life of 25 years in 2011. However, the depreciatio</w:t>
      </w:r>
      <w:r w:rsidR="003D40D5" w:rsidRPr="00E37815">
        <w:rPr>
          <w:sz w:val="22"/>
          <w:szCs w:val="22"/>
        </w:rPr>
        <w:t xml:space="preserve">n recovered by FY 2014-15, </w:t>
      </w:r>
      <w:r w:rsidRPr="00E37815">
        <w:rPr>
          <w:sz w:val="22"/>
          <w:szCs w:val="22"/>
        </w:rPr>
        <w:t>in line with Regulations</w:t>
      </w:r>
      <w:r w:rsidR="007749E2" w:rsidRPr="00E37815">
        <w:rPr>
          <w:sz w:val="22"/>
          <w:szCs w:val="22"/>
        </w:rPr>
        <w:t>,</w:t>
      </w:r>
      <w:r w:rsidRPr="00E37815">
        <w:rPr>
          <w:sz w:val="22"/>
          <w:szCs w:val="22"/>
        </w:rPr>
        <w:t xml:space="preserve"> is not 70% of the asset value, even after operation of 29 years. </w:t>
      </w:r>
      <w:r w:rsidR="002F06AC" w:rsidRPr="00E37815">
        <w:rPr>
          <w:sz w:val="22"/>
          <w:szCs w:val="22"/>
        </w:rPr>
        <w:t>Therefore</w:t>
      </w:r>
      <w:r w:rsidR="001B03B3" w:rsidRPr="00E37815">
        <w:rPr>
          <w:sz w:val="22"/>
          <w:szCs w:val="22"/>
        </w:rPr>
        <w:t xml:space="preserve">, </w:t>
      </w:r>
      <w:r w:rsidRPr="00E37815">
        <w:rPr>
          <w:sz w:val="22"/>
          <w:szCs w:val="22"/>
        </w:rPr>
        <w:t>the Petitioner</w:t>
      </w:r>
      <w:r w:rsidR="0052685B" w:rsidRPr="00E37815">
        <w:rPr>
          <w:sz w:val="22"/>
          <w:szCs w:val="22"/>
        </w:rPr>
        <w:t xml:space="preserve"> had </w:t>
      </w:r>
      <w:r w:rsidRPr="00E37815">
        <w:rPr>
          <w:sz w:val="22"/>
          <w:szCs w:val="22"/>
        </w:rPr>
        <w:t>request</w:t>
      </w:r>
      <w:r w:rsidR="0052685B" w:rsidRPr="00E37815">
        <w:rPr>
          <w:sz w:val="22"/>
          <w:szCs w:val="22"/>
        </w:rPr>
        <w:t>ed in its petition for determination of tariff for FY 2012-13 to F</w:t>
      </w:r>
      <w:r w:rsidR="001B03B3" w:rsidRPr="00E37815">
        <w:rPr>
          <w:sz w:val="22"/>
          <w:szCs w:val="22"/>
        </w:rPr>
        <w:t>Y</w:t>
      </w:r>
      <w:r w:rsidR="0052685B" w:rsidRPr="00E37815">
        <w:rPr>
          <w:sz w:val="22"/>
          <w:szCs w:val="22"/>
        </w:rPr>
        <w:t xml:space="preserve"> 2014-</w:t>
      </w:r>
      <w:r w:rsidR="00741559" w:rsidRPr="00E37815">
        <w:rPr>
          <w:sz w:val="22"/>
          <w:szCs w:val="22"/>
        </w:rPr>
        <w:t>15 to</w:t>
      </w:r>
      <w:r w:rsidRPr="00E37815">
        <w:rPr>
          <w:sz w:val="22"/>
          <w:szCs w:val="22"/>
        </w:rPr>
        <w:t xml:space="preserve"> consider and allow relaxation in the d</w:t>
      </w:r>
      <w:r w:rsidR="007749E2" w:rsidRPr="00E37815">
        <w:rPr>
          <w:sz w:val="22"/>
          <w:szCs w:val="22"/>
        </w:rPr>
        <w:t xml:space="preserve">epreciation norms; and allow to </w:t>
      </w:r>
      <w:r w:rsidRPr="00E37815">
        <w:rPr>
          <w:sz w:val="22"/>
          <w:szCs w:val="22"/>
        </w:rPr>
        <w:t xml:space="preserve">recover the remaining depreciation </w:t>
      </w:r>
      <w:r w:rsidR="002F06AC" w:rsidRPr="00E37815">
        <w:rPr>
          <w:sz w:val="22"/>
          <w:szCs w:val="22"/>
        </w:rPr>
        <w:t>up to</w:t>
      </w:r>
      <w:r w:rsidRPr="00E37815">
        <w:rPr>
          <w:sz w:val="22"/>
          <w:szCs w:val="22"/>
        </w:rPr>
        <w:t xml:space="preserve"> 90% during FY 2012-13 to FY 2014-15.</w:t>
      </w:r>
      <w:r w:rsidR="0052685B" w:rsidRPr="00E37815">
        <w:rPr>
          <w:sz w:val="22"/>
          <w:szCs w:val="22"/>
        </w:rPr>
        <w:t xml:space="preserve"> However</w:t>
      </w:r>
      <w:r w:rsidR="00741559" w:rsidRPr="00E37815">
        <w:rPr>
          <w:sz w:val="22"/>
          <w:szCs w:val="22"/>
        </w:rPr>
        <w:t>, C</w:t>
      </w:r>
      <w:r w:rsidR="0052685B" w:rsidRPr="00E37815">
        <w:rPr>
          <w:sz w:val="22"/>
          <w:szCs w:val="22"/>
        </w:rPr>
        <w:t xml:space="preserve">ommission has not considered the same while issuing tariff order for previous years of current MYT. </w:t>
      </w:r>
      <w:r w:rsidRPr="00E37815">
        <w:rPr>
          <w:sz w:val="22"/>
          <w:szCs w:val="22"/>
        </w:rPr>
        <w:t xml:space="preserve"> </w:t>
      </w:r>
      <w:r w:rsidR="0052685B" w:rsidRPr="00E37815">
        <w:rPr>
          <w:sz w:val="22"/>
          <w:szCs w:val="22"/>
        </w:rPr>
        <w:t>Petitioner therefore</w:t>
      </w:r>
      <w:r w:rsidR="00741559" w:rsidRPr="00E37815">
        <w:rPr>
          <w:sz w:val="22"/>
          <w:szCs w:val="22"/>
        </w:rPr>
        <w:t>,</w:t>
      </w:r>
      <w:r w:rsidR="0052685B" w:rsidRPr="00E37815">
        <w:rPr>
          <w:sz w:val="22"/>
          <w:szCs w:val="22"/>
        </w:rPr>
        <w:t xml:space="preserve"> humbly requests </w:t>
      </w:r>
      <w:r w:rsidR="00741559" w:rsidRPr="00E37815">
        <w:rPr>
          <w:sz w:val="22"/>
          <w:szCs w:val="22"/>
        </w:rPr>
        <w:t xml:space="preserve">Honorable </w:t>
      </w:r>
      <w:r w:rsidR="0052685B" w:rsidRPr="00E37815">
        <w:rPr>
          <w:sz w:val="22"/>
          <w:szCs w:val="22"/>
        </w:rPr>
        <w:t xml:space="preserve">Commission to allow recovery of balance of </w:t>
      </w:r>
      <w:r w:rsidR="002F06AC" w:rsidRPr="00E37815">
        <w:rPr>
          <w:sz w:val="22"/>
          <w:szCs w:val="22"/>
        </w:rPr>
        <w:t>Depreciation</w:t>
      </w:r>
      <w:r w:rsidR="0052685B" w:rsidRPr="00E37815">
        <w:rPr>
          <w:sz w:val="22"/>
          <w:szCs w:val="22"/>
        </w:rPr>
        <w:t xml:space="preserve"> up to 90% o</w:t>
      </w:r>
      <w:r w:rsidR="00465DD6">
        <w:rPr>
          <w:sz w:val="22"/>
          <w:szCs w:val="22"/>
        </w:rPr>
        <w:t>f book value during FY 2015-16 both for RPH and GTPS.</w:t>
      </w:r>
    </w:p>
    <w:p w:rsidR="00F836BD" w:rsidRDefault="00F836BD" w:rsidP="00F836BD">
      <w:pPr>
        <w:rPr>
          <w:sz w:val="22"/>
          <w:szCs w:val="22"/>
        </w:rPr>
      </w:pPr>
    </w:p>
    <w:p w:rsidR="00C76AA4" w:rsidRDefault="00F836BD" w:rsidP="00C76AA4">
      <w:pPr>
        <w:pStyle w:val="Header"/>
        <w:tabs>
          <w:tab w:val="clear" w:pos="4320"/>
          <w:tab w:val="clear" w:pos="8640"/>
        </w:tabs>
        <w:rPr>
          <w:sz w:val="22"/>
          <w:szCs w:val="22"/>
        </w:rPr>
      </w:pPr>
      <w:r>
        <w:rPr>
          <w:szCs w:val="22"/>
        </w:rPr>
        <w:lastRenderedPageBreak/>
        <w:t xml:space="preserve">It is </w:t>
      </w:r>
      <w:r w:rsidR="002F06AC">
        <w:rPr>
          <w:szCs w:val="22"/>
        </w:rPr>
        <w:t xml:space="preserve">further to </w:t>
      </w:r>
      <w:r>
        <w:rPr>
          <w:szCs w:val="22"/>
        </w:rPr>
        <w:t xml:space="preserve">submit that in the MYT Tariff Regulation, 2011, the return on equity has been fixed at 14%. It is humbly submitted that the </w:t>
      </w:r>
      <w:r w:rsidR="00F40B35" w:rsidRPr="00F40B35">
        <w:rPr>
          <w:szCs w:val="22"/>
        </w:rPr>
        <w:t>Honorable Commission</w:t>
      </w:r>
      <w:r>
        <w:rPr>
          <w:szCs w:val="22"/>
        </w:rPr>
        <w:t xml:space="preserve"> has fixed the pretax base rate of 15.5% in draft Generation Tariff Regulation</w:t>
      </w:r>
      <w:r w:rsidR="0006409A">
        <w:rPr>
          <w:szCs w:val="22"/>
        </w:rPr>
        <w:t xml:space="preserve">, </w:t>
      </w:r>
      <w:r w:rsidR="009E7D81">
        <w:rPr>
          <w:szCs w:val="22"/>
        </w:rPr>
        <w:t>2011</w:t>
      </w:r>
      <w:r w:rsidR="00671B89">
        <w:rPr>
          <w:szCs w:val="22"/>
        </w:rPr>
        <w:t xml:space="preserve"> </w:t>
      </w:r>
      <w:r>
        <w:rPr>
          <w:szCs w:val="22"/>
        </w:rPr>
        <w:t xml:space="preserve">in line with </w:t>
      </w:r>
      <w:r w:rsidRPr="00F40B35">
        <w:rPr>
          <w:szCs w:val="22"/>
        </w:rPr>
        <w:t>Central Electricity</w:t>
      </w:r>
      <w:r w:rsidRPr="0091490E">
        <w:rPr>
          <w:color w:val="000000"/>
          <w:szCs w:val="22"/>
        </w:rPr>
        <w:t xml:space="preserve"> Regulatory Commission (Terms and Conditions of Tariff) Regulations, 20</w:t>
      </w:r>
      <w:r w:rsidR="0006409A">
        <w:rPr>
          <w:color w:val="000000"/>
          <w:szCs w:val="22"/>
        </w:rPr>
        <w:t>09</w:t>
      </w:r>
      <w:r>
        <w:rPr>
          <w:color w:val="000000"/>
          <w:szCs w:val="22"/>
        </w:rPr>
        <w:t xml:space="preserve">. However, the </w:t>
      </w:r>
      <w:r w:rsidR="00F40B35" w:rsidRPr="00F40B35">
        <w:rPr>
          <w:color w:val="000000"/>
          <w:szCs w:val="22"/>
        </w:rPr>
        <w:t>Honorable Commission</w:t>
      </w:r>
      <w:r w:rsidR="00F40B35">
        <w:rPr>
          <w:szCs w:val="22"/>
        </w:rPr>
        <w:t xml:space="preserve"> </w:t>
      </w:r>
      <w:r>
        <w:rPr>
          <w:color w:val="000000"/>
          <w:szCs w:val="22"/>
        </w:rPr>
        <w:t xml:space="preserve">has reduced the rate of return on equity to 14% in the final </w:t>
      </w:r>
      <w:r w:rsidRPr="00F236BC">
        <w:rPr>
          <w:color w:val="000000"/>
          <w:szCs w:val="22"/>
        </w:rPr>
        <w:t>“Delhi Electricity Regulatory Commission (Terms and Conditions for Determination of Generation Tariff) Regulations,</w:t>
      </w:r>
      <w:r w:rsidR="006D4553">
        <w:rPr>
          <w:color w:val="000000"/>
          <w:szCs w:val="22"/>
        </w:rPr>
        <w:t xml:space="preserve"> </w:t>
      </w:r>
      <w:smartTag w:uri="urn:schemas-microsoft-com:office:smarttags" w:element="metricconverter">
        <w:smartTagPr>
          <w:attr w:name="ProductID" w:val="2011”"/>
        </w:smartTagPr>
        <w:r w:rsidRPr="00F236BC">
          <w:rPr>
            <w:color w:val="000000"/>
            <w:szCs w:val="22"/>
          </w:rPr>
          <w:t>2011”</w:t>
        </w:r>
      </w:smartTag>
      <w:r>
        <w:rPr>
          <w:color w:val="000000"/>
          <w:szCs w:val="22"/>
        </w:rPr>
        <w:t>.</w:t>
      </w:r>
      <w:r>
        <w:rPr>
          <w:szCs w:val="22"/>
        </w:rPr>
        <w:t xml:space="preserve"> Even other state Commissions such as Maharashtra Electricity Regulatory Commission has kept the rate of return on equity at 15.5% for generation. It is prayed that the norm of rate of return on equity may kindly be relaxed and increased to 15.5%</w:t>
      </w:r>
      <w:r w:rsidRPr="00804E79">
        <w:rPr>
          <w:szCs w:val="22"/>
        </w:rPr>
        <w:t xml:space="preserve"> </w:t>
      </w:r>
      <w:r>
        <w:rPr>
          <w:szCs w:val="22"/>
        </w:rPr>
        <w:t>from 14% in line with the CERC Regulations, 2009</w:t>
      </w:r>
      <w:r w:rsidR="00C64A8B">
        <w:rPr>
          <w:szCs w:val="22"/>
        </w:rPr>
        <w:t xml:space="preserve"> and 2014</w:t>
      </w:r>
      <w:r>
        <w:rPr>
          <w:szCs w:val="22"/>
        </w:rPr>
        <w:t>.</w:t>
      </w:r>
      <w:r w:rsidR="00D71005">
        <w:rPr>
          <w:szCs w:val="22"/>
        </w:rPr>
        <w:t xml:space="preserve"> Further, Hon’ble Commission while issuing the tariff order for previous years of</w:t>
      </w:r>
      <w:r w:rsidR="00D71005" w:rsidRPr="00D71005">
        <w:rPr>
          <w:szCs w:val="22"/>
        </w:rPr>
        <w:t xml:space="preserve"> </w:t>
      </w:r>
      <w:r w:rsidR="00D71005">
        <w:rPr>
          <w:szCs w:val="22"/>
        </w:rPr>
        <w:t>current MYT period has not grossed up the recoverable Income-tax though the recovery of income-tax from the beneficiary becomes the part of the sales hence the further income-tax is also levied on the base income-tax.</w:t>
      </w:r>
      <w:r w:rsidR="004F5027">
        <w:rPr>
          <w:szCs w:val="22"/>
        </w:rPr>
        <w:t xml:space="preserve">  Based on the same input Central Electricity Regulatory Commission has also allowed grossing up of Income-tax in its generation tariff regulation</w:t>
      </w:r>
      <w:r w:rsidR="00B77BF0">
        <w:rPr>
          <w:szCs w:val="22"/>
        </w:rPr>
        <w:t>,</w:t>
      </w:r>
      <w:r w:rsidR="004F5027">
        <w:rPr>
          <w:szCs w:val="22"/>
        </w:rPr>
        <w:t xml:space="preserve"> 2009 for the period FY 2009-10 to 2013-14</w:t>
      </w:r>
      <w:r w:rsidR="0087192A">
        <w:rPr>
          <w:szCs w:val="22"/>
        </w:rPr>
        <w:t xml:space="preserve"> and also in its generation tariff regulation 2014 for the period FY 2014-15 to 2018-19.</w:t>
      </w:r>
      <w:r w:rsidR="003750C0">
        <w:rPr>
          <w:szCs w:val="22"/>
        </w:rPr>
        <w:t xml:space="preserve"> </w:t>
      </w:r>
      <w:r w:rsidR="00143B79">
        <w:rPr>
          <w:szCs w:val="22"/>
        </w:rPr>
        <w:t>The relevant extract of CERC</w:t>
      </w:r>
      <w:r w:rsidR="00B77BF0">
        <w:rPr>
          <w:szCs w:val="22"/>
        </w:rPr>
        <w:t xml:space="preserve"> gen</w:t>
      </w:r>
      <w:r w:rsidR="00796E90">
        <w:rPr>
          <w:szCs w:val="22"/>
        </w:rPr>
        <w:t>eration tariff regulation, 2009</w:t>
      </w:r>
      <w:r w:rsidR="00536BD2">
        <w:rPr>
          <w:szCs w:val="22"/>
        </w:rPr>
        <w:t xml:space="preserve"> is reproduced as under “</w:t>
      </w:r>
      <w:r w:rsidR="00C76AA4">
        <w:rPr>
          <w:sz w:val="22"/>
          <w:szCs w:val="22"/>
        </w:rPr>
        <w:t xml:space="preserve">The relevant extract is as </w:t>
      </w:r>
      <w:r w:rsidR="00BA2F40">
        <w:rPr>
          <w:sz w:val="22"/>
          <w:szCs w:val="22"/>
        </w:rPr>
        <w:t>under:</w:t>
      </w:r>
    </w:p>
    <w:p w:rsidR="00C76AA4" w:rsidRDefault="00C76AA4" w:rsidP="00C76AA4">
      <w:pPr>
        <w:pStyle w:val="Header"/>
        <w:tabs>
          <w:tab w:val="clear" w:pos="4320"/>
          <w:tab w:val="clear" w:pos="8640"/>
        </w:tabs>
        <w:rPr>
          <w:sz w:val="22"/>
          <w:szCs w:val="22"/>
        </w:rPr>
      </w:pPr>
    </w:p>
    <w:p w:rsidR="00C76AA4" w:rsidRDefault="00C76AA4" w:rsidP="00C76AA4">
      <w:pPr>
        <w:pStyle w:val="Header"/>
        <w:tabs>
          <w:tab w:val="clear" w:pos="4320"/>
          <w:tab w:val="clear" w:pos="8640"/>
        </w:tabs>
        <w:rPr>
          <w:i/>
          <w:sz w:val="22"/>
          <w:szCs w:val="22"/>
        </w:rPr>
      </w:pPr>
      <w:r>
        <w:rPr>
          <w:sz w:val="22"/>
          <w:szCs w:val="22"/>
        </w:rPr>
        <w:t>“(3)</w:t>
      </w:r>
      <w:r>
        <w:rPr>
          <w:sz w:val="22"/>
          <w:szCs w:val="22"/>
        </w:rPr>
        <w:tab/>
      </w:r>
      <w:r>
        <w:rPr>
          <w:i/>
          <w:sz w:val="22"/>
          <w:szCs w:val="22"/>
        </w:rPr>
        <w:t>The rate of return on equity shall be computed by grossing up the base rate with the normal tax rate for the year 2008-09 applicable to the concerned generating company or the transmission licensee, as the case may be:</w:t>
      </w:r>
    </w:p>
    <w:p w:rsidR="00C76AA4" w:rsidRDefault="00C76AA4" w:rsidP="00C76AA4">
      <w:pPr>
        <w:pStyle w:val="Header"/>
        <w:tabs>
          <w:tab w:val="clear" w:pos="4320"/>
          <w:tab w:val="clear" w:pos="8640"/>
        </w:tabs>
        <w:rPr>
          <w:i/>
          <w:sz w:val="22"/>
          <w:szCs w:val="22"/>
        </w:rPr>
      </w:pPr>
    </w:p>
    <w:p w:rsidR="00C76AA4" w:rsidRDefault="00C76AA4" w:rsidP="00C76AA4">
      <w:pPr>
        <w:pStyle w:val="Header"/>
        <w:tabs>
          <w:tab w:val="clear" w:pos="4320"/>
          <w:tab w:val="clear" w:pos="8640"/>
        </w:tabs>
        <w:rPr>
          <w:i/>
          <w:sz w:val="22"/>
          <w:szCs w:val="22"/>
        </w:rPr>
      </w:pPr>
      <w:r>
        <w:rPr>
          <w:i/>
          <w:sz w:val="22"/>
          <w:szCs w:val="22"/>
        </w:rPr>
        <w:t>Provided that return on equity with respect to the actual tax rate applicable to the generating company or the transmission licensee, as the case may be, in line with the provisions of the relevant Finance Acts of the respective year during the tariff period shall be trued up separately for each year of the tariff period along with the tariff petition filed for the next tariff period.</w:t>
      </w:r>
    </w:p>
    <w:p w:rsidR="00C76AA4" w:rsidRDefault="00C76AA4" w:rsidP="00C76AA4">
      <w:pPr>
        <w:pStyle w:val="Header"/>
        <w:tabs>
          <w:tab w:val="clear" w:pos="4320"/>
          <w:tab w:val="clear" w:pos="8640"/>
        </w:tabs>
        <w:rPr>
          <w:i/>
          <w:sz w:val="22"/>
          <w:szCs w:val="22"/>
        </w:rPr>
      </w:pPr>
    </w:p>
    <w:p w:rsidR="00C76AA4" w:rsidRDefault="00C76AA4" w:rsidP="00C76AA4">
      <w:pPr>
        <w:pStyle w:val="Header"/>
        <w:tabs>
          <w:tab w:val="clear" w:pos="4320"/>
          <w:tab w:val="clear" w:pos="8640"/>
        </w:tabs>
        <w:rPr>
          <w:i/>
          <w:sz w:val="22"/>
          <w:szCs w:val="22"/>
        </w:rPr>
      </w:pPr>
      <w:r>
        <w:rPr>
          <w:i/>
          <w:sz w:val="22"/>
          <w:szCs w:val="22"/>
        </w:rPr>
        <w:t>(4)</w:t>
      </w:r>
      <w:r>
        <w:rPr>
          <w:i/>
          <w:sz w:val="22"/>
          <w:szCs w:val="22"/>
        </w:rPr>
        <w:tab/>
        <w:t xml:space="preserve">Rate of return on equity shall be rounded off to three decimal points and be computed as per the formula given </w:t>
      </w:r>
      <w:r w:rsidR="00BA2F40">
        <w:rPr>
          <w:i/>
          <w:sz w:val="22"/>
          <w:szCs w:val="22"/>
        </w:rPr>
        <w:t>below:</w:t>
      </w:r>
    </w:p>
    <w:p w:rsidR="00C76AA4" w:rsidRDefault="00C76AA4" w:rsidP="00C76AA4">
      <w:pPr>
        <w:pStyle w:val="Header"/>
        <w:tabs>
          <w:tab w:val="clear" w:pos="4320"/>
          <w:tab w:val="clear" w:pos="8640"/>
        </w:tabs>
        <w:rPr>
          <w:i/>
          <w:sz w:val="22"/>
          <w:szCs w:val="22"/>
        </w:rPr>
      </w:pPr>
    </w:p>
    <w:p w:rsidR="00C76AA4" w:rsidRDefault="00C76AA4" w:rsidP="00C76AA4">
      <w:pPr>
        <w:pStyle w:val="Header"/>
        <w:tabs>
          <w:tab w:val="clear" w:pos="4320"/>
          <w:tab w:val="clear" w:pos="8640"/>
        </w:tabs>
        <w:rPr>
          <w:i/>
          <w:sz w:val="22"/>
          <w:szCs w:val="22"/>
        </w:rPr>
      </w:pPr>
      <w:r>
        <w:rPr>
          <w:i/>
          <w:sz w:val="22"/>
          <w:szCs w:val="22"/>
        </w:rPr>
        <w:t>Rate of pre-tax return on equity = Base rate / (1-t)</w:t>
      </w:r>
    </w:p>
    <w:p w:rsidR="00C76AA4" w:rsidRDefault="00C76AA4" w:rsidP="00C76AA4">
      <w:pPr>
        <w:pStyle w:val="Header"/>
        <w:tabs>
          <w:tab w:val="clear" w:pos="4320"/>
          <w:tab w:val="clear" w:pos="8640"/>
        </w:tabs>
        <w:rPr>
          <w:i/>
          <w:sz w:val="22"/>
          <w:szCs w:val="22"/>
        </w:rPr>
      </w:pPr>
    </w:p>
    <w:p w:rsidR="00C76AA4" w:rsidRDefault="00C76AA4" w:rsidP="00C76AA4">
      <w:pPr>
        <w:pStyle w:val="Header"/>
        <w:tabs>
          <w:tab w:val="clear" w:pos="4320"/>
          <w:tab w:val="clear" w:pos="8640"/>
        </w:tabs>
        <w:rPr>
          <w:i/>
          <w:sz w:val="22"/>
          <w:szCs w:val="22"/>
        </w:rPr>
      </w:pPr>
      <w:r>
        <w:rPr>
          <w:i/>
          <w:sz w:val="22"/>
          <w:szCs w:val="22"/>
        </w:rPr>
        <w:t>Where it is the applicable tax rate in accordance with Clause (3) of this regulation.</w:t>
      </w:r>
    </w:p>
    <w:p w:rsidR="00F836BD" w:rsidRDefault="00F836BD" w:rsidP="00F836BD">
      <w:pPr>
        <w:rPr>
          <w:sz w:val="22"/>
          <w:szCs w:val="22"/>
        </w:rPr>
      </w:pPr>
    </w:p>
    <w:p w:rsidR="005B17D4" w:rsidRDefault="005B17D4" w:rsidP="00F836BD">
      <w:pPr>
        <w:rPr>
          <w:sz w:val="22"/>
          <w:szCs w:val="22"/>
        </w:rPr>
      </w:pPr>
      <w:r>
        <w:rPr>
          <w:sz w:val="22"/>
          <w:szCs w:val="22"/>
        </w:rPr>
        <w:t>Further, CERC in its generation tariff regulation, 2014 has also grossed up the rate of return of income-tax</w:t>
      </w:r>
      <w:r w:rsidR="00C31C88">
        <w:rPr>
          <w:sz w:val="22"/>
          <w:szCs w:val="22"/>
        </w:rPr>
        <w:t>, the relevant extract</w:t>
      </w:r>
      <w:r w:rsidR="007E7CA3">
        <w:rPr>
          <w:sz w:val="22"/>
          <w:szCs w:val="22"/>
        </w:rPr>
        <w:t xml:space="preserve"> of the same</w:t>
      </w:r>
      <w:r w:rsidR="00C31C88">
        <w:rPr>
          <w:sz w:val="22"/>
          <w:szCs w:val="22"/>
        </w:rPr>
        <w:t xml:space="preserve"> </w:t>
      </w:r>
      <w:r w:rsidR="00C25C99">
        <w:rPr>
          <w:sz w:val="22"/>
          <w:szCs w:val="22"/>
        </w:rPr>
        <w:t>is reproduced</w:t>
      </w:r>
      <w:r w:rsidR="007E7CA3">
        <w:rPr>
          <w:sz w:val="22"/>
          <w:szCs w:val="22"/>
        </w:rPr>
        <w:t xml:space="preserve"> as under:</w:t>
      </w:r>
    </w:p>
    <w:p w:rsidR="007E7CA3" w:rsidRDefault="007E7CA3" w:rsidP="00F836BD">
      <w:pPr>
        <w:rPr>
          <w:sz w:val="22"/>
          <w:szCs w:val="22"/>
        </w:rPr>
      </w:pPr>
    </w:p>
    <w:p w:rsidR="00C25C99" w:rsidRDefault="00033B18" w:rsidP="00F836BD">
      <w:pPr>
        <w:rPr>
          <w:sz w:val="22"/>
          <w:szCs w:val="22"/>
        </w:rPr>
      </w:pPr>
      <w:r>
        <w:rPr>
          <w:sz w:val="22"/>
          <w:szCs w:val="22"/>
        </w:rPr>
        <w:t>“</w:t>
      </w:r>
      <w:r w:rsidR="00C25C99">
        <w:rPr>
          <w:sz w:val="22"/>
          <w:szCs w:val="22"/>
        </w:rPr>
        <w:t>25. Tax on return on equity</w:t>
      </w:r>
    </w:p>
    <w:p w:rsidR="00C25C99" w:rsidRDefault="00C25C99" w:rsidP="00F836BD">
      <w:pPr>
        <w:rPr>
          <w:sz w:val="22"/>
          <w:szCs w:val="22"/>
        </w:rPr>
      </w:pPr>
      <w:r>
        <w:rPr>
          <w:sz w:val="22"/>
          <w:szCs w:val="22"/>
        </w:rPr>
        <w:t>(1)</w:t>
      </w:r>
      <w:r w:rsidR="00A44898">
        <w:rPr>
          <w:sz w:val="22"/>
          <w:szCs w:val="22"/>
        </w:rPr>
        <w:tab/>
      </w:r>
      <w:r>
        <w:rPr>
          <w:sz w:val="22"/>
          <w:szCs w:val="22"/>
        </w:rPr>
        <w:t xml:space="preserve">The base rate of return </w:t>
      </w:r>
      <w:r w:rsidR="00EF6BAA">
        <w:rPr>
          <w:sz w:val="22"/>
          <w:szCs w:val="22"/>
        </w:rPr>
        <w:t>on</w:t>
      </w:r>
      <w:r>
        <w:rPr>
          <w:sz w:val="22"/>
          <w:szCs w:val="22"/>
        </w:rPr>
        <w:t xml:space="preserve"> equity as allowed by the commission under Regulation 24 shall be grossed up with the effective tax rate of the respective financial year. For this purpose, the effective tax rate shall be considered on the basis of actual tax paid in the respect of the financial year in line with the provisions of the </w:t>
      </w:r>
      <w:r w:rsidR="00FC724F">
        <w:rPr>
          <w:sz w:val="22"/>
          <w:szCs w:val="22"/>
        </w:rPr>
        <w:t>financial</w:t>
      </w:r>
      <w:r w:rsidR="00D80A7B">
        <w:rPr>
          <w:sz w:val="22"/>
          <w:szCs w:val="22"/>
        </w:rPr>
        <w:t xml:space="preserve"> acts by the concerned generating company or the transmission Licensee, as the case may be. The actual tax income on other income </w:t>
      </w:r>
      <w:r w:rsidR="00FC724F">
        <w:rPr>
          <w:sz w:val="22"/>
          <w:szCs w:val="22"/>
        </w:rPr>
        <w:t>stream (</w:t>
      </w:r>
      <w:r w:rsidR="00D80A7B">
        <w:rPr>
          <w:sz w:val="22"/>
          <w:szCs w:val="22"/>
        </w:rPr>
        <w:t xml:space="preserve">i.e., income </w:t>
      </w:r>
      <w:r w:rsidR="00FC724F">
        <w:rPr>
          <w:sz w:val="22"/>
          <w:szCs w:val="22"/>
        </w:rPr>
        <w:t>of non</w:t>
      </w:r>
      <w:r w:rsidR="00D80A7B">
        <w:rPr>
          <w:sz w:val="22"/>
          <w:szCs w:val="22"/>
        </w:rPr>
        <w:t xml:space="preserve"> generation or non transmission business, as the case may be) shall not be considered for the calculation of “effective tax rate”.</w:t>
      </w:r>
    </w:p>
    <w:p w:rsidR="007E7CA3" w:rsidRDefault="00033B18" w:rsidP="00F836BD">
      <w:pPr>
        <w:rPr>
          <w:sz w:val="22"/>
          <w:szCs w:val="22"/>
        </w:rPr>
      </w:pPr>
      <w:r>
        <w:rPr>
          <w:sz w:val="22"/>
          <w:szCs w:val="22"/>
        </w:rPr>
        <w:t>(2)</w:t>
      </w:r>
      <w:r>
        <w:rPr>
          <w:sz w:val="22"/>
          <w:szCs w:val="22"/>
        </w:rPr>
        <w:tab/>
        <w:t xml:space="preserve">Rate of return on equity shall be rounded off to three decimal placed and shall be computed as per the formula given </w:t>
      </w:r>
      <w:r w:rsidR="00BA2F40">
        <w:rPr>
          <w:sz w:val="22"/>
          <w:szCs w:val="22"/>
        </w:rPr>
        <w:t>below:</w:t>
      </w:r>
    </w:p>
    <w:p w:rsidR="00033B18" w:rsidRDefault="00033B18" w:rsidP="00F836BD">
      <w:pPr>
        <w:rPr>
          <w:sz w:val="22"/>
          <w:szCs w:val="22"/>
        </w:rPr>
      </w:pPr>
    </w:p>
    <w:p w:rsidR="00033B18" w:rsidRDefault="00033B18" w:rsidP="00F836BD">
      <w:pPr>
        <w:rPr>
          <w:sz w:val="22"/>
          <w:szCs w:val="22"/>
        </w:rPr>
      </w:pPr>
      <w:r>
        <w:rPr>
          <w:sz w:val="22"/>
          <w:szCs w:val="22"/>
        </w:rPr>
        <w:t>Rate of pre-tax return on equity = Base rate / (1-t)</w:t>
      </w:r>
    </w:p>
    <w:p w:rsidR="00033B18" w:rsidRDefault="00033B18" w:rsidP="00F836BD">
      <w:pPr>
        <w:rPr>
          <w:sz w:val="22"/>
          <w:szCs w:val="22"/>
        </w:rPr>
      </w:pPr>
    </w:p>
    <w:p w:rsidR="00033B18" w:rsidRDefault="00033B18" w:rsidP="00F836BD">
      <w:pPr>
        <w:rPr>
          <w:sz w:val="22"/>
          <w:szCs w:val="22"/>
        </w:rPr>
      </w:pPr>
      <w:r>
        <w:rPr>
          <w:sz w:val="22"/>
          <w:szCs w:val="22"/>
        </w:rPr>
        <w:t xml:space="preserve">Where “t” is the effective tax rate in accordance with Clause (1) of this regulation and shall be calculated at the beginning of every financial year based on the </w:t>
      </w:r>
      <w:r w:rsidR="00111634">
        <w:rPr>
          <w:sz w:val="22"/>
          <w:szCs w:val="22"/>
        </w:rPr>
        <w:t>estimated</w:t>
      </w:r>
      <w:r>
        <w:rPr>
          <w:sz w:val="22"/>
          <w:szCs w:val="22"/>
        </w:rPr>
        <w:t xml:space="preserve"> profit and tax to be paid estimated in line with the provisions of the relevant Finance Act applicable for that financial year to the company on pro-rata basis by excluding the income of non-</w:t>
      </w:r>
      <w:r w:rsidR="00111634">
        <w:rPr>
          <w:sz w:val="22"/>
          <w:szCs w:val="22"/>
        </w:rPr>
        <w:t>generation</w:t>
      </w:r>
      <w:r>
        <w:rPr>
          <w:sz w:val="22"/>
          <w:szCs w:val="22"/>
        </w:rPr>
        <w:t xml:space="preserve"> or non-transmission business, as the case may be, and the corresponding tax thereon</w:t>
      </w:r>
      <w:r w:rsidR="00B4355B">
        <w:rPr>
          <w:sz w:val="22"/>
          <w:szCs w:val="22"/>
        </w:rPr>
        <w:t>.</w:t>
      </w:r>
      <w:r>
        <w:rPr>
          <w:sz w:val="22"/>
          <w:szCs w:val="22"/>
        </w:rPr>
        <w:t xml:space="preserve"> In case of generating company or transmission licensee paying Minimum Alternate Tax (MAT)</w:t>
      </w:r>
      <w:r w:rsidR="00BA2F40">
        <w:rPr>
          <w:sz w:val="22"/>
          <w:szCs w:val="22"/>
        </w:rPr>
        <w:t>,‘t’</w:t>
      </w:r>
      <w:r>
        <w:rPr>
          <w:sz w:val="22"/>
          <w:szCs w:val="22"/>
        </w:rPr>
        <w:t xml:space="preserve"> shall be considered as MAT rate including surcharge and cess.</w:t>
      </w:r>
    </w:p>
    <w:p w:rsidR="00314353" w:rsidRDefault="00314353" w:rsidP="00F836BD">
      <w:pPr>
        <w:rPr>
          <w:sz w:val="22"/>
          <w:szCs w:val="22"/>
        </w:rPr>
      </w:pPr>
    </w:p>
    <w:p w:rsidR="00314353" w:rsidRDefault="00314353" w:rsidP="00F836BD">
      <w:pPr>
        <w:rPr>
          <w:sz w:val="22"/>
          <w:szCs w:val="22"/>
        </w:rPr>
      </w:pPr>
      <w:r>
        <w:rPr>
          <w:b/>
          <w:sz w:val="22"/>
          <w:szCs w:val="22"/>
        </w:rPr>
        <w:lastRenderedPageBreak/>
        <w:t>Illustration:-</w:t>
      </w:r>
    </w:p>
    <w:p w:rsidR="00314353" w:rsidRDefault="00314353" w:rsidP="00250DED">
      <w:pPr>
        <w:rPr>
          <w:sz w:val="22"/>
          <w:szCs w:val="22"/>
        </w:rPr>
      </w:pPr>
    </w:p>
    <w:p w:rsidR="00314353" w:rsidRPr="004F2F3A" w:rsidRDefault="00314353" w:rsidP="00250DED">
      <w:pPr>
        <w:pStyle w:val="ListParagraph"/>
        <w:numPr>
          <w:ilvl w:val="0"/>
          <w:numId w:val="38"/>
        </w:numPr>
        <w:spacing w:line="360" w:lineRule="auto"/>
        <w:rPr>
          <w:rFonts w:ascii="Century Gothic" w:hAnsi="Century Gothic"/>
          <w:sz w:val="22"/>
          <w:szCs w:val="22"/>
        </w:rPr>
      </w:pPr>
      <w:r w:rsidRPr="004F2F3A">
        <w:rPr>
          <w:rFonts w:ascii="Century Gothic" w:hAnsi="Century Gothic"/>
          <w:sz w:val="22"/>
          <w:szCs w:val="22"/>
        </w:rPr>
        <w:t>In case of the generating company or the transmission licensee paying Minimum Alternate Tax (MAT) @ 20.96% including surcharge and cess:</w:t>
      </w:r>
    </w:p>
    <w:p w:rsidR="00314353" w:rsidRDefault="00314353" w:rsidP="00FA0131">
      <w:pPr>
        <w:ind w:left="360" w:firstLine="720"/>
        <w:rPr>
          <w:sz w:val="22"/>
          <w:szCs w:val="22"/>
        </w:rPr>
      </w:pPr>
      <w:r>
        <w:rPr>
          <w:sz w:val="22"/>
          <w:szCs w:val="22"/>
        </w:rPr>
        <w:t>Rate of return on equity = 15.50 / (1-0.2096) = 19.610%</w:t>
      </w:r>
      <w:r w:rsidR="00FA0131">
        <w:rPr>
          <w:sz w:val="22"/>
          <w:szCs w:val="22"/>
        </w:rPr>
        <w:t xml:space="preserve"> </w:t>
      </w:r>
    </w:p>
    <w:p w:rsidR="00314353" w:rsidRDefault="00314353" w:rsidP="00FA0131">
      <w:pPr>
        <w:spacing w:line="240" w:lineRule="auto"/>
        <w:rPr>
          <w:sz w:val="22"/>
          <w:szCs w:val="22"/>
        </w:rPr>
      </w:pPr>
    </w:p>
    <w:p w:rsidR="00314353" w:rsidRDefault="00314353" w:rsidP="00250DED">
      <w:pPr>
        <w:pStyle w:val="ListParagraph"/>
        <w:numPr>
          <w:ilvl w:val="0"/>
          <w:numId w:val="38"/>
        </w:numPr>
        <w:spacing w:line="360" w:lineRule="auto"/>
        <w:rPr>
          <w:rFonts w:ascii="Century Gothic" w:hAnsi="Century Gothic"/>
          <w:sz w:val="22"/>
          <w:szCs w:val="22"/>
        </w:rPr>
      </w:pPr>
      <w:r w:rsidRPr="004F2F3A">
        <w:rPr>
          <w:rFonts w:ascii="Century Gothic" w:hAnsi="Century Gothic"/>
          <w:sz w:val="22"/>
          <w:szCs w:val="22"/>
        </w:rPr>
        <w:t>In case of generating company or the transmission licensee paying normal corporate tax including surcharge and cess:</w:t>
      </w:r>
    </w:p>
    <w:p w:rsidR="008A136B" w:rsidRPr="004F2F3A" w:rsidRDefault="008A136B" w:rsidP="008A136B">
      <w:pPr>
        <w:pStyle w:val="ListParagraph"/>
        <w:spacing w:line="360" w:lineRule="auto"/>
        <w:ind w:left="1080"/>
        <w:rPr>
          <w:rFonts w:ascii="Century Gothic" w:hAnsi="Century Gothic"/>
          <w:sz w:val="22"/>
          <w:szCs w:val="22"/>
        </w:rPr>
      </w:pPr>
    </w:p>
    <w:p w:rsidR="00314353" w:rsidRDefault="00740BEF" w:rsidP="008A136B">
      <w:pPr>
        <w:pStyle w:val="ListParagraph"/>
        <w:numPr>
          <w:ilvl w:val="0"/>
          <w:numId w:val="39"/>
        </w:numPr>
        <w:spacing w:line="360" w:lineRule="auto"/>
        <w:ind w:hanging="720"/>
        <w:rPr>
          <w:rFonts w:ascii="Century Gothic" w:hAnsi="Century Gothic"/>
          <w:sz w:val="22"/>
          <w:szCs w:val="22"/>
        </w:rPr>
      </w:pPr>
      <w:r>
        <w:rPr>
          <w:rFonts w:ascii="Century Gothic" w:hAnsi="Century Gothic"/>
          <w:sz w:val="22"/>
          <w:szCs w:val="22"/>
        </w:rPr>
        <w:t>Estimated Gross Income from generation or transmission business for FY 2014-15 is Rs.1000 Cr.</w:t>
      </w:r>
    </w:p>
    <w:p w:rsidR="00740BEF" w:rsidRDefault="00740BEF" w:rsidP="008A136B">
      <w:pPr>
        <w:pStyle w:val="ListParagraph"/>
        <w:numPr>
          <w:ilvl w:val="0"/>
          <w:numId w:val="39"/>
        </w:numPr>
        <w:spacing w:line="360" w:lineRule="auto"/>
        <w:ind w:hanging="720"/>
        <w:rPr>
          <w:rFonts w:ascii="Century Gothic" w:hAnsi="Century Gothic"/>
          <w:sz w:val="22"/>
          <w:szCs w:val="22"/>
        </w:rPr>
      </w:pPr>
      <w:r>
        <w:rPr>
          <w:rFonts w:ascii="Century Gothic" w:hAnsi="Century Gothic"/>
          <w:sz w:val="22"/>
          <w:szCs w:val="22"/>
        </w:rPr>
        <w:t>Estimated Advance Tax for the year on above is Rs. 240 Crore.</w:t>
      </w:r>
    </w:p>
    <w:p w:rsidR="00250DED" w:rsidRDefault="00250DED" w:rsidP="008A136B">
      <w:pPr>
        <w:pStyle w:val="ListParagraph"/>
        <w:numPr>
          <w:ilvl w:val="0"/>
          <w:numId w:val="39"/>
        </w:numPr>
        <w:spacing w:line="360" w:lineRule="auto"/>
        <w:ind w:hanging="720"/>
        <w:rPr>
          <w:rFonts w:ascii="Century Gothic" w:hAnsi="Century Gothic"/>
          <w:sz w:val="22"/>
          <w:szCs w:val="22"/>
        </w:rPr>
      </w:pPr>
      <w:r>
        <w:rPr>
          <w:rFonts w:ascii="Century Gothic" w:hAnsi="Century Gothic"/>
          <w:sz w:val="22"/>
          <w:szCs w:val="22"/>
        </w:rPr>
        <w:t>Effective Tax Rate for the year 2014-15 = Rs. 240 Crore / Rs.1000 Crore = 24%.</w:t>
      </w:r>
    </w:p>
    <w:p w:rsidR="00250DED" w:rsidRDefault="00250DED" w:rsidP="008A136B">
      <w:pPr>
        <w:pStyle w:val="ListParagraph"/>
        <w:numPr>
          <w:ilvl w:val="0"/>
          <w:numId w:val="39"/>
        </w:numPr>
        <w:spacing w:line="360" w:lineRule="auto"/>
        <w:ind w:hanging="720"/>
        <w:rPr>
          <w:rFonts w:ascii="Century Gothic" w:hAnsi="Century Gothic"/>
          <w:sz w:val="22"/>
          <w:szCs w:val="22"/>
        </w:rPr>
      </w:pPr>
      <w:r>
        <w:rPr>
          <w:rFonts w:ascii="Century Gothic" w:hAnsi="Century Gothic"/>
          <w:sz w:val="22"/>
          <w:szCs w:val="22"/>
        </w:rPr>
        <w:t>Rate of Return on equity = 15.50 / (1-0.24) = 20.395%.</w:t>
      </w:r>
    </w:p>
    <w:p w:rsidR="00250DED" w:rsidRDefault="00250DED" w:rsidP="00250DED">
      <w:pPr>
        <w:rPr>
          <w:sz w:val="22"/>
          <w:szCs w:val="22"/>
        </w:rPr>
      </w:pPr>
    </w:p>
    <w:p w:rsidR="00250DED" w:rsidRDefault="00250DED" w:rsidP="00250DED">
      <w:pPr>
        <w:rPr>
          <w:sz w:val="22"/>
          <w:szCs w:val="22"/>
        </w:rPr>
      </w:pPr>
      <w:r>
        <w:rPr>
          <w:sz w:val="22"/>
          <w:szCs w:val="22"/>
        </w:rPr>
        <w:t>(3)</w:t>
      </w:r>
      <w:r>
        <w:rPr>
          <w:sz w:val="22"/>
          <w:szCs w:val="22"/>
        </w:rPr>
        <w:tab/>
      </w:r>
      <w:r w:rsidR="00991A22">
        <w:rPr>
          <w:sz w:val="22"/>
          <w:szCs w:val="22"/>
        </w:rPr>
        <w:t xml:space="preserve">The generating company or the transmission licensee, as the case may be, shall true up the grossed up rate of return on equity at the end of every financial year based on </w:t>
      </w:r>
      <w:r w:rsidR="00E11089">
        <w:rPr>
          <w:sz w:val="22"/>
          <w:szCs w:val="22"/>
        </w:rPr>
        <w:t>a</w:t>
      </w:r>
      <w:r w:rsidR="00991A22">
        <w:rPr>
          <w:sz w:val="22"/>
          <w:szCs w:val="22"/>
        </w:rPr>
        <w:t xml:space="preserve">ctual tax paid together with any additional tax demand including interest thereon, duly adjusted for any refund of tax including interest received from the income-tax authorities pertaining to the tariff period 2014-15 to 2018-19 on actual gross income of any financial year.  However, penalty, if any, arising on account of delay in deposit or short deposit of tax amount shall not be claimed by the generating company or the </w:t>
      </w:r>
      <w:r w:rsidR="00E11089">
        <w:rPr>
          <w:sz w:val="22"/>
          <w:szCs w:val="22"/>
        </w:rPr>
        <w:t>transmission</w:t>
      </w:r>
      <w:r w:rsidR="00991A22">
        <w:rPr>
          <w:sz w:val="22"/>
          <w:szCs w:val="22"/>
        </w:rPr>
        <w:t xml:space="preserve"> licensee as the case may be. Any under-recovery or over-recovery of grossed up rate on return on equity after truing up, shall be recovered or refunded to beneficiaries or the long term transmission customers/DICs as the case may be on year to year basis.</w:t>
      </w:r>
      <w:r w:rsidR="00E11089">
        <w:rPr>
          <w:sz w:val="22"/>
          <w:szCs w:val="22"/>
        </w:rPr>
        <w:t xml:space="preserve"> </w:t>
      </w:r>
      <w:r w:rsidR="00850F43">
        <w:rPr>
          <w:sz w:val="22"/>
          <w:szCs w:val="22"/>
        </w:rPr>
        <w:t>“</w:t>
      </w:r>
    </w:p>
    <w:p w:rsidR="00F836BD" w:rsidRDefault="00F836BD" w:rsidP="00B06032">
      <w:pPr>
        <w:rPr>
          <w:sz w:val="22"/>
          <w:szCs w:val="22"/>
        </w:rPr>
      </w:pPr>
      <w:r w:rsidRPr="00D26F6F">
        <w:rPr>
          <w:sz w:val="22"/>
          <w:szCs w:val="22"/>
        </w:rPr>
        <w:t>It is</w:t>
      </w:r>
      <w:r w:rsidR="00B06032">
        <w:rPr>
          <w:sz w:val="22"/>
          <w:szCs w:val="22"/>
        </w:rPr>
        <w:t xml:space="preserve"> further </w:t>
      </w:r>
      <w:r w:rsidRPr="00D26F6F">
        <w:rPr>
          <w:sz w:val="22"/>
          <w:szCs w:val="22"/>
        </w:rPr>
        <w:t xml:space="preserve"> submitted that loan funds and Equity Funds of the Company being much less as compared to the new power plants of similar capacity,  the amount of interest on loans and Return on </w:t>
      </w:r>
      <w:r w:rsidR="006D4553">
        <w:rPr>
          <w:sz w:val="22"/>
          <w:szCs w:val="22"/>
        </w:rPr>
        <w:t>E</w:t>
      </w:r>
      <w:r w:rsidRPr="00D26F6F">
        <w:rPr>
          <w:sz w:val="22"/>
          <w:szCs w:val="22"/>
        </w:rPr>
        <w:t xml:space="preserve">quity </w:t>
      </w:r>
      <w:r>
        <w:rPr>
          <w:sz w:val="22"/>
          <w:szCs w:val="22"/>
        </w:rPr>
        <w:t xml:space="preserve">of the company </w:t>
      </w:r>
      <w:r w:rsidRPr="00D26F6F">
        <w:rPr>
          <w:sz w:val="22"/>
          <w:szCs w:val="22"/>
        </w:rPr>
        <w:t xml:space="preserve">are also much less as compared to the new power plants. </w:t>
      </w:r>
      <w:r>
        <w:rPr>
          <w:sz w:val="22"/>
          <w:szCs w:val="22"/>
        </w:rPr>
        <w:t xml:space="preserve"> </w:t>
      </w:r>
      <w:r w:rsidR="00B06032">
        <w:rPr>
          <w:sz w:val="22"/>
          <w:szCs w:val="22"/>
        </w:rPr>
        <w:t xml:space="preserve">Further </w:t>
      </w:r>
      <w:r>
        <w:rPr>
          <w:sz w:val="22"/>
          <w:szCs w:val="22"/>
        </w:rPr>
        <w:t xml:space="preserve">petitioner has made certain capital additions from FY </w:t>
      </w:r>
      <w:r w:rsidR="00D63267">
        <w:rPr>
          <w:sz w:val="22"/>
          <w:szCs w:val="22"/>
        </w:rPr>
        <w:t>2012-13 to</w:t>
      </w:r>
      <w:r w:rsidR="005839F1">
        <w:rPr>
          <w:sz w:val="22"/>
          <w:szCs w:val="22"/>
        </w:rPr>
        <w:t xml:space="preserve"> FY</w:t>
      </w:r>
      <w:r w:rsidR="00D63267">
        <w:rPr>
          <w:sz w:val="22"/>
          <w:szCs w:val="22"/>
        </w:rPr>
        <w:t xml:space="preserve"> 2014-15</w:t>
      </w:r>
      <w:r>
        <w:rPr>
          <w:sz w:val="22"/>
          <w:szCs w:val="22"/>
        </w:rPr>
        <w:t xml:space="preserve"> and projected the capital additions for FY </w:t>
      </w:r>
      <w:r w:rsidR="00D63267">
        <w:rPr>
          <w:sz w:val="22"/>
          <w:szCs w:val="22"/>
        </w:rPr>
        <w:t>2015-16</w:t>
      </w:r>
      <w:r>
        <w:rPr>
          <w:sz w:val="22"/>
          <w:szCs w:val="22"/>
        </w:rPr>
        <w:t xml:space="preserve">. The Hon’ble Commission has already approved the Capital additions from FY </w:t>
      </w:r>
      <w:r w:rsidR="00D63267">
        <w:rPr>
          <w:sz w:val="22"/>
          <w:szCs w:val="22"/>
        </w:rPr>
        <w:t>2012-13 to 2014-15</w:t>
      </w:r>
      <w:r>
        <w:rPr>
          <w:sz w:val="22"/>
          <w:szCs w:val="22"/>
        </w:rPr>
        <w:t>.</w:t>
      </w:r>
      <w:r w:rsidR="00D63267">
        <w:rPr>
          <w:sz w:val="22"/>
          <w:szCs w:val="22"/>
        </w:rPr>
        <w:t xml:space="preserve"> </w:t>
      </w:r>
      <w:r>
        <w:rPr>
          <w:sz w:val="22"/>
          <w:szCs w:val="22"/>
        </w:rPr>
        <w:t xml:space="preserve"> Besides, Company has incurred certain other capital </w:t>
      </w:r>
      <w:r>
        <w:rPr>
          <w:sz w:val="22"/>
          <w:szCs w:val="22"/>
        </w:rPr>
        <w:lastRenderedPageBreak/>
        <w:t xml:space="preserve">expenditure to meet the exigencies and for smooth operation of the Company. The Hon’ble Commission is requested to true- up the Capital additions made by the Company from FY </w:t>
      </w:r>
      <w:r w:rsidR="00D63267">
        <w:rPr>
          <w:sz w:val="22"/>
          <w:szCs w:val="22"/>
        </w:rPr>
        <w:t xml:space="preserve">2012-13 to 2014-15 </w:t>
      </w:r>
      <w:r>
        <w:rPr>
          <w:sz w:val="22"/>
          <w:szCs w:val="22"/>
        </w:rPr>
        <w:t xml:space="preserve">and approve the projections of capital additions for FY </w:t>
      </w:r>
      <w:r w:rsidR="00D63267">
        <w:rPr>
          <w:sz w:val="22"/>
          <w:szCs w:val="22"/>
        </w:rPr>
        <w:t>2015-16</w:t>
      </w:r>
      <w:r>
        <w:rPr>
          <w:sz w:val="22"/>
          <w:szCs w:val="22"/>
        </w:rPr>
        <w:t>.</w:t>
      </w:r>
    </w:p>
    <w:p w:rsidR="00014797" w:rsidRDefault="00014797" w:rsidP="00FA0131">
      <w:pPr>
        <w:spacing w:line="240" w:lineRule="auto"/>
        <w:rPr>
          <w:sz w:val="22"/>
          <w:szCs w:val="22"/>
        </w:rPr>
      </w:pPr>
    </w:p>
    <w:p w:rsidR="00D505A4" w:rsidRDefault="00D505A4" w:rsidP="00C76AA4">
      <w:pPr>
        <w:numPr>
          <w:ilvl w:val="0"/>
          <w:numId w:val="37"/>
        </w:numPr>
        <w:rPr>
          <w:b/>
          <w:bCs/>
          <w:sz w:val="22"/>
          <w:szCs w:val="22"/>
        </w:rPr>
      </w:pPr>
      <w:r>
        <w:rPr>
          <w:sz w:val="22"/>
          <w:szCs w:val="22"/>
        </w:rPr>
        <w:t xml:space="preserve">It is </w:t>
      </w:r>
      <w:r w:rsidR="00CE37D6">
        <w:rPr>
          <w:sz w:val="22"/>
          <w:szCs w:val="22"/>
        </w:rPr>
        <w:t>s</w:t>
      </w:r>
      <w:r>
        <w:rPr>
          <w:sz w:val="22"/>
          <w:szCs w:val="22"/>
        </w:rPr>
        <w:t xml:space="preserve">ubmitted that </w:t>
      </w:r>
      <w:r w:rsidRPr="00FB30FE">
        <w:rPr>
          <w:sz w:val="22"/>
          <w:szCs w:val="22"/>
        </w:rPr>
        <w:t xml:space="preserve">SLDC Delhi has been backing down the generation of the stations depending on the requirement of power in </w:t>
      </w:r>
      <w:smartTag w:uri="urn:schemas-microsoft-com:office:smarttags" w:element="place">
        <w:smartTag w:uri="urn:schemas-microsoft-com:office:smarttags" w:element="City">
          <w:r w:rsidRPr="00FB30FE">
            <w:rPr>
              <w:sz w:val="22"/>
              <w:szCs w:val="22"/>
            </w:rPr>
            <w:t>Delhi</w:t>
          </w:r>
        </w:smartTag>
      </w:smartTag>
      <w:r w:rsidRPr="00FB30FE">
        <w:rPr>
          <w:sz w:val="22"/>
          <w:szCs w:val="22"/>
        </w:rPr>
        <w:t xml:space="preserve">. </w:t>
      </w:r>
      <w:r w:rsidR="00CE37D6">
        <w:rPr>
          <w:sz w:val="22"/>
          <w:szCs w:val="22"/>
        </w:rPr>
        <w:t xml:space="preserve">The Gas Turbine Station </w:t>
      </w:r>
      <w:r w:rsidR="0041694A" w:rsidRPr="00FB30FE">
        <w:rPr>
          <w:sz w:val="22"/>
          <w:szCs w:val="22"/>
        </w:rPr>
        <w:t>consists</w:t>
      </w:r>
      <w:r w:rsidRPr="00FB30FE">
        <w:rPr>
          <w:sz w:val="22"/>
          <w:szCs w:val="22"/>
        </w:rPr>
        <w:t xml:space="preserve"> of three blocks. SLDC Delhi has been giving instructions to back down the blocks partially, thus resulting in non optimization of fuel consumption</w:t>
      </w:r>
      <w:r w:rsidR="00CE37D6">
        <w:rPr>
          <w:sz w:val="22"/>
          <w:szCs w:val="22"/>
        </w:rPr>
        <w:t xml:space="preserve"> and higher </w:t>
      </w:r>
      <w:r w:rsidR="005839F1">
        <w:rPr>
          <w:sz w:val="22"/>
          <w:szCs w:val="22"/>
        </w:rPr>
        <w:t>H</w:t>
      </w:r>
      <w:r w:rsidR="00CE37D6">
        <w:rPr>
          <w:sz w:val="22"/>
          <w:szCs w:val="22"/>
        </w:rPr>
        <w:t xml:space="preserve">eat </w:t>
      </w:r>
      <w:r w:rsidR="005839F1">
        <w:rPr>
          <w:sz w:val="22"/>
          <w:szCs w:val="22"/>
        </w:rPr>
        <w:t>R</w:t>
      </w:r>
      <w:r w:rsidR="00CE37D6">
        <w:rPr>
          <w:sz w:val="22"/>
          <w:szCs w:val="22"/>
        </w:rPr>
        <w:t>ate and Auxiliary Power Consumption</w:t>
      </w:r>
      <w:r w:rsidRPr="00FB30FE">
        <w:rPr>
          <w:sz w:val="22"/>
          <w:szCs w:val="22"/>
        </w:rPr>
        <w:t>.</w:t>
      </w:r>
      <w:r w:rsidR="0017691B">
        <w:rPr>
          <w:sz w:val="22"/>
          <w:szCs w:val="22"/>
        </w:rPr>
        <w:t xml:space="preserve"> </w:t>
      </w:r>
      <w:r w:rsidRPr="00097BC3">
        <w:rPr>
          <w:b/>
          <w:bCs/>
          <w:sz w:val="22"/>
          <w:szCs w:val="22"/>
        </w:rPr>
        <w:t>Therefore,</w:t>
      </w:r>
      <w:r w:rsidR="0017691B" w:rsidRPr="00097BC3">
        <w:rPr>
          <w:b/>
          <w:bCs/>
          <w:sz w:val="22"/>
          <w:szCs w:val="22"/>
        </w:rPr>
        <w:t xml:space="preserve"> </w:t>
      </w:r>
      <w:r w:rsidRPr="00097BC3">
        <w:rPr>
          <w:b/>
          <w:bCs/>
          <w:sz w:val="22"/>
          <w:szCs w:val="22"/>
        </w:rPr>
        <w:t xml:space="preserve">Hon’ble Commission is requested to </w:t>
      </w:r>
      <w:r w:rsidR="0017691B" w:rsidRPr="00097BC3">
        <w:rPr>
          <w:b/>
          <w:bCs/>
          <w:sz w:val="22"/>
          <w:szCs w:val="22"/>
        </w:rPr>
        <w:t xml:space="preserve">direct SLDC </w:t>
      </w:r>
      <w:smartTag w:uri="urn:schemas-microsoft-com:office:smarttags" w:element="place">
        <w:smartTag w:uri="urn:schemas-microsoft-com:office:smarttags" w:element="City">
          <w:r w:rsidR="0017691B" w:rsidRPr="00097BC3">
            <w:rPr>
              <w:b/>
              <w:bCs/>
              <w:sz w:val="22"/>
              <w:szCs w:val="22"/>
            </w:rPr>
            <w:t>Delhi</w:t>
          </w:r>
        </w:smartTag>
      </w:smartTag>
      <w:r w:rsidR="0017691B" w:rsidRPr="00097BC3">
        <w:rPr>
          <w:b/>
          <w:bCs/>
          <w:sz w:val="22"/>
          <w:szCs w:val="22"/>
        </w:rPr>
        <w:t xml:space="preserve"> to </w:t>
      </w:r>
      <w:r w:rsidRPr="00097BC3">
        <w:rPr>
          <w:b/>
          <w:bCs/>
          <w:sz w:val="22"/>
          <w:szCs w:val="22"/>
        </w:rPr>
        <w:t xml:space="preserve">back down </w:t>
      </w:r>
      <w:r w:rsidR="00B541B0" w:rsidRPr="00097BC3">
        <w:rPr>
          <w:b/>
          <w:bCs/>
          <w:sz w:val="22"/>
          <w:szCs w:val="22"/>
        </w:rPr>
        <w:t xml:space="preserve">any of the </w:t>
      </w:r>
      <w:r w:rsidRPr="00097BC3">
        <w:rPr>
          <w:b/>
          <w:bCs/>
          <w:sz w:val="22"/>
          <w:szCs w:val="22"/>
        </w:rPr>
        <w:t xml:space="preserve">complete block </w:t>
      </w:r>
      <w:r w:rsidR="0017691B" w:rsidRPr="00097BC3">
        <w:rPr>
          <w:b/>
          <w:bCs/>
          <w:sz w:val="22"/>
          <w:szCs w:val="22"/>
        </w:rPr>
        <w:t xml:space="preserve">of the station </w:t>
      </w:r>
      <w:r w:rsidRPr="00097BC3">
        <w:rPr>
          <w:b/>
          <w:bCs/>
          <w:sz w:val="22"/>
          <w:szCs w:val="22"/>
        </w:rPr>
        <w:t>only</w:t>
      </w:r>
      <w:r w:rsidR="00B541B0" w:rsidRPr="00097BC3">
        <w:rPr>
          <w:b/>
          <w:bCs/>
          <w:sz w:val="22"/>
          <w:szCs w:val="22"/>
        </w:rPr>
        <w:t xml:space="preserve"> and not partially</w:t>
      </w:r>
      <w:r w:rsidRPr="00097BC3">
        <w:rPr>
          <w:b/>
          <w:bCs/>
          <w:sz w:val="22"/>
          <w:szCs w:val="22"/>
        </w:rPr>
        <w:t xml:space="preserve">. Further, it is requested that </w:t>
      </w:r>
      <w:r w:rsidR="00B541B0" w:rsidRPr="00097BC3">
        <w:rPr>
          <w:b/>
          <w:bCs/>
          <w:sz w:val="22"/>
          <w:szCs w:val="22"/>
        </w:rPr>
        <w:t xml:space="preserve">frequent backing down </w:t>
      </w:r>
      <w:r w:rsidRPr="00097BC3">
        <w:rPr>
          <w:b/>
          <w:bCs/>
          <w:sz w:val="22"/>
          <w:szCs w:val="22"/>
        </w:rPr>
        <w:t>should not be</w:t>
      </w:r>
      <w:r w:rsidR="00B541B0" w:rsidRPr="00097BC3">
        <w:rPr>
          <w:b/>
          <w:bCs/>
          <w:sz w:val="22"/>
          <w:szCs w:val="22"/>
        </w:rPr>
        <w:t xml:space="preserve"> resorted by SLDC</w:t>
      </w:r>
      <w:r w:rsidRPr="00097BC3">
        <w:rPr>
          <w:b/>
          <w:bCs/>
          <w:sz w:val="22"/>
          <w:szCs w:val="22"/>
        </w:rPr>
        <w:t xml:space="preserve">. </w:t>
      </w:r>
    </w:p>
    <w:p w:rsidR="000917A6" w:rsidRDefault="000917A6" w:rsidP="000917A6">
      <w:pPr>
        <w:rPr>
          <w:b/>
          <w:bCs/>
          <w:sz w:val="22"/>
          <w:szCs w:val="22"/>
        </w:rPr>
      </w:pPr>
    </w:p>
    <w:p w:rsidR="000917A6" w:rsidRDefault="007C0FD2" w:rsidP="00C76AA4">
      <w:pPr>
        <w:numPr>
          <w:ilvl w:val="0"/>
          <w:numId w:val="37"/>
        </w:numPr>
        <w:rPr>
          <w:sz w:val="22"/>
          <w:szCs w:val="22"/>
        </w:rPr>
      </w:pPr>
      <w:r>
        <w:rPr>
          <w:sz w:val="22"/>
          <w:szCs w:val="22"/>
        </w:rPr>
        <w:t>As submitted</w:t>
      </w:r>
      <w:r w:rsidR="000917A6">
        <w:rPr>
          <w:sz w:val="22"/>
          <w:szCs w:val="22"/>
        </w:rPr>
        <w:t xml:space="preserve"> </w:t>
      </w:r>
      <w:r w:rsidR="00A32916">
        <w:rPr>
          <w:sz w:val="22"/>
          <w:szCs w:val="22"/>
        </w:rPr>
        <w:t>above</w:t>
      </w:r>
      <w:r w:rsidR="003B618D">
        <w:rPr>
          <w:sz w:val="22"/>
          <w:szCs w:val="22"/>
        </w:rPr>
        <w:t>,</w:t>
      </w:r>
      <w:r w:rsidR="000917A6">
        <w:rPr>
          <w:sz w:val="22"/>
          <w:szCs w:val="22"/>
        </w:rPr>
        <w:t xml:space="preserve"> </w:t>
      </w:r>
      <w:bookmarkStart w:id="8" w:name="OLE_LINK13"/>
      <w:bookmarkStart w:id="9" w:name="OLE_LINK14"/>
      <w:r w:rsidR="000917A6">
        <w:rPr>
          <w:sz w:val="22"/>
          <w:szCs w:val="22"/>
        </w:rPr>
        <w:t>Rajghat Power Station</w:t>
      </w:r>
      <w:bookmarkEnd w:id="8"/>
      <w:bookmarkEnd w:id="9"/>
      <w:r w:rsidR="000917A6">
        <w:rPr>
          <w:sz w:val="22"/>
          <w:szCs w:val="22"/>
        </w:rPr>
        <w:t xml:space="preserve"> is proposed to be closed down in near future.  In view of its proposed closure, no major repair and maintenance activities are being undertaken in the station and only need based maintenance is being carried out by the petitioner to keep the plant operational. The petitioner is filing the tariff petition for</w:t>
      </w:r>
      <w:r w:rsidR="000917A6" w:rsidRPr="0026426C">
        <w:rPr>
          <w:sz w:val="22"/>
          <w:szCs w:val="22"/>
        </w:rPr>
        <w:t xml:space="preserve"> </w:t>
      </w:r>
      <w:r w:rsidR="000917A6">
        <w:rPr>
          <w:sz w:val="22"/>
          <w:szCs w:val="22"/>
        </w:rPr>
        <w:t xml:space="preserve">Rajghat Power Station for </w:t>
      </w:r>
      <w:r w:rsidR="003B618D">
        <w:rPr>
          <w:sz w:val="22"/>
          <w:szCs w:val="22"/>
        </w:rPr>
        <w:t>further period</w:t>
      </w:r>
      <w:r w:rsidR="000917A6">
        <w:rPr>
          <w:sz w:val="22"/>
          <w:szCs w:val="22"/>
        </w:rPr>
        <w:t xml:space="preserve"> </w:t>
      </w:r>
      <w:r w:rsidR="003B618D">
        <w:rPr>
          <w:sz w:val="22"/>
          <w:szCs w:val="22"/>
        </w:rPr>
        <w:t xml:space="preserve">of </w:t>
      </w:r>
      <w:r w:rsidR="000917A6">
        <w:rPr>
          <w:sz w:val="22"/>
          <w:szCs w:val="22"/>
        </w:rPr>
        <w:t>FY 201</w:t>
      </w:r>
      <w:r w:rsidR="00422135">
        <w:rPr>
          <w:sz w:val="22"/>
          <w:szCs w:val="22"/>
        </w:rPr>
        <w:t>5</w:t>
      </w:r>
      <w:r w:rsidR="003B618D">
        <w:rPr>
          <w:sz w:val="22"/>
          <w:szCs w:val="22"/>
        </w:rPr>
        <w:t>-16</w:t>
      </w:r>
      <w:r w:rsidR="000917A6">
        <w:rPr>
          <w:sz w:val="22"/>
          <w:szCs w:val="22"/>
        </w:rPr>
        <w:t>, in view of uncertain date of its closure.  The petitioner prays for allowing the relaxed norms to the level of actual norm achieved by the station as a fait- accompli.</w:t>
      </w:r>
    </w:p>
    <w:p w:rsidR="00FF33C3" w:rsidRPr="00E507DF" w:rsidRDefault="00FF33C3" w:rsidP="005A39D4">
      <w:pPr>
        <w:ind w:left="1080"/>
        <w:rPr>
          <w:b/>
          <w:sz w:val="22"/>
          <w:szCs w:val="22"/>
        </w:rPr>
      </w:pPr>
    </w:p>
    <w:p w:rsidR="007C6534" w:rsidRDefault="00296BE6" w:rsidP="00C76AA4">
      <w:pPr>
        <w:numPr>
          <w:ilvl w:val="0"/>
          <w:numId w:val="37"/>
        </w:numPr>
        <w:rPr>
          <w:sz w:val="22"/>
          <w:szCs w:val="22"/>
        </w:rPr>
      </w:pPr>
      <w:r>
        <w:rPr>
          <w:sz w:val="22"/>
          <w:szCs w:val="22"/>
        </w:rPr>
        <w:t>The Hon’ble Commission has extended the principles of MYT control period FY</w:t>
      </w:r>
      <w:r w:rsidR="00804E79">
        <w:rPr>
          <w:sz w:val="22"/>
          <w:szCs w:val="22"/>
        </w:rPr>
        <w:t xml:space="preserve"> </w:t>
      </w:r>
      <w:r w:rsidR="00396604">
        <w:rPr>
          <w:sz w:val="22"/>
          <w:szCs w:val="22"/>
        </w:rPr>
        <w:t>2012-13 to 2014-15</w:t>
      </w:r>
      <w:r>
        <w:rPr>
          <w:sz w:val="22"/>
          <w:szCs w:val="22"/>
        </w:rPr>
        <w:t xml:space="preserve"> to the next FY </w:t>
      </w:r>
      <w:r w:rsidR="00396604">
        <w:rPr>
          <w:sz w:val="22"/>
          <w:szCs w:val="22"/>
        </w:rPr>
        <w:t>2015-16</w:t>
      </w:r>
      <w:r>
        <w:rPr>
          <w:sz w:val="22"/>
          <w:szCs w:val="22"/>
        </w:rPr>
        <w:t xml:space="preserve">. It is submitted that CERC has issued Central Electricity Regulatory Commission (Terms and Conditions of Tariff), Regulations, </w:t>
      </w:r>
      <w:r w:rsidR="00396604">
        <w:rPr>
          <w:sz w:val="22"/>
          <w:szCs w:val="22"/>
        </w:rPr>
        <w:t>2014</w:t>
      </w:r>
      <w:r>
        <w:rPr>
          <w:sz w:val="22"/>
          <w:szCs w:val="22"/>
        </w:rPr>
        <w:t xml:space="preserve">. The Central Commission has modified number of parameters in the regulations. DERC MYT Regulations were framed in </w:t>
      </w:r>
      <w:r w:rsidR="004A59D3">
        <w:rPr>
          <w:sz w:val="22"/>
          <w:szCs w:val="22"/>
        </w:rPr>
        <w:t xml:space="preserve">the </w:t>
      </w:r>
      <w:r>
        <w:rPr>
          <w:sz w:val="22"/>
          <w:szCs w:val="22"/>
        </w:rPr>
        <w:t>year 20</w:t>
      </w:r>
      <w:r w:rsidR="00396604">
        <w:rPr>
          <w:sz w:val="22"/>
          <w:szCs w:val="22"/>
        </w:rPr>
        <w:t>11</w:t>
      </w:r>
      <w:r>
        <w:rPr>
          <w:sz w:val="22"/>
          <w:szCs w:val="22"/>
        </w:rPr>
        <w:t xml:space="preserve"> for the </w:t>
      </w:r>
      <w:r w:rsidR="00AE740A">
        <w:rPr>
          <w:sz w:val="22"/>
          <w:szCs w:val="22"/>
        </w:rPr>
        <w:t>c</w:t>
      </w:r>
      <w:r>
        <w:rPr>
          <w:sz w:val="22"/>
          <w:szCs w:val="22"/>
        </w:rPr>
        <w:t xml:space="preserve">ontrol period from FY </w:t>
      </w:r>
      <w:r w:rsidR="00396604">
        <w:rPr>
          <w:sz w:val="22"/>
          <w:szCs w:val="22"/>
        </w:rPr>
        <w:t>2012-13 to</w:t>
      </w:r>
      <w:r w:rsidR="00D83CC7">
        <w:rPr>
          <w:sz w:val="22"/>
          <w:szCs w:val="22"/>
        </w:rPr>
        <w:t xml:space="preserve"> FY</w:t>
      </w:r>
      <w:r w:rsidR="00396604">
        <w:rPr>
          <w:sz w:val="22"/>
          <w:szCs w:val="22"/>
        </w:rPr>
        <w:t xml:space="preserve"> 2014-15</w:t>
      </w:r>
      <w:r>
        <w:rPr>
          <w:sz w:val="22"/>
          <w:szCs w:val="22"/>
        </w:rPr>
        <w:t>.</w:t>
      </w:r>
      <w:r w:rsidRPr="004B1BC2">
        <w:rPr>
          <w:sz w:val="22"/>
          <w:szCs w:val="22"/>
        </w:rPr>
        <w:t xml:space="preserve"> </w:t>
      </w:r>
      <w:r>
        <w:rPr>
          <w:sz w:val="22"/>
          <w:szCs w:val="22"/>
        </w:rPr>
        <w:t xml:space="preserve">It may be appreciated that various circumstances and applicable principles </w:t>
      </w:r>
      <w:r>
        <w:rPr>
          <w:sz w:val="22"/>
          <w:szCs w:val="22"/>
        </w:rPr>
        <w:lastRenderedPageBreak/>
        <w:t xml:space="preserve">have </w:t>
      </w:r>
      <w:r w:rsidR="00670932">
        <w:rPr>
          <w:sz w:val="22"/>
          <w:szCs w:val="22"/>
        </w:rPr>
        <w:t xml:space="preserve">now </w:t>
      </w:r>
      <w:r>
        <w:rPr>
          <w:sz w:val="22"/>
          <w:szCs w:val="22"/>
        </w:rPr>
        <w:t>changed. Hence, the principles as mentioned in the MYT Regu</w:t>
      </w:r>
      <w:r w:rsidR="00396604">
        <w:rPr>
          <w:sz w:val="22"/>
          <w:szCs w:val="22"/>
        </w:rPr>
        <w:t xml:space="preserve">lations </w:t>
      </w:r>
      <w:r w:rsidR="009C00C6">
        <w:rPr>
          <w:sz w:val="22"/>
          <w:szCs w:val="22"/>
        </w:rPr>
        <w:t>cannot</w:t>
      </w:r>
      <w:r w:rsidR="00396604">
        <w:rPr>
          <w:sz w:val="22"/>
          <w:szCs w:val="22"/>
        </w:rPr>
        <w:t xml:space="preserve"> be extended in T</w:t>
      </w:r>
      <w:r>
        <w:rPr>
          <w:sz w:val="22"/>
          <w:szCs w:val="22"/>
        </w:rPr>
        <w:t xml:space="preserve">oto for the financial year </w:t>
      </w:r>
      <w:r w:rsidR="00396604">
        <w:rPr>
          <w:sz w:val="22"/>
          <w:szCs w:val="22"/>
        </w:rPr>
        <w:t>2015-16</w:t>
      </w:r>
      <w:r>
        <w:rPr>
          <w:sz w:val="22"/>
          <w:szCs w:val="22"/>
        </w:rPr>
        <w:t xml:space="preserve">. </w:t>
      </w:r>
      <w:r w:rsidR="00481E2A">
        <w:rPr>
          <w:sz w:val="22"/>
          <w:szCs w:val="22"/>
        </w:rPr>
        <w:t>Among the tariff related provisions, the State Electricity Regulatory Commission (SERC) has to be guided by National Electricity Policy</w:t>
      </w:r>
      <w:r w:rsidR="00A5754D">
        <w:rPr>
          <w:sz w:val="22"/>
          <w:szCs w:val="22"/>
        </w:rPr>
        <w:t>, National</w:t>
      </w:r>
      <w:r w:rsidR="00481E2A">
        <w:rPr>
          <w:sz w:val="22"/>
          <w:szCs w:val="22"/>
        </w:rPr>
        <w:t xml:space="preserve"> Tariff Policy</w:t>
      </w:r>
      <w:r w:rsidR="00481E2A" w:rsidRPr="009C482D">
        <w:rPr>
          <w:sz w:val="22"/>
          <w:szCs w:val="22"/>
        </w:rPr>
        <w:t xml:space="preserve"> </w:t>
      </w:r>
      <w:r w:rsidR="00481E2A">
        <w:rPr>
          <w:sz w:val="22"/>
          <w:szCs w:val="22"/>
        </w:rPr>
        <w:t xml:space="preserve">and CERC Regulations. It is submitted that the extension of the principles of MYT Regulations for FY </w:t>
      </w:r>
      <w:r w:rsidR="00396604">
        <w:rPr>
          <w:sz w:val="22"/>
          <w:szCs w:val="22"/>
        </w:rPr>
        <w:t>2015-16</w:t>
      </w:r>
      <w:r w:rsidR="00481E2A">
        <w:rPr>
          <w:sz w:val="22"/>
          <w:szCs w:val="22"/>
        </w:rPr>
        <w:t xml:space="preserve"> </w:t>
      </w:r>
      <w:r w:rsidR="00396604">
        <w:rPr>
          <w:sz w:val="22"/>
          <w:szCs w:val="22"/>
        </w:rPr>
        <w:t>is</w:t>
      </w:r>
      <w:r w:rsidR="00481E2A">
        <w:rPr>
          <w:sz w:val="22"/>
          <w:szCs w:val="22"/>
        </w:rPr>
        <w:t xml:space="preserve"> detrimental to the interest of the Company</w:t>
      </w:r>
      <w:r w:rsidR="00890F82">
        <w:rPr>
          <w:sz w:val="22"/>
          <w:szCs w:val="22"/>
        </w:rPr>
        <w:t xml:space="preserve"> on number of aspects</w:t>
      </w:r>
      <w:r w:rsidR="00481E2A">
        <w:rPr>
          <w:sz w:val="22"/>
          <w:szCs w:val="22"/>
        </w:rPr>
        <w:t xml:space="preserve">. </w:t>
      </w:r>
      <w:r>
        <w:rPr>
          <w:sz w:val="22"/>
          <w:szCs w:val="22"/>
        </w:rPr>
        <w:t xml:space="preserve">It is prayed that the </w:t>
      </w:r>
      <w:r w:rsidR="00396604">
        <w:rPr>
          <w:sz w:val="22"/>
          <w:szCs w:val="22"/>
        </w:rPr>
        <w:t>norms for FY 2015-16</w:t>
      </w:r>
      <w:r>
        <w:rPr>
          <w:sz w:val="22"/>
          <w:szCs w:val="22"/>
        </w:rPr>
        <w:t xml:space="preserve"> may </w:t>
      </w:r>
      <w:r w:rsidR="00B4351A">
        <w:rPr>
          <w:sz w:val="22"/>
          <w:szCs w:val="22"/>
        </w:rPr>
        <w:t xml:space="preserve">kindly </w:t>
      </w:r>
      <w:r>
        <w:rPr>
          <w:sz w:val="22"/>
          <w:szCs w:val="22"/>
        </w:rPr>
        <w:t>be</w:t>
      </w:r>
      <w:r w:rsidR="00B4351A">
        <w:rPr>
          <w:sz w:val="22"/>
          <w:szCs w:val="22"/>
        </w:rPr>
        <w:t xml:space="preserve"> </w:t>
      </w:r>
      <w:r w:rsidR="00396604">
        <w:rPr>
          <w:sz w:val="22"/>
          <w:szCs w:val="22"/>
        </w:rPr>
        <w:t xml:space="preserve">taken </w:t>
      </w:r>
      <w:r>
        <w:rPr>
          <w:sz w:val="22"/>
          <w:szCs w:val="22"/>
        </w:rPr>
        <w:t xml:space="preserve">in </w:t>
      </w:r>
      <w:r w:rsidR="00396604">
        <w:rPr>
          <w:sz w:val="22"/>
          <w:szCs w:val="22"/>
        </w:rPr>
        <w:t xml:space="preserve">line with </w:t>
      </w:r>
      <w:r>
        <w:rPr>
          <w:sz w:val="22"/>
          <w:szCs w:val="22"/>
        </w:rPr>
        <w:t>new CERC Tariff Regulations</w:t>
      </w:r>
      <w:r w:rsidR="00396604">
        <w:rPr>
          <w:sz w:val="22"/>
          <w:szCs w:val="22"/>
        </w:rPr>
        <w:t xml:space="preserve"> 2014</w:t>
      </w:r>
      <w:r>
        <w:rPr>
          <w:sz w:val="22"/>
          <w:szCs w:val="22"/>
        </w:rPr>
        <w:t xml:space="preserve">. </w:t>
      </w:r>
    </w:p>
    <w:p w:rsidR="00B16F27" w:rsidRDefault="00B16F27" w:rsidP="00FA0131">
      <w:pPr>
        <w:spacing w:line="240" w:lineRule="auto"/>
        <w:rPr>
          <w:sz w:val="22"/>
          <w:szCs w:val="22"/>
        </w:rPr>
      </w:pPr>
    </w:p>
    <w:p w:rsidR="0095439C" w:rsidRDefault="00CF369F" w:rsidP="00C76AA4">
      <w:pPr>
        <w:numPr>
          <w:ilvl w:val="0"/>
          <w:numId w:val="37"/>
        </w:numPr>
        <w:rPr>
          <w:bCs/>
          <w:sz w:val="22"/>
          <w:szCs w:val="22"/>
        </w:rPr>
      </w:pPr>
      <w:r w:rsidRPr="00257840">
        <w:rPr>
          <w:bCs/>
          <w:sz w:val="22"/>
          <w:szCs w:val="22"/>
        </w:rPr>
        <w:t xml:space="preserve">The petitioner </w:t>
      </w:r>
      <w:r w:rsidR="00F010F5">
        <w:rPr>
          <w:bCs/>
          <w:sz w:val="22"/>
          <w:szCs w:val="22"/>
        </w:rPr>
        <w:t xml:space="preserve">prays to the Hon’ble </w:t>
      </w:r>
      <w:r w:rsidRPr="00257840">
        <w:rPr>
          <w:bCs/>
          <w:sz w:val="22"/>
          <w:szCs w:val="22"/>
        </w:rPr>
        <w:t xml:space="preserve">Commission to </w:t>
      </w:r>
      <w:r w:rsidR="00F010F5">
        <w:rPr>
          <w:bCs/>
          <w:sz w:val="22"/>
          <w:szCs w:val="22"/>
        </w:rPr>
        <w:t xml:space="preserve">consider and </w:t>
      </w:r>
      <w:r w:rsidR="00DF34CF" w:rsidRPr="00257840">
        <w:rPr>
          <w:bCs/>
          <w:sz w:val="22"/>
          <w:szCs w:val="22"/>
        </w:rPr>
        <w:t xml:space="preserve">relax </w:t>
      </w:r>
      <w:r w:rsidRPr="00257840">
        <w:rPr>
          <w:bCs/>
          <w:sz w:val="22"/>
          <w:szCs w:val="22"/>
        </w:rPr>
        <w:t>the operational and financial parameters</w:t>
      </w:r>
      <w:r w:rsidR="007030DC" w:rsidRPr="00257840">
        <w:rPr>
          <w:bCs/>
          <w:sz w:val="22"/>
          <w:szCs w:val="22"/>
        </w:rPr>
        <w:t xml:space="preserve"> </w:t>
      </w:r>
      <w:r w:rsidR="002653D4">
        <w:rPr>
          <w:bCs/>
          <w:sz w:val="22"/>
          <w:szCs w:val="22"/>
        </w:rPr>
        <w:t xml:space="preserve">as requested in the petition </w:t>
      </w:r>
      <w:r w:rsidR="00242BB8">
        <w:rPr>
          <w:bCs/>
          <w:sz w:val="22"/>
          <w:szCs w:val="22"/>
        </w:rPr>
        <w:t xml:space="preserve">as per </w:t>
      </w:r>
      <w:r w:rsidR="00284AB6" w:rsidRPr="009645D2">
        <w:rPr>
          <w:bCs/>
          <w:sz w:val="22"/>
          <w:szCs w:val="22"/>
        </w:rPr>
        <w:t>clause</w:t>
      </w:r>
      <w:r w:rsidR="00242BB8">
        <w:rPr>
          <w:bCs/>
          <w:sz w:val="22"/>
          <w:szCs w:val="22"/>
        </w:rPr>
        <w:t>s</w:t>
      </w:r>
      <w:r w:rsidR="00284AB6" w:rsidRPr="009645D2">
        <w:rPr>
          <w:bCs/>
          <w:sz w:val="22"/>
          <w:szCs w:val="22"/>
        </w:rPr>
        <w:t xml:space="preserve"> 7.5, 11.10, 11.14 of the MYT Regulations, </w:t>
      </w:r>
      <w:r w:rsidR="00342E7E">
        <w:rPr>
          <w:bCs/>
          <w:sz w:val="22"/>
          <w:szCs w:val="22"/>
        </w:rPr>
        <w:t>2011,</w:t>
      </w:r>
      <w:r w:rsidR="00284AB6" w:rsidRPr="009645D2">
        <w:rPr>
          <w:bCs/>
          <w:sz w:val="22"/>
          <w:szCs w:val="22"/>
        </w:rPr>
        <w:t xml:space="preserve"> </w:t>
      </w:r>
      <w:r w:rsidR="00F010F5" w:rsidRPr="009645D2">
        <w:rPr>
          <w:bCs/>
          <w:sz w:val="22"/>
          <w:szCs w:val="22"/>
        </w:rPr>
        <w:t>in view of i</w:t>
      </w:r>
      <w:r w:rsidR="00F010F5">
        <w:rPr>
          <w:bCs/>
          <w:sz w:val="22"/>
          <w:szCs w:val="22"/>
        </w:rPr>
        <w:t>ts practical difficulties which are beyond its control.</w:t>
      </w:r>
      <w:r w:rsidR="007030DC" w:rsidRPr="00257840">
        <w:rPr>
          <w:bCs/>
          <w:sz w:val="22"/>
          <w:szCs w:val="22"/>
        </w:rPr>
        <w:t xml:space="preserve"> </w:t>
      </w:r>
      <w:r w:rsidR="009645D2">
        <w:rPr>
          <w:bCs/>
          <w:sz w:val="22"/>
          <w:szCs w:val="22"/>
        </w:rPr>
        <w:t>The relevant clauses of the regulations are reproduced as under:</w:t>
      </w:r>
    </w:p>
    <w:p w:rsidR="00BE619A" w:rsidRPr="00E91EC6" w:rsidRDefault="008174CF" w:rsidP="00BE619A">
      <w:pPr>
        <w:ind w:left="1440"/>
        <w:rPr>
          <w:b/>
        </w:rPr>
      </w:pPr>
      <w:r>
        <w:rPr>
          <w:b/>
        </w:rPr>
        <w:t xml:space="preserve">Clauses of MYT Regulations, 2011 </w:t>
      </w:r>
    </w:p>
    <w:p w:rsidR="00BE619A" w:rsidRDefault="00BE619A" w:rsidP="00BE619A">
      <w:pPr>
        <w:ind w:left="2160" w:hanging="720"/>
        <w:rPr>
          <w:rFonts w:ascii="Trebuchet MS" w:hAnsi="Trebuchet MS"/>
          <w:b/>
          <w:bCs/>
          <w:i/>
          <w:iCs/>
          <w:sz w:val="22"/>
          <w:szCs w:val="22"/>
        </w:rPr>
      </w:pPr>
      <w:r w:rsidRPr="00A61AE4">
        <w:rPr>
          <w:rFonts w:ascii="Trebuchet MS" w:hAnsi="Trebuchet MS"/>
          <w:b/>
          <w:bCs/>
          <w:i/>
          <w:iCs/>
        </w:rPr>
        <w:t>“7.</w:t>
      </w:r>
      <w:r w:rsidRPr="00A61AE4">
        <w:rPr>
          <w:rFonts w:ascii="Trebuchet MS" w:hAnsi="Trebuchet MS"/>
          <w:b/>
          <w:bCs/>
          <w:i/>
          <w:iCs/>
          <w:sz w:val="22"/>
          <w:szCs w:val="22"/>
        </w:rPr>
        <w:t>5</w:t>
      </w:r>
      <w:r w:rsidRPr="00A61AE4">
        <w:rPr>
          <w:rFonts w:ascii="Trebuchet MS" w:hAnsi="Trebuchet MS"/>
          <w:b/>
          <w:bCs/>
          <w:i/>
          <w:iCs/>
          <w:sz w:val="22"/>
          <w:szCs w:val="22"/>
        </w:rPr>
        <w:tab/>
        <w:t xml:space="preserve">The Commission may prescribe relaxed operational norms including the norms of </w:t>
      </w:r>
      <w:r w:rsidR="00752FC5">
        <w:rPr>
          <w:rFonts w:ascii="Trebuchet MS" w:hAnsi="Trebuchet MS"/>
          <w:b/>
          <w:bCs/>
          <w:i/>
          <w:iCs/>
          <w:sz w:val="22"/>
          <w:szCs w:val="22"/>
        </w:rPr>
        <w:t xml:space="preserve">Normative Annual Plant Availability Factor contained </w:t>
      </w:r>
      <w:r w:rsidRPr="00A61AE4">
        <w:rPr>
          <w:rFonts w:ascii="Trebuchet MS" w:hAnsi="Trebuchet MS"/>
          <w:b/>
          <w:bCs/>
          <w:i/>
          <w:iCs/>
          <w:sz w:val="22"/>
          <w:szCs w:val="22"/>
        </w:rPr>
        <w:t xml:space="preserve"> in these Regulations for a generating station</w:t>
      </w:r>
      <w:r w:rsidR="00752FC5">
        <w:rPr>
          <w:rFonts w:ascii="Trebuchet MS" w:hAnsi="Trebuchet MS"/>
          <w:b/>
          <w:bCs/>
          <w:i/>
          <w:iCs/>
          <w:sz w:val="22"/>
          <w:szCs w:val="22"/>
        </w:rPr>
        <w:t>,</w:t>
      </w:r>
      <w:r w:rsidRPr="00A61AE4">
        <w:rPr>
          <w:rFonts w:ascii="Trebuchet MS" w:hAnsi="Trebuchet MS"/>
          <w:b/>
          <w:bCs/>
          <w:i/>
          <w:iCs/>
          <w:sz w:val="22"/>
          <w:szCs w:val="22"/>
        </w:rPr>
        <w:t xml:space="preserve"> and these relaxed norms shall be applicable for determination of tariff for such generating station during the Control Period.</w:t>
      </w:r>
    </w:p>
    <w:p w:rsidR="00190BEC" w:rsidRPr="00A61AE4" w:rsidRDefault="00190BEC" w:rsidP="00BE619A">
      <w:pPr>
        <w:ind w:left="2160" w:hanging="720"/>
        <w:rPr>
          <w:rFonts w:ascii="Trebuchet MS" w:hAnsi="Trebuchet MS"/>
          <w:b/>
          <w:bCs/>
          <w:i/>
          <w:iCs/>
          <w:sz w:val="22"/>
          <w:szCs w:val="22"/>
        </w:rPr>
      </w:pPr>
    </w:p>
    <w:p w:rsidR="00BE619A" w:rsidRPr="00E91EC6" w:rsidRDefault="00BE619A" w:rsidP="00BE619A">
      <w:pPr>
        <w:ind w:left="720" w:hanging="720"/>
        <w:rPr>
          <w:rFonts w:ascii="Trebuchet MS" w:hAnsi="Trebuchet MS"/>
          <w:b/>
          <w:bCs/>
          <w:i/>
          <w:iCs/>
        </w:rPr>
      </w:pPr>
      <w:r w:rsidRPr="00A61AE4">
        <w:rPr>
          <w:rFonts w:ascii="Trebuchet MS" w:hAnsi="Trebuchet MS"/>
          <w:b/>
          <w:bCs/>
          <w:i/>
          <w:iCs/>
          <w:sz w:val="22"/>
          <w:szCs w:val="22"/>
        </w:rPr>
        <w:t xml:space="preserve"> </w:t>
      </w:r>
      <w:r w:rsidRPr="00A61AE4">
        <w:rPr>
          <w:rFonts w:ascii="Trebuchet MS" w:hAnsi="Trebuchet MS"/>
          <w:b/>
          <w:bCs/>
          <w:i/>
          <w:iCs/>
          <w:sz w:val="22"/>
          <w:szCs w:val="22"/>
        </w:rPr>
        <w:tab/>
      </w:r>
      <w:r w:rsidRPr="00A61AE4">
        <w:rPr>
          <w:rFonts w:ascii="Trebuchet MS" w:hAnsi="Trebuchet MS"/>
          <w:b/>
          <w:bCs/>
          <w:i/>
          <w:iCs/>
          <w:sz w:val="22"/>
          <w:szCs w:val="22"/>
        </w:rPr>
        <w:tab/>
      </w:r>
      <w:r w:rsidRPr="00E91EC6">
        <w:rPr>
          <w:rFonts w:ascii="Trebuchet MS" w:hAnsi="Trebuchet MS"/>
          <w:b/>
          <w:bCs/>
          <w:i/>
          <w:iCs/>
        </w:rPr>
        <w:t xml:space="preserve">Power of Relaxation </w:t>
      </w:r>
    </w:p>
    <w:p w:rsidR="00BE619A" w:rsidRPr="0032216A" w:rsidRDefault="00BE619A" w:rsidP="0032216A">
      <w:pPr>
        <w:pStyle w:val="ListParagraph"/>
        <w:numPr>
          <w:ilvl w:val="1"/>
          <w:numId w:val="34"/>
        </w:numPr>
        <w:spacing w:line="360" w:lineRule="auto"/>
        <w:ind w:left="2160" w:hanging="720"/>
        <w:jc w:val="both"/>
        <w:rPr>
          <w:rFonts w:ascii="Trebuchet MS" w:hAnsi="Trebuchet MS"/>
          <w:b/>
          <w:bCs/>
          <w:i/>
          <w:iCs/>
          <w:sz w:val="22"/>
          <w:szCs w:val="22"/>
        </w:rPr>
      </w:pPr>
      <w:r w:rsidRPr="0032216A">
        <w:rPr>
          <w:rFonts w:ascii="Trebuchet MS" w:hAnsi="Trebuchet MS"/>
          <w:b/>
          <w:bCs/>
          <w:i/>
          <w:iCs/>
          <w:sz w:val="22"/>
          <w:szCs w:val="22"/>
        </w:rPr>
        <w:t>The Commission may in public interest and for reason to be</w:t>
      </w:r>
      <w:r w:rsidR="0032216A">
        <w:rPr>
          <w:rFonts w:ascii="Trebuchet MS" w:hAnsi="Trebuchet MS"/>
          <w:b/>
          <w:bCs/>
          <w:i/>
          <w:iCs/>
          <w:sz w:val="22"/>
          <w:szCs w:val="22"/>
        </w:rPr>
        <w:t xml:space="preserve"> </w:t>
      </w:r>
      <w:r w:rsidRPr="0032216A">
        <w:rPr>
          <w:rFonts w:ascii="Trebuchet MS" w:hAnsi="Trebuchet MS"/>
          <w:b/>
          <w:bCs/>
          <w:i/>
          <w:iCs/>
          <w:sz w:val="22"/>
          <w:szCs w:val="22"/>
        </w:rPr>
        <w:t>recorded in writing, relax any of the provision of these</w:t>
      </w:r>
      <w:r w:rsidR="0032216A" w:rsidRPr="0032216A">
        <w:rPr>
          <w:rFonts w:ascii="Trebuchet MS" w:hAnsi="Trebuchet MS"/>
          <w:b/>
          <w:bCs/>
          <w:i/>
          <w:iCs/>
          <w:sz w:val="22"/>
          <w:szCs w:val="22"/>
        </w:rPr>
        <w:t xml:space="preserve"> </w:t>
      </w:r>
      <w:r w:rsidRPr="0032216A">
        <w:rPr>
          <w:rFonts w:ascii="Trebuchet MS" w:hAnsi="Trebuchet MS"/>
          <w:b/>
          <w:bCs/>
          <w:i/>
          <w:iCs/>
          <w:sz w:val="22"/>
          <w:szCs w:val="22"/>
        </w:rPr>
        <w:t xml:space="preserve">Regulations. </w:t>
      </w:r>
    </w:p>
    <w:p w:rsidR="00FA0131" w:rsidRPr="00A61AE4" w:rsidRDefault="00FA0131" w:rsidP="00E91EC6">
      <w:pPr>
        <w:rPr>
          <w:rFonts w:ascii="Trebuchet MS" w:hAnsi="Trebuchet MS"/>
          <w:b/>
          <w:bCs/>
          <w:i/>
          <w:iCs/>
          <w:sz w:val="22"/>
          <w:szCs w:val="22"/>
        </w:rPr>
      </w:pPr>
    </w:p>
    <w:p w:rsidR="00BE619A" w:rsidRPr="00E91EC6" w:rsidRDefault="00BE619A" w:rsidP="00BE619A">
      <w:pPr>
        <w:ind w:left="720" w:hanging="720"/>
        <w:rPr>
          <w:rFonts w:ascii="Trebuchet MS" w:hAnsi="Trebuchet MS"/>
          <w:b/>
          <w:bCs/>
          <w:i/>
          <w:iCs/>
        </w:rPr>
      </w:pPr>
      <w:r w:rsidRPr="00A61AE4">
        <w:rPr>
          <w:rFonts w:ascii="Trebuchet MS" w:hAnsi="Trebuchet MS"/>
          <w:b/>
          <w:bCs/>
          <w:i/>
          <w:iCs/>
          <w:sz w:val="22"/>
          <w:szCs w:val="22"/>
        </w:rPr>
        <w:tab/>
      </w:r>
      <w:r w:rsidRPr="00A61AE4">
        <w:rPr>
          <w:rFonts w:ascii="Trebuchet MS" w:hAnsi="Trebuchet MS"/>
          <w:b/>
          <w:bCs/>
          <w:i/>
          <w:iCs/>
          <w:sz w:val="22"/>
          <w:szCs w:val="22"/>
        </w:rPr>
        <w:tab/>
      </w:r>
      <w:r w:rsidRPr="00E91EC6">
        <w:rPr>
          <w:rFonts w:ascii="Trebuchet MS" w:hAnsi="Trebuchet MS"/>
          <w:b/>
          <w:bCs/>
          <w:i/>
          <w:iCs/>
        </w:rPr>
        <w:t>Power to Amend</w:t>
      </w:r>
    </w:p>
    <w:p w:rsidR="00BE619A" w:rsidRPr="00A61AE4" w:rsidRDefault="0032216A" w:rsidP="00BE619A">
      <w:pPr>
        <w:ind w:left="2160" w:hanging="720"/>
        <w:rPr>
          <w:rFonts w:ascii="Trebuchet MS" w:hAnsi="Trebuchet MS"/>
          <w:b/>
          <w:bCs/>
          <w:i/>
          <w:iCs/>
          <w:sz w:val="22"/>
          <w:szCs w:val="22"/>
        </w:rPr>
      </w:pPr>
      <w:r>
        <w:rPr>
          <w:rFonts w:ascii="Trebuchet MS" w:hAnsi="Trebuchet MS"/>
          <w:b/>
          <w:bCs/>
          <w:i/>
          <w:iCs/>
          <w:sz w:val="22"/>
          <w:szCs w:val="22"/>
        </w:rPr>
        <w:t>11.14</w:t>
      </w:r>
      <w:r>
        <w:rPr>
          <w:rFonts w:ascii="Trebuchet MS" w:hAnsi="Trebuchet MS"/>
          <w:b/>
          <w:bCs/>
          <w:i/>
          <w:iCs/>
          <w:sz w:val="22"/>
          <w:szCs w:val="22"/>
        </w:rPr>
        <w:tab/>
      </w:r>
      <w:r w:rsidR="00BE619A" w:rsidRPr="00A61AE4">
        <w:rPr>
          <w:rFonts w:ascii="Trebuchet MS" w:hAnsi="Trebuchet MS"/>
          <w:b/>
          <w:bCs/>
          <w:i/>
          <w:iCs/>
          <w:sz w:val="22"/>
          <w:szCs w:val="22"/>
        </w:rPr>
        <w:t>The Commission, for reason</w:t>
      </w:r>
      <w:r w:rsidR="00776F14">
        <w:rPr>
          <w:rFonts w:ascii="Trebuchet MS" w:hAnsi="Trebuchet MS"/>
          <w:b/>
          <w:bCs/>
          <w:i/>
          <w:iCs/>
          <w:sz w:val="22"/>
          <w:szCs w:val="22"/>
        </w:rPr>
        <w:t>s</w:t>
      </w:r>
      <w:r w:rsidR="00BE619A" w:rsidRPr="00A61AE4">
        <w:rPr>
          <w:rFonts w:ascii="Trebuchet MS" w:hAnsi="Trebuchet MS"/>
          <w:b/>
          <w:bCs/>
          <w:i/>
          <w:iCs/>
          <w:sz w:val="22"/>
          <w:szCs w:val="22"/>
        </w:rPr>
        <w:t xml:space="preserve"> to be recorded in writing, may at any time vary, alter or modify any of the provision of these Regulations by amendment.”</w:t>
      </w:r>
    </w:p>
    <w:p w:rsidR="007749E2" w:rsidRDefault="007749E2" w:rsidP="00C671EA">
      <w:pPr>
        <w:rPr>
          <w:b/>
          <w:sz w:val="22"/>
          <w:szCs w:val="22"/>
        </w:rPr>
      </w:pPr>
    </w:p>
    <w:p w:rsidR="006F5AD2" w:rsidRDefault="006F5AD2" w:rsidP="00C671EA">
      <w:pPr>
        <w:rPr>
          <w:b/>
          <w:sz w:val="22"/>
          <w:szCs w:val="22"/>
        </w:rPr>
      </w:pPr>
    </w:p>
    <w:p w:rsidR="006F5AD2" w:rsidRDefault="006F5AD2" w:rsidP="006F5AD2">
      <w:pPr>
        <w:spacing w:line="240" w:lineRule="auto"/>
        <w:rPr>
          <w:b/>
          <w:sz w:val="22"/>
          <w:szCs w:val="22"/>
        </w:rPr>
      </w:pPr>
    </w:p>
    <w:p w:rsidR="0095439C" w:rsidRDefault="0095439C">
      <w:pPr>
        <w:pStyle w:val="Heading1"/>
        <w:jc w:val="center"/>
      </w:pPr>
      <w:bookmarkStart w:id="10" w:name="_Ref146456383"/>
      <w:bookmarkStart w:id="11" w:name="_Toc411605247"/>
      <w:r>
        <w:t>: Estimation of Plant wise Variable &amp; Fixed Cost</w:t>
      </w:r>
      <w:bookmarkEnd w:id="10"/>
      <w:bookmarkEnd w:id="11"/>
    </w:p>
    <w:p w:rsidR="00C43BF7" w:rsidRDefault="00C43BF7" w:rsidP="00C43BF7">
      <w:pPr>
        <w:rPr>
          <w:sz w:val="22"/>
          <w:szCs w:val="22"/>
        </w:rPr>
      </w:pPr>
    </w:p>
    <w:p w:rsidR="00C43BF7" w:rsidRDefault="00C43BF7" w:rsidP="005925C7">
      <w:pPr>
        <w:pStyle w:val="StyleHeading216ptJustifiedLinespacing15lines"/>
        <w:numPr>
          <w:ilvl w:val="1"/>
          <w:numId w:val="12"/>
        </w:numPr>
        <w:tabs>
          <w:tab w:val="clear" w:pos="360"/>
          <w:tab w:val="num" w:pos="540"/>
        </w:tabs>
        <w:rPr>
          <w:color w:val="000080"/>
        </w:rPr>
      </w:pPr>
      <w:bookmarkStart w:id="12" w:name="_Toc173941676"/>
      <w:bookmarkStart w:id="13" w:name="_Toc411605248"/>
      <w:r>
        <w:rPr>
          <w:color w:val="000080"/>
        </w:rPr>
        <w:t>Estimation of Variable Cost</w:t>
      </w:r>
      <w:bookmarkEnd w:id="12"/>
      <w:bookmarkEnd w:id="13"/>
      <w:r>
        <w:rPr>
          <w:color w:val="000080"/>
        </w:rPr>
        <w:t xml:space="preserve"> </w:t>
      </w:r>
    </w:p>
    <w:p w:rsidR="00C43BF7" w:rsidRDefault="00C43BF7" w:rsidP="00C43BF7">
      <w:pPr>
        <w:pStyle w:val="Heading3"/>
        <w:rPr>
          <w:rFonts w:ascii="Century Gothic" w:hAnsi="Century Gothic"/>
          <w:sz w:val="22"/>
          <w:szCs w:val="22"/>
        </w:rPr>
      </w:pPr>
      <w:bookmarkStart w:id="14" w:name="_Toc173941677"/>
      <w:bookmarkStart w:id="15" w:name="_Toc411605249"/>
      <w:r>
        <w:rPr>
          <w:rFonts w:ascii="Century Gothic" w:hAnsi="Century Gothic"/>
          <w:sz w:val="22"/>
          <w:szCs w:val="22"/>
        </w:rPr>
        <w:t>3.1.1</w:t>
      </w:r>
      <w:r>
        <w:rPr>
          <w:rFonts w:ascii="Century Gothic" w:hAnsi="Century Gothic"/>
          <w:sz w:val="22"/>
          <w:szCs w:val="22"/>
        </w:rPr>
        <w:tab/>
        <w:t>Norms for Operation</w:t>
      </w:r>
      <w:bookmarkEnd w:id="14"/>
      <w:bookmarkEnd w:id="15"/>
    </w:p>
    <w:p w:rsidR="004A702D" w:rsidRDefault="004A702D" w:rsidP="004A702D">
      <w:pPr>
        <w:rPr>
          <w:sz w:val="22"/>
          <w:szCs w:val="22"/>
        </w:rPr>
      </w:pPr>
      <w:r>
        <w:rPr>
          <w:sz w:val="22"/>
          <w:szCs w:val="22"/>
        </w:rPr>
        <w:t xml:space="preserve">Petitioner has taken into consideration actual performance parameters for FY </w:t>
      </w:r>
      <w:r w:rsidR="00C00E62">
        <w:rPr>
          <w:sz w:val="22"/>
          <w:szCs w:val="22"/>
        </w:rPr>
        <w:t>2012-13 to 2014-</w:t>
      </w:r>
      <w:r w:rsidR="000866C7">
        <w:rPr>
          <w:sz w:val="22"/>
          <w:szCs w:val="22"/>
        </w:rPr>
        <w:t>15 and</w:t>
      </w:r>
      <w:r>
        <w:rPr>
          <w:sz w:val="22"/>
          <w:szCs w:val="22"/>
        </w:rPr>
        <w:t xml:space="preserve"> based on these, petitioner has projected the parameters for </w:t>
      </w:r>
      <w:r w:rsidR="00C00E62">
        <w:rPr>
          <w:sz w:val="22"/>
          <w:szCs w:val="22"/>
        </w:rPr>
        <w:t>FY 2015-16</w:t>
      </w:r>
      <w:r>
        <w:rPr>
          <w:sz w:val="22"/>
          <w:szCs w:val="22"/>
        </w:rPr>
        <w:t xml:space="preserve">.  </w:t>
      </w:r>
    </w:p>
    <w:p w:rsidR="007A15A3" w:rsidRDefault="007A15A3" w:rsidP="004A702D">
      <w:pPr>
        <w:rPr>
          <w:sz w:val="22"/>
          <w:szCs w:val="22"/>
        </w:rPr>
      </w:pPr>
    </w:p>
    <w:p w:rsidR="00042273" w:rsidRDefault="00414A48" w:rsidP="000B584C">
      <w:pPr>
        <w:rPr>
          <w:u w:val="single"/>
        </w:rPr>
      </w:pPr>
      <w:r>
        <w:rPr>
          <w:sz w:val="22"/>
          <w:szCs w:val="22"/>
        </w:rPr>
        <w:t>Petitioner</w:t>
      </w:r>
      <w:r w:rsidR="00E81E6A">
        <w:rPr>
          <w:sz w:val="22"/>
          <w:szCs w:val="22"/>
        </w:rPr>
        <w:t xml:space="preserve"> request</w:t>
      </w:r>
      <w:r>
        <w:rPr>
          <w:sz w:val="22"/>
          <w:szCs w:val="22"/>
        </w:rPr>
        <w:t>s</w:t>
      </w:r>
      <w:r w:rsidR="00E81E6A">
        <w:rPr>
          <w:sz w:val="22"/>
          <w:szCs w:val="22"/>
        </w:rPr>
        <w:t xml:space="preserve"> the Hon’ble Commission to take lenient and practical view </w:t>
      </w:r>
      <w:r>
        <w:rPr>
          <w:sz w:val="22"/>
          <w:szCs w:val="22"/>
        </w:rPr>
        <w:t xml:space="preserve">while truing up for the period </w:t>
      </w:r>
      <w:r w:rsidR="00687BC8">
        <w:rPr>
          <w:sz w:val="22"/>
          <w:szCs w:val="22"/>
        </w:rPr>
        <w:t>FY 2012-13 to 2013</w:t>
      </w:r>
      <w:r w:rsidR="000B584C">
        <w:rPr>
          <w:sz w:val="22"/>
          <w:szCs w:val="22"/>
        </w:rPr>
        <w:t>-1</w:t>
      </w:r>
      <w:r w:rsidR="00687BC8">
        <w:rPr>
          <w:sz w:val="22"/>
          <w:szCs w:val="22"/>
        </w:rPr>
        <w:t xml:space="preserve">4, </w:t>
      </w:r>
      <w:r w:rsidR="00FC724F">
        <w:rPr>
          <w:sz w:val="22"/>
          <w:szCs w:val="22"/>
        </w:rPr>
        <w:t>approval of</w:t>
      </w:r>
      <w:r w:rsidR="009E7D81">
        <w:rPr>
          <w:sz w:val="22"/>
          <w:szCs w:val="22"/>
        </w:rPr>
        <w:t xml:space="preserve"> </w:t>
      </w:r>
      <w:r w:rsidR="00687BC8">
        <w:rPr>
          <w:sz w:val="22"/>
          <w:szCs w:val="22"/>
        </w:rPr>
        <w:t xml:space="preserve">revised estimates for FY 2014-15 </w:t>
      </w:r>
      <w:r>
        <w:rPr>
          <w:sz w:val="22"/>
          <w:szCs w:val="22"/>
        </w:rPr>
        <w:t xml:space="preserve">and </w:t>
      </w:r>
      <w:r w:rsidR="00E81E6A">
        <w:rPr>
          <w:sz w:val="22"/>
          <w:szCs w:val="22"/>
        </w:rPr>
        <w:t xml:space="preserve">fixing the operational targets </w:t>
      </w:r>
      <w:r w:rsidR="004A702D">
        <w:rPr>
          <w:sz w:val="22"/>
          <w:szCs w:val="22"/>
        </w:rPr>
        <w:t xml:space="preserve">for Control Period FY </w:t>
      </w:r>
      <w:r w:rsidR="000B584C">
        <w:rPr>
          <w:sz w:val="22"/>
          <w:szCs w:val="22"/>
        </w:rPr>
        <w:t>2015-16</w:t>
      </w:r>
      <w:r w:rsidR="004A702D">
        <w:rPr>
          <w:sz w:val="22"/>
          <w:szCs w:val="22"/>
        </w:rPr>
        <w:t xml:space="preserve">, </w:t>
      </w:r>
      <w:r w:rsidR="00E81E6A">
        <w:rPr>
          <w:sz w:val="22"/>
          <w:szCs w:val="22"/>
        </w:rPr>
        <w:t xml:space="preserve">considering the factors </w:t>
      </w:r>
      <w:r w:rsidR="00FC724F">
        <w:rPr>
          <w:sz w:val="22"/>
          <w:szCs w:val="22"/>
        </w:rPr>
        <w:t>of technological</w:t>
      </w:r>
      <w:r w:rsidR="00E81E6A" w:rsidRPr="006323B5">
        <w:rPr>
          <w:sz w:val="22"/>
          <w:szCs w:val="22"/>
        </w:rPr>
        <w:t xml:space="preserve"> </w:t>
      </w:r>
      <w:r w:rsidR="00103E60" w:rsidRPr="006323B5">
        <w:rPr>
          <w:sz w:val="22"/>
          <w:szCs w:val="22"/>
        </w:rPr>
        <w:t>obsole</w:t>
      </w:r>
      <w:r w:rsidR="00103E60">
        <w:rPr>
          <w:sz w:val="22"/>
          <w:szCs w:val="22"/>
        </w:rPr>
        <w:t>s</w:t>
      </w:r>
      <w:r w:rsidR="00103E60" w:rsidRPr="006323B5">
        <w:rPr>
          <w:sz w:val="22"/>
          <w:szCs w:val="22"/>
        </w:rPr>
        <w:t>cence</w:t>
      </w:r>
      <w:r w:rsidR="002C1B80">
        <w:rPr>
          <w:sz w:val="22"/>
          <w:szCs w:val="22"/>
        </w:rPr>
        <w:t>,</w:t>
      </w:r>
      <w:r w:rsidR="00E81E6A" w:rsidRPr="006323B5">
        <w:rPr>
          <w:sz w:val="22"/>
          <w:szCs w:val="22"/>
        </w:rPr>
        <w:t xml:space="preserve"> aging of the station</w:t>
      </w:r>
      <w:r w:rsidR="00E81E6A">
        <w:rPr>
          <w:sz w:val="22"/>
          <w:szCs w:val="22"/>
        </w:rPr>
        <w:t>s</w:t>
      </w:r>
      <w:r w:rsidR="002C1B80">
        <w:rPr>
          <w:sz w:val="22"/>
          <w:szCs w:val="22"/>
        </w:rPr>
        <w:t xml:space="preserve"> and principles considered by Hon’ble CERC </w:t>
      </w:r>
      <w:r w:rsidR="000B584C">
        <w:rPr>
          <w:sz w:val="22"/>
          <w:szCs w:val="22"/>
        </w:rPr>
        <w:t>in its tariff regulation</w:t>
      </w:r>
      <w:r w:rsidR="009E7D81">
        <w:rPr>
          <w:sz w:val="22"/>
          <w:szCs w:val="22"/>
        </w:rPr>
        <w:t>-</w:t>
      </w:r>
      <w:r w:rsidR="00FC724F">
        <w:rPr>
          <w:sz w:val="22"/>
          <w:szCs w:val="22"/>
        </w:rPr>
        <w:t>2014 for MYT</w:t>
      </w:r>
      <w:r w:rsidR="000866C7">
        <w:rPr>
          <w:sz w:val="22"/>
          <w:szCs w:val="22"/>
        </w:rPr>
        <w:t xml:space="preserve"> </w:t>
      </w:r>
      <w:r w:rsidR="00FC724F">
        <w:rPr>
          <w:sz w:val="22"/>
          <w:szCs w:val="22"/>
        </w:rPr>
        <w:t>Year From</w:t>
      </w:r>
      <w:r w:rsidR="000866C7">
        <w:rPr>
          <w:sz w:val="22"/>
          <w:szCs w:val="22"/>
        </w:rPr>
        <w:t xml:space="preserve"> FY </w:t>
      </w:r>
      <w:r w:rsidR="000B584C">
        <w:rPr>
          <w:sz w:val="22"/>
          <w:szCs w:val="22"/>
        </w:rPr>
        <w:t>2014</w:t>
      </w:r>
      <w:r w:rsidR="000866C7">
        <w:rPr>
          <w:sz w:val="22"/>
          <w:szCs w:val="22"/>
        </w:rPr>
        <w:t>-15 to FY 2018-1</w:t>
      </w:r>
      <w:r w:rsidR="000B584C">
        <w:rPr>
          <w:sz w:val="22"/>
          <w:szCs w:val="22"/>
        </w:rPr>
        <w:t>9</w:t>
      </w:r>
      <w:r w:rsidR="00E81E6A">
        <w:rPr>
          <w:sz w:val="22"/>
          <w:szCs w:val="22"/>
        </w:rPr>
        <w:t>.</w:t>
      </w:r>
      <w:r w:rsidR="00D15485">
        <w:rPr>
          <w:sz w:val="22"/>
          <w:szCs w:val="22"/>
        </w:rPr>
        <w:t xml:space="preserve"> </w:t>
      </w:r>
    </w:p>
    <w:p w:rsidR="00362F68" w:rsidRDefault="00362F68" w:rsidP="006F5AD2">
      <w:pPr>
        <w:pStyle w:val="Heading6"/>
        <w:numPr>
          <w:ilvl w:val="0"/>
          <w:numId w:val="0"/>
        </w:numPr>
        <w:spacing w:before="0" w:after="0" w:line="240" w:lineRule="auto"/>
        <w:rPr>
          <w:u w:val="single"/>
        </w:rPr>
      </w:pPr>
    </w:p>
    <w:p w:rsidR="00513903" w:rsidRDefault="00513903" w:rsidP="00513903">
      <w:pPr>
        <w:pStyle w:val="Heading6"/>
        <w:numPr>
          <w:ilvl w:val="0"/>
          <w:numId w:val="0"/>
        </w:numPr>
        <w:spacing w:before="0" w:after="0"/>
        <w:rPr>
          <w:u w:val="single"/>
        </w:rPr>
      </w:pPr>
      <w:r>
        <w:rPr>
          <w:u w:val="single"/>
        </w:rPr>
        <w:t>Availability</w:t>
      </w:r>
    </w:p>
    <w:p w:rsidR="00513903" w:rsidRDefault="005A1351" w:rsidP="00513903">
      <w:pPr>
        <w:rPr>
          <w:sz w:val="22"/>
          <w:szCs w:val="26"/>
        </w:rPr>
      </w:pPr>
      <w:r>
        <w:rPr>
          <w:sz w:val="22"/>
          <w:szCs w:val="22"/>
        </w:rPr>
        <w:t>The actual &amp; proposed Availability parameters for various stations of IPGCL</w:t>
      </w:r>
      <w:r w:rsidRPr="004E1D8D">
        <w:rPr>
          <w:sz w:val="22"/>
          <w:szCs w:val="22"/>
        </w:rPr>
        <w:t xml:space="preserve"> </w:t>
      </w:r>
      <w:r>
        <w:rPr>
          <w:sz w:val="22"/>
          <w:szCs w:val="22"/>
        </w:rPr>
        <w:t xml:space="preserve">are summarized in the under mentioned table </w:t>
      </w:r>
      <w:r w:rsidR="00E71EA4">
        <w:rPr>
          <w:sz w:val="22"/>
          <w:szCs w:val="22"/>
        </w:rPr>
        <w:t>1</w:t>
      </w:r>
      <w:r w:rsidR="00513903">
        <w:rPr>
          <w:sz w:val="22"/>
          <w:szCs w:val="22"/>
        </w:rPr>
        <w:t>.</w:t>
      </w:r>
    </w:p>
    <w:p w:rsidR="008C3715" w:rsidRPr="00273D2D" w:rsidRDefault="008C3715" w:rsidP="00B15093">
      <w:pPr>
        <w:pStyle w:val="Caption"/>
        <w:keepNext/>
        <w:tabs>
          <w:tab w:val="left" w:pos="3600"/>
          <w:tab w:val="left" w:pos="3960"/>
        </w:tabs>
        <w:jc w:val="center"/>
      </w:pPr>
      <w:bookmarkStart w:id="16" w:name="_Toc411603978"/>
      <w:r>
        <w:t xml:space="preserve">Table </w:t>
      </w:r>
      <w:fldSimple w:instr=" SEQ Table \* ARABIC ">
        <w:r w:rsidR="002326CE">
          <w:rPr>
            <w:noProof/>
          </w:rPr>
          <w:t>1</w:t>
        </w:r>
      </w:fldSimple>
      <w:r w:rsidRPr="000802FF">
        <w:rPr>
          <w:sz w:val="22"/>
          <w:szCs w:val="22"/>
        </w:rPr>
        <w:t>:</w:t>
      </w:r>
      <w:r w:rsidR="00FC4556">
        <w:rPr>
          <w:sz w:val="22"/>
          <w:szCs w:val="22"/>
        </w:rPr>
        <w:t xml:space="preserve"> </w:t>
      </w:r>
      <w:r w:rsidR="00273D2D" w:rsidRPr="00273D2D">
        <w:t>Availability (%)</w:t>
      </w:r>
      <w:bookmarkEnd w:id="16"/>
    </w:p>
    <w:tbl>
      <w:tblPr>
        <w:tblW w:w="8677" w:type="dxa"/>
        <w:jc w:val="center"/>
        <w:tblInd w:w="-271" w:type="dxa"/>
        <w:tblLayout w:type="fixed"/>
        <w:tblLook w:val="0000"/>
      </w:tblPr>
      <w:tblGrid>
        <w:gridCol w:w="2744"/>
        <w:gridCol w:w="1366"/>
        <w:gridCol w:w="1130"/>
        <w:gridCol w:w="1761"/>
        <w:gridCol w:w="1676"/>
      </w:tblGrid>
      <w:tr w:rsidR="007530B7" w:rsidRPr="000802FF" w:rsidTr="006F5AD2">
        <w:trPr>
          <w:trHeight w:val="604"/>
          <w:jc w:val="center"/>
        </w:trPr>
        <w:tc>
          <w:tcPr>
            <w:tcW w:w="2744" w:type="dxa"/>
            <w:tcBorders>
              <w:top w:val="single" w:sz="6" w:space="0" w:color="auto"/>
              <w:left w:val="single" w:sz="6" w:space="0" w:color="auto"/>
              <w:bottom w:val="single" w:sz="6" w:space="0" w:color="auto"/>
              <w:right w:val="single" w:sz="6" w:space="0" w:color="auto"/>
            </w:tcBorders>
            <w:shd w:val="solid" w:color="000080" w:fill="auto"/>
            <w:vAlign w:val="center"/>
          </w:tcPr>
          <w:p w:rsidR="007530B7" w:rsidRPr="000802FF" w:rsidRDefault="007530B7" w:rsidP="00B4252E">
            <w:pPr>
              <w:autoSpaceDE w:val="0"/>
              <w:autoSpaceDN w:val="0"/>
              <w:adjustRightInd w:val="0"/>
              <w:spacing w:line="240" w:lineRule="auto"/>
              <w:jc w:val="center"/>
              <w:rPr>
                <w:rFonts w:cs="Arial"/>
                <w:b/>
                <w:bCs/>
                <w:color w:val="FFFFFF"/>
                <w:sz w:val="22"/>
                <w:szCs w:val="22"/>
              </w:rPr>
            </w:pPr>
            <w:r w:rsidRPr="000802FF">
              <w:rPr>
                <w:rFonts w:cs="Arial"/>
                <w:b/>
                <w:bCs/>
                <w:color w:val="FFFFFF"/>
                <w:sz w:val="22"/>
                <w:szCs w:val="22"/>
              </w:rPr>
              <w:t>Generating Station</w:t>
            </w:r>
          </w:p>
        </w:tc>
        <w:tc>
          <w:tcPr>
            <w:tcW w:w="1366" w:type="dxa"/>
            <w:tcBorders>
              <w:top w:val="single" w:sz="6" w:space="0" w:color="auto"/>
              <w:left w:val="single" w:sz="6" w:space="0" w:color="auto"/>
              <w:bottom w:val="single" w:sz="6" w:space="0" w:color="auto"/>
              <w:right w:val="single" w:sz="6" w:space="0" w:color="auto"/>
            </w:tcBorders>
            <w:shd w:val="solid" w:color="000080" w:fill="auto"/>
            <w:vAlign w:val="center"/>
          </w:tcPr>
          <w:p w:rsidR="007530B7" w:rsidRPr="000802FF" w:rsidRDefault="007530B7" w:rsidP="00527F23">
            <w:pPr>
              <w:autoSpaceDE w:val="0"/>
              <w:autoSpaceDN w:val="0"/>
              <w:adjustRightInd w:val="0"/>
              <w:spacing w:line="240" w:lineRule="auto"/>
              <w:ind w:left="-130"/>
              <w:jc w:val="center"/>
              <w:rPr>
                <w:rFonts w:cs="Arial"/>
                <w:b/>
                <w:bCs/>
                <w:color w:val="FFFFFF"/>
                <w:sz w:val="22"/>
                <w:szCs w:val="22"/>
              </w:rPr>
            </w:pPr>
            <w:r>
              <w:rPr>
                <w:rFonts w:cs="Arial"/>
                <w:b/>
                <w:bCs/>
                <w:color w:val="FFFFFF"/>
                <w:sz w:val="22"/>
                <w:szCs w:val="22"/>
              </w:rPr>
              <w:t>12-13</w:t>
            </w:r>
          </w:p>
        </w:tc>
        <w:tc>
          <w:tcPr>
            <w:tcW w:w="1130" w:type="dxa"/>
            <w:tcBorders>
              <w:top w:val="single" w:sz="6" w:space="0" w:color="auto"/>
              <w:left w:val="single" w:sz="6" w:space="0" w:color="auto"/>
              <w:bottom w:val="single" w:sz="6" w:space="0" w:color="auto"/>
              <w:right w:val="single" w:sz="6" w:space="0" w:color="auto"/>
            </w:tcBorders>
            <w:shd w:val="solid" w:color="000080" w:fill="auto"/>
            <w:vAlign w:val="center"/>
          </w:tcPr>
          <w:p w:rsidR="007530B7" w:rsidRPr="000802FF" w:rsidRDefault="007530B7" w:rsidP="00527F23">
            <w:pPr>
              <w:autoSpaceDE w:val="0"/>
              <w:autoSpaceDN w:val="0"/>
              <w:adjustRightInd w:val="0"/>
              <w:spacing w:line="240" w:lineRule="auto"/>
              <w:ind w:left="-130"/>
              <w:jc w:val="center"/>
              <w:rPr>
                <w:rFonts w:cs="Arial"/>
                <w:b/>
                <w:bCs/>
                <w:color w:val="FFFFFF"/>
                <w:sz w:val="22"/>
                <w:szCs w:val="22"/>
              </w:rPr>
            </w:pPr>
            <w:r>
              <w:rPr>
                <w:rFonts w:cs="Arial"/>
                <w:b/>
                <w:bCs/>
                <w:color w:val="FFFFFF"/>
                <w:sz w:val="22"/>
                <w:szCs w:val="22"/>
              </w:rPr>
              <w:t>13-14</w:t>
            </w:r>
          </w:p>
        </w:tc>
        <w:tc>
          <w:tcPr>
            <w:tcW w:w="1761" w:type="dxa"/>
            <w:tcBorders>
              <w:top w:val="single" w:sz="6" w:space="0" w:color="auto"/>
              <w:left w:val="single" w:sz="6" w:space="0" w:color="auto"/>
              <w:bottom w:val="single" w:sz="6" w:space="0" w:color="auto"/>
              <w:right w:val="single" w:sz="6" w:space="0" w:color="auto"/>
            </w:tcBorders>
            <w:shd w:val="solid" w:color="000080" w:fill="auto"/>
            <w:vAlign w:val="center"/>
          </w:tcPr>
          <w:p w:rsidR="006F5AD2" w:rsidRDefault="007530B7" w:rsidP="00527F23">
            <w:pPr>
              <w:autoSpaceDE w:val="0"/>
              <w:autoSpaceDN w:val="0"/>
              <w:adjustRightInd w:val="0"/>
              <w:spacing w:line="240" w:lineRule="auto"/>
              <w:ind w:left="-130"/>
              <w:jc w:val="center"/>
              <w:rPr>
                <w:rFonts w:cs="Arial"/>
                <w:b/>
                <w:bCs/>
                <w:color w:val="FFFFFF"/>
                <w:sz w:val="22"/>
                <w:szCs w:val="22"/>
              </w:rPr>
            </w:pPr>
            <w:r>
              <w:rPr>
                <w:rFonts w:cs="Arial"/>
                <w:b/>
                <w:bCs/>
                <w:color w:val="FFFFFF"/>
                <w:sz w:val="22"/>
                <w:szCs w:val="22"/>
              </w:rPr>
              <w:t>14-15</w:t>
            </w:r>
            <w:r w:rsidR="006F5AD2">
              <w:rPr>
                <w:rFonts w:cs="Arial"/>
                <w:b/>
                <w:bCs/>
                <w:color w:val="FFFFFF"/>
                <w:sz w:val="22"/>
                <w:szCs w:val="22"/>
              </w:rPr>
              <w:t xml:space="preserve"> </w:t>
            </w:r>
          </w:p>
          <w:p w:rsidR="007530B7" w:rsidRPr="000802FF" w:rsidRDefault="003144A8" w:rsidP="00527F23">
            <w:pPr>
              <w:autoSpaceDE w:val="0"/>
              <w:autoSpaceDN w:val="0"/>
              <w:adjustRightInd w:val="0"/>
              <w:spacing w:line="240" w:lineRule="auto"/>
              <w:ind w:left="-130"/>
              <w:jc w:val="center"/>
              <w:rPr>
                <w:rFonts w:cs="Arial"/>
                <w:b/>
                <w:bCs/>
                <w:color w:val="FFFFFF"/>
                <w:sz w:val="22"/>
                <w:szCs w:val="22"/>
              </w:rPr>
            </w:pPr>
            <w:r>
              <w:rPr>
                <w:rFonts w:cs="Arial"/>
                <w:b/>
                <w:bCs/>
                <w:color w:val="FFFFFF"/>
                <w:sz w:val="22"/>
                <w:szCs w:val="22"/>
              </w:rPr>
              <w:t>(Upto Dec.)</w:t>
            </w:r>
          </w:p>
        </w:tc>
        <w:tc>
          <w:tcPr>
            <w:tcW w:w="1676" w:type="dxa"/>
            <w:tcBorders>
              <w:top w:val="single" w:sz="6" w:space="0" w:color="auto"/>
              <w:left w:val="single" w:sz="6" w:space="0" w:color="auto"/>
              <w:bottom w:val="single" w:sz="6" w:space="0" w:color="auto"/>
              <w:right w:val="single" w:sz="6" w:space="0" w:color="auto"/>
            </w:tcBorders>
            <w:shd w:val="solid" w:color="000080" w:fill="auto"/>
            <w:vAlign w:val="center"/>
          </w:tcPr>
          <w:p w:rsidR="007530B7" w:rsidRPr="000802FF" w:rsidRDefault="007530B7" w:rsidP="00D245D0">
            <w:pPr>
              <w:autoSpaceDE w:val="0"/>
              <w:autoSpaceDN w:val="0"/>
              <w:adjustRightInd w:val="0"/>
              <w:spacing w:line="240" w:lineRule="auto"/>
              <w:ind w:left="-130"/>
              <w:jc w:val="center"/>
              <w:rPr>
                <w:rFonts w:cs="Arial"/>
                <w:b/>
                <w:bCs/>
                <w:color w:val="FFFFFF"/>
                <w:sz w:val="22"/>
                <w:szCs w:val="22"/>
              </w:rPr>
            </w:pPr>
            <w:r>
              <w:rPr>
                <w:rFonts w:cs="Arial"/>
                <w:b/>
                <w:bCs/>
                <w:color w:val="FFFFFF"/>
                <w:sz w:val="22"/>
                <w:szCs w:val="22"/>
              </w:rPr>
              <w:t>15-16</w:t>
            </w:r>
            <w:r w:rsidR="006F5AD2">
              <w:rPr>
                <w:rFonts w:cs="Arial"/>
                <w:b/>
                <w:bCs/>
                <w:color w:val="FFFFFF"/>
                <w:sz w:val="22"/>
                <w:szCs w:val="22"/>
              </w:rPr>
              <w:t xml:space="preserve"> </w:t>
            </w:r>
            <w:r w:rsidR="003144A8">
              <w:rPr>
                <w:rFonts w:cs="Arial"/>
                <w:b/>
                <w:bCs/>
                <w:color w:val="FFFFFF"/>
                <w:sz w:val="22"/>
                <w:szCs w:val="22"/>
              </w:rPr>
              <w:t>(</w:t>
            </w:r>
            <w:r w:rsidR="00D245D0">
              <w:rPr>
                <w:rFonts w:cs="Arial"/>
                <w:b/>
                <w:bCs/>
                <w:color w:val="FFFFFF"/>
                <w:sz w:val="22"/>
                <w:szCs w:val="22"/>
              </w:rPr>
              <w:t>Estimated</w:t>
            </w:r>
            <w:r w:rsidR="003144A8">
              <w:rPr>
                <w:rFonts w:cs="Arial"/>
                <w:b/>
                <w:bCs/>
                <w:color w:val="FFFFFF"/>
                <w:sz w:val="22"/>
                <w:szCs w:val="22"/>
              </w:rPr>
              <w:t>)</w:t>
            </w:r>
          </w:p>
        </w:tc>
      </w:tr>
      <w:tr w:rsidR="007530B7" w:rsidRPr="000802FF" w:rsidTr="006F5AD2">
        <w:trPr>
          <w:trHeight w:val="684"/>
          <w:jc w:val="center"/>
        </w:trPr>
        <w:tc>
          <w:tcPr>
            <w:tcW w:w="2744" w:type="dxa"/>
            <w:tcBorders>
              <w:top w:val="single" w:sz="6" w:space="0" w:color="auto"/>
              <w:left w:val="single" w:sz="6" w:space="0" w:color="auto"/>
              <w:bottom w:val="single" w:sz="6" w:space="0" w:color="auto"/>
              <w:right w:val="single" w:sz="6" w:space="0" w:color="auto"/>
            </w:tcBorders>
            <w:vAlign w:val="center"/>
          </w:tcPr>
          <w:p w:rsidR="007530B7" w:rsidRPr="00826385" w:rsidRDefault="007530B7" w:rsidP="004D4293">
            <w:pPr>
              <w:autoSpaceDE w:val="0"/>
              <w:autoSpaceDN w:val="0"/>
              <w:adjustRightInd w:val="0"/>
              <w:spacing w:line="240" w:lineRule="auto"/>
              <w:jc w:val="left"/>
              <w:rPr>
                <w:rFonts w:cs="Arial"/>
                <w:sz w:val="22"/>
                <w:szCs w:val="22"/>
              </w:rPr>
            </w:pPr>
            <w:r w:rsidRPr="00826385">
              <w:rPr>
                <w:rFonts w:cs="Arial"/>
                <w:sz w:val="22"/>
                <w:szCs w:val="22"/>
              </w:rPr>
              <w:t>Rajghat Power Station</w:t>
            </w:r>
          </w:p>
        </w:tc>
        <w:tc>
          <w:tcPr>
            <w:tcW w:w="1366" w:type="dxa"/>
            <w:tcBorders>
              <w:top w:val="single" w:sz="6" w:space="0" w:color="auto"/>
              <w:left w:val="single" w:sz="6" w:space="0" w:color="auto"/>
              <w:bottom w:val="single" w:sz="6" w:space="0" w:color="auto"/>
              <w:right w:val="single" w:sz="6" w:space="0" w:color="auto"/>
            </w:tcBorders>
            <w:vAlign w:val="center"/>
          </w:tcPr>
          <w:p w:rsidR="007530B7" w:rsidRPr="00826385" w:rsidRDefault="00640BC6" w:rsidP="003144A8">
            <w:pPr>
              <w:autoSpaceDE w:val="0"/>
              <w:autoSpaceDN w:val="0"/>
              <w:adjustRightInd w:val="0"/>
              <w:spacing w:line="240" w:lineRule="auto"/>
              <w:ind w:left="-130"/>
              <w:jc w:val="center"/>
              <w:rPr>
                <w:rFonts w:cs="Arial"/>
                <w:sz w:val="22"/>
                <w:szCs w:val="22"/>
              </w:rPr>
            </w:pPr>
            <w:r w:rsidRPr="00826385">
              <w:rPr>
                <w:rFonts w:cs="Arial"/>
                <w:sz w:val="22"/>
                <w:szCs w:val="22"/>
              </w:rPr>
              <w:t>66.</w:t>
            </w:r>
            <w:r w:rsidR="003144A8" w:rsidRPr="00826385">
              <w:rPr>
                <w:rFonts w:cs="Arial"/>
                <w:sz w:val="22"/>
                <w:szCs w:val="22"/>
              </w:rPr>
              <w:t>9</w:t>
            </w:r>
            <w:r w:rsidRPr="00826385">
              <w:rPr>
                <w:rFonts w:cs="Arial"/>
                <w:sz w:val="22"/>
                <w:szCs w:val="22"/>
              </w:rPr>
              <w:t>4</w:t>
            </w:r>
          </w:p>
        </w:tc>
        <w:tc>
          <w:tcPr>
            <w:tcW w:w="1130" w:type="dxa"/>
            <w:tcBorders>
              <w:top w:val="single" w:sz="6" w:space="0" w:color="auto"/>
              <w:left w:val="single" w:sz="6" w:space="0" w:color="auto"/>
              <w:bottom w:val="single" w:sz="6" w:space="0" w:color="auto"/>
              <w:right w:val="single" w:sz="6" w:space="0" w:color="auto"/>
            </w:tcBorders>
            <w:vAlign w:val="center"/>
          </w:tcPr>
          <w:p w:rsidR="007530B7" w:rsidRPr="00826385" w:rsidRDefault="00640BC6" w:rsidP="004D4293">
            <w:pPr>
              <w:autoSpaceDE w:val="0"/>
              <w:autoSpaceDN w:val="0"/>
              <w:adjustRightInd w:val="0"/>
              <w:spacing w:line="240" w:lineRule="auto"/>
              <w:ind w:left="-130"/>
              <w:jc w:val="center"/>
              <w:rPr>
                <w:rFonts w:cs="Arial"/>
                <w:sz w:val="22"/>
                <w:szCs w:val="22"/>
              </w:rPr>
            </w:pPr>
            <w:r w:rsidRPr="00826385">
              <w:rPr>
                <w:rFonts w:cs="Arial"/>
                <w:sz w:val="22"/>
                <w:szCs w:val="22"/>
              </w:rPr>
              <w:t>65.77</w:t>
            </w:r>
          </w:p>
        </w:tc>
        <w:tc>
          <w:tcPr>
            <w:tcW w:w="1761" w:type="dxa"/>
            <w:tcBorders>
              <w:top w:val="single" w:sz="6" w:space="0" w:color="auto"/>
              <w:left w:val="single" w:sz="6" w:space="0" w:color="auto"/>
              <w:bottom w:val="single" w:sz="6" w:space="0" w:color="auto"/>
              <w:right w:val="single" w:sz="6" w:space="0" w:color="auto"/>
            </w:tcBorders>
            <w:vAlign w:val="center"/>
          </w:tcPr>
          <w:p w:rsidR="007530B7" w:rsidRPr="00826385" w:rsidRDefault="003144A8" w:rsidP="004D4293">
            <w:pPr>
              <w:autoSpaceDE w:val="0"/>
              <w:autoSpaceDN w:val="0"/>
              <w:adjustRightInd w:val="0"/>
              <w:spacing w:line="240" w:lineRule="auto"/>
              <w:ind w:left="-130"/>
              <w:jc w:val="center"/>
              <w:rPr>
                <w:rFonts w:cs="Arial"/>
                <w:sz w:val="22"/>
                <w:szCs w:val="22"/>
              </w:rPr>
            </w:pPr>
            <w:r w:rsidRPr="00826385">
              <w:rPr>
                <w:rFonts w:cs="Arial"/>
                <w:sz w:val="22"/>
                <w:szCs w:val="22"/>
              </w:rPr>
              <w:t>61.12</w:t>
            </w:r>
          </w:p>
        </w:tc>
        <w:tc>
          <w:tcPr>
            <w:tcW w:w="1676" w:type="dxa"/>
            <w:tcBorders>
              <w:top w:val="single" w:sz="6" w:space="0" w:color="auto"/>
              <w:left w:val="single" w:sz="6" w:space="0" w:color="auto"/>
              <w:bottom w:val="single" w:sz="6" w:space="0" w:color="auto"/>
              <w:right w:val="single" w:sz="6" w:space="0" w:color="auto"/>
            </w:tcBorders>
            <w:vAlign w:val="center"/>
          </w:tcPr>
          <w:p w:rsidR="007530B7" w:rsidRPr="00826385" w:rsidRDefault="003144A8" w:rsidP="004D4293">
            <w:pPr>
              <w:autoSpaceDE w:val="0"/>
              <w:autoSpaceDN w:val="0"/>
              <w:adjustRightInd w:val="0"/>
              <w:spacing w:line="240" w:lineRule="auto"/>
              <w:ind w:left="-130"/>
              <w:jc w:val="center"/>
              <w:rPr>
                <w:rFonts w:cs="Arial"/>
                <w:sz w:val="22"/>
                <w:szCs w:val="22"/>
              </w:rPr>
            </w:pPr>
            <w:r w:rsidRPr="00826385">
              <w:rPr>
                <w:rFonts w:cs="Arial"/>
                <w:sz w:val="22"/>
                <w:szCs w:val="22"/>
              </w:rPr>
              <w:t>75</w:t>
            </w:r>
          </w:p>
        </w:tc>
      </w:tr>
      <w:tr w:rsidR="007530B7" w:rsidRPr="000802FF" w:rsidTr="006F5AD2">
        <w:trPr>
          <w:trHeight w:val="685"/>
          <w:jc w:val="center"/>
        </w:trPr>
        <w:tc>
          <w:tcPr>
            <w:tcW w:w="2744" w:type="dxa"/>
            <w:tcBorders>
              <w:top w:val="single" w:sz="6" w:space="0" w:color="auto"/>
              <w:left w:val="single" w:sz="6" w:space="0" w:color="auto"/>
              <w:bottom w:val="single" w:sz="6" w:space="0" w:color="auto"/>
              <w:right w:val="single" w:sz="6" w:space="0" w:color="auto"/>
            </w:tcBorders>
            <w:vAlign w:val="center"/>
          </w:tcPr>
          <w:p w:rsidR="007530B7" w:rsidRPr="00826385" w:rsidRDefault="007530B7" w:rsidP="004D4293">
            <w:pPr>
              <w:autoSpaceDE w:val="0"/>
              <w:autoSpaceDN w:val="0"/>
              <w:adjustRightInd w:val="0"/>
              <w:spacing w:line="240" w:lineRule="auto"/>
              <w:jc w:val="left"/>
              <w:rPr>
                <w:rFonts w:cs="Arial"/>
                <w:sz w:val="22"/>
                <w:szCs w:val="22"/>
              </w:rPr>
            </w:pPr>
            <w:r w:rsidRPr="00826385">
              <w:rPr>
                <w:rFonts w:cs="Arial"/>
                <w:sz w:val="22"/>
                <w:szCs w:val="22"/>
              </w:rPr>
              <w:t>Gas Turbine</w:t>
            </w:r>
          </w:p>
        </w:tc>
        <w:tc>
          <w:tcPr>
            <w:tcW w:w="1366" w:type="dxa"/>
            <w:tcBorders>
              <w:top w:val="single" w:sz="6" w:space="0" w:color="auto"/>
              <w:left w:val="single" w:sz="6" w:space="0" w:color="auto"/>
              <w:bottom w:val="single" w:sz="6" w:space="0" w:color="auto"/>
              <w:right w:val="single" w:sz="6" w:space="0" w:color="auto"/>
            </w:tcBorders>
            <w:vAlign w:val="center"/>
          </w:tcPr>
          <w:p w:rsidR="007530B7" w:rsidRPr="00826385" w:rsidRDefault="00640BC6" w:rsidP="004D4293">
            <w:pPr>
              <w:autoSpaceDE w:val="0"/>
              <w:autoSpaceDN w:val="0"/>
              <w:adjustRightInd w:val="0"/>
              <w:spacing w:line="240" w:lineRule="auto"/>
              <w:ind w:left="-130"/>
              <w:jc w:val="center"/>
              <w:rPr>
                <w:rFonts w:cs="Arial"/>
                <w:sz w:val="22"/>
                <w:szCs w:val="22"/>
              </w:rPr>
            </w:pPr>
            <w:r w:rsidRPr="00826385">
              <w:rPr>
                <w:rFonts w:cs="Arial"/>
                <w:sz w:val="22"/>
                <w:szCs w:val="22"/>
              </w:rPr>
              <w:t>84.22</w:t>
            </w:r>
          </w:p>
        </w:tc>
        <w:tc>
          <w:tcPr>
            <w:tcW w:w="1130" w:type="dxa"/>
            <w:tcBorders>
              <w:top w:val="single" w:sz="6" w:space="0" w:color="auto"/>
              <w:left w:val="single" w:sz="6" w:space="0" w:color="auto"/>
              <w:bottom w:val="single" w:sz="6" w:space="0" w:color="auto"/>
              <w:right w:val="single" w:sz="6" w:space="0" w:color="auto"/>
            </w:tcBorders>
            <w:vAlign w:val="center"/>
          </w:tcPr>
          <w:p w:rsidR="007530B7" w:rsidRPr="00826385" w:rsidRDefault="00640BC6" w:rsidP="004D4293">
            <w:pPr>
              <w:autoSpaceDE w:val="0"/>
              <w:autoSpaceDN w:val="0"/>
              <w:adjustRightInd w:val="0"/>
              <w:spacing w:line="240" w:lineRule="auto"/>
              <w:ind w:left="-130"/>
              <w:jc w:val="center"/>
              <w:rPr>
                <w:rFonts w:cs="Arial"/>
                <w:sz w:val="22"/>
                <w:szCs w:val="22"/>
              </w:rPr>
            </w:pPr>
            <w:r w:rsidRPr="00826385">
              <w:rPr>
                <w:rFonts w:cs="Arial"/>
                <w:sz w:val="22"/>
                <w:szCs w:val="22"/>
              </w:rPr>
              <w:t>86.94</w:t>
            </w:r>
          </w:p>
        </w:tc>
        <w:tc>
          <w:tcPr>
            <w:tcW w:w="1761" w:type="dxa"/>
            <w:tcBorders>
              <w:top w:val="single" w:sz="6" w:space="0" w:color="auto"/>
              <w:left w:val="single" w:sz="6" w:space="0" w:color="auto"/>
              <w:bottom w:val="single" w:sz="6" w:space="0" w:color="auto"/>
              <w:right w:val="single" w:sz="6" w:space="0" w:color="auto"/>
            </w:tcBorders>
            <w:vAlign w:val="center"/>
          </w:tcPr>
          <w:p w:rsidR="007530B7" w:rsidRPr="00826385" w:rsidRDefault="003144A8" w:rsidP="004D4293">
            <w:pPr>
              <w:autoSpaceDE w:val="0"/>
              <w:autoSpaceDN w:val="0"/>
              <w:adjustRightInd w:val="0"/>
              <w:spacing w:line="240" w:lineRule="auto"/>
              <w:ind w:left="-130"/>
              <w:jc w:val="center"/>
              <w:rPr>
                <w:rFonts w:cs="Arial"/>
                <w:sz w:val="22"/>
                <w:szCs w:val="22"/>
              </w:rPr>
            </w:pPr>
            <w:r w:rsidRPr="00826385">
              <w:rPr>
                <w:rFonts w:cs="Arial"/>
                <w:sz w:val="22"/>
                <w:szCs w:val="22"/>
              </w:rPr>
              <w:t>66.11</w:t>
            </w:r>
          </w:p>
        </w:tc>
        <w:tc>
          <w:tcPr>
            <w:tcW w:w="1676" w:type="dxa"/>
            <w:tcBorders>
              <w:top w:val="single" w:sz="6" w:space="0" w:color="auto"/>
              <w:left w:val="single" w:sz="6" w:space="0" w:color="auto"/>
              <w:bottom w:val="single" w:sz="6" w:space="0" w:color="auto"/>
              <w:right w:val="single" w:sz="6" w:space="0" w:color="auto"/>
            </w:tcBorders>
            <w:vAlign w:val="center"/>
          </w:tcPr>
          <w:p w:rsidR="007530B7" w:rsidRPr="00826385" w:rsidRDefault="003144A8" w:rsidP="004D4293">
            <w:pPr>
              <w:autoSpaceDE w:val="0"/>
              <w:autoSpaceDN w:val="0"/>
              <w:adjustRightInd w:val="0"/>
              <w:spacing w:line="240" w:lineRule="auto"/>
              <w:ind w:left="-130"/>
              <w:jc w:val="center"/>
              <w:rPr>
                <w:rFonts w:cs="Arial"/>
                <w:sz w:val="22"/>
                <w:szCs w:val="22"/>
              </w:rPr>
            </w:pPr>
            <w:r w:rsidRPr="00826385">
              <w:rPr>
                <w:rFonts w:cs="Arial"/>
                <w:sz w:val="22"/>
                <w:szCs w:val="22"/>
              </w:rPr>
              <w:t>80</w:t>
            </w:r>
          </w:p>
        </w:tc>
      </w:tr>
    </w:tbl>
    <w:p w:rsidR="00513903" w:rsidRDefault="00513903" w:rsidP="00513903">
      <w:pPr>
        <w:rPr>
          <w:sz w:val="22"/>
          <w:szCs w:val="26"/>
        </w:rPr>
      </w:pPr>
    </w:p>
    <w:p w:rsidR="00513903" w:rsidRPr="000802FF" w:rsidRDefault="00513903" w:rsidP="00513903">
      <w:pPr>
        <w:rPr>
          <w:b/>
          <w:bCs/>
          <w:sz w:val="22"/>
          <w:szCs w:val="26"/>
        </w:rPr>
      </w:pPr>
      <w:r w:rsidRPr="000802FF">
        <w:rPr>
          <w:b/>
          <w:bCs/>
          <w:sz w:val="22"/>
          <w:szCs w:val="26"/>
        </w:rPr>
        <w:t>I.P.</w:t>
      </w:r>
      <w:r w:rsidR="00692E0B">
        <w:rPr>
          <w:b/>
          <w:bCs/>
          <w:sz w:val="22"/>
          <w:szCs w:val="26"/>
        </w:rPr>
        <w:t xml:space="preserve"> </w:t>
      </w:r>
      <w:r w:rsidRPr="000802FF">
        <w:rPr>
          <w:b/>
          <w:bCs/>
          <w:sz w:val="22"/>
          <w:szCs w:val="26"/>
        </w:rPr>
        <w:t>Station</w:t>
      </w:r>
    </w:p>
    <w:p w:rsidR="00AB2143" w:rsidRDefault="00513903" w:rsidP="00BA3CA5">
      <w:pPr>
        <w:rPr>
          <w:sz w:val="22"/>
          <w:szCs w:val="22"/>
        </w:rPr>
      </w:pPr>
      <w:r>
        <w:rPr>
          <w:sz w:val="22"/>
          <w:szCs w:val="22"/>
        </w:rPr>
        <w:t xml:space="preserve"> </w:t>
      </w:r>
      <w:r w:rsidRPr="00BE5374">
        <w:rPr>
          <w:sz w:val="22"/>
          <w:szCs w:val="22"/>
        </w:rPr>
        <w:t xml:space="preserve">The station </w:t>
      </w:r>
      <w:r>
        <w:rPr>
          <w:sz w:val="22"/>
          <w:szCs w:val="22"/>
        </w:rPr>
        <w:t>was</w:t>
      </w:r>
      <w:r w:rsidRPr="00BE5374">
        <w:rPr>
          <w:sz w:val="22"/>
          <w:szCs w:val="22"/>
        </w:rPr>
        <w:t xml:space="preserve"> more than 40 years old and has been closed down on 31.12.2009.  </w:t>
      </w:r>
      <w:r w:rsidR="00BA3CA5">
        <w:rPr>
          <w:sz w:val="22"/>
          <w:szCs w:val="22"/>
        </w:rPr>
        <w:t xml:space="preserve">Earlier, Petitioner has submitted true up petition for FY 2007-08 to 2011-12 for IP Stn. and the Commission vide its order dt. 31.07.2013 has trued up Rs.175.41 Cr. </w:t>
      </w:r>
      <w:r w:rsidR="0061470E">
        <w:rPr>
          <w:sz w:val="22"/>
          <w:szCs w:val="22"/>
        </w:rPr>
        <w:t>t</w:t>
      </w:r>
      <w:r w:rsidR="00BA3CA5">
        <w:rPr>
          <w:sz w:val="22"/>
          <w:szCs w:val="22"/>
        </w:rPr>
        <w:t xml:space="preserve">o be recovered by Petitioner due to approval of additional expenditure on various </w:t>
      </w:r>
      <w:r w:rsidR="00BA3CA5">
        <w:rPr>
          <w:sz w:val="22"/>
          <w:szCs w:val="22"/>
        </w:rPr>
        <w:lastRenderedPageBreak/>
        <w:t xml:space="preserve">heads during the period by the Commission.  However, Hon’ble Commission </w:t>
      </w:r>
      <w:r w:rsidR="00AB2143">
        <w:rPr>
          <w:sz w:val="22"/>
          <w:szCs w:val="22"/>
        </w:rPr>
        <w:t xml:space="preserve">has not allowed to recover above amount from DISCOMs and have noted as </w:t>
      </w:r>
      <w:r w:rsidR="00EF7803">
        <w:rPr>
          <w:sz w:val="22"/>
          <w:szCs w:val="22"/>
        </w:rPr>
        <w:t>under:</w:t>
      </w:r>
    </w:p>
    <w:p w:rsidR="00AB2143" w:rsidRPr="005360C3" w:rsidRDefault="00AB2143" w:rsidP="00551169">
      <w:pPr>
        <w:spacing w:line="240" w:lineRule="auto"/>
        <w:rPr>
          <w:sz w:val="16"/>
          <w:szCs w:val="22"/>
        </w:rPr>
      </w:pPr>
    </w:p>
    <w:p w:rsidR="00AB2143" w:rsidRDefault="00535C1F" w:rsidP="00BA3CA5">
      <w:pPr>
        <w:rPr>
          <w:i/>
          <w:sz w:val="22"/>
          <w:szCs w:val="22"/>
        </w:rPr>
      </w:pPr>
      <w:r>
        <w:rPr>
          <w:sz w:val="22"/>
          <w:szCs w:val="22"/>
        </w:rPr>
        <w:t>“</w:t>
      </w:r>
      <w:r>
        <w:rPr>
          <w:i/>
          <w:sz w:val="22"/>
          <w:szCs w:val="22"/>
        </w:rPr>
        <w:t>3.92</w:t>
      </w:r>
      <w:r>
        <w:rPr>
          <w:i/>
          <w:sz w:val="22"/>
          <w:szCs w:val="22"/>
        </w:rPr>
        <w:tab/>
        <w:t>However, as discussed earlier the same shall be allowed to be recovered once all the assets of IP Stn. are disposed off and the final amount of realization from sale of assets including land gets firmed up.</w:t>
      </w:r>
    </w:p>
    <w:p w:rsidR="00535C1F" w:rsidRPr="005360C3" w:rsidRDefault="00535C1F" w:rsidP="00551169">
      <w:pPr>
        <w:spacing w:line="240" w:lineRule="auto"/>
        <w:rPr>
          <w:i/>
          <w:sz w:val="16"/>
          <w:szCs w:val="22"/>
        </w:rPr>
      </w:pPr>
    </w:p>
    <w:p w:rsidR="00535C1F" w:rsidRDefault="00535C1F" w:rsidP="00BA3CA5">
      <w:pPr>
        <w:rPr>
          <w:i/>
          <w:sz w:val="22"/>
          <w:szCs w:val="22"/>
        </w:rPr>
      </w:pPr>
      <w:r>
        <w:rPr>
          <w:i/>
          <w:sz w:val="22"/>
          <w:szCs w:val="22"/>
        </w:rPr>
        <w:t>3.93</w:t>
      </w:r>
      <w:r>
        <w:rPr>
          <w:i/>
          <w:sz w:val="22"/>
          <w:szCs w:val="22"/>
        </w:rPr>
        <w:tab/>
        <w:t>The Petitioner is directed to inform the Commission once the IP Station is completely disposed off and submit the details of assets disposed off along with salvage value realized on account of sale of assets.</w:t>
      </w:r>
    </w:p>
    <w:p w:rsidR="00535C1F" w:rsidRPr="005360C3" w:rsidRDefault="00535C1F" w:rsidP="00551169">
      <w:pPr>
        <w:spacing w:line="240" w:lineRule="auto"/>
        <w:rPr>
          <w:i/>
          <w:sz w:val="16"/>
          <w:szCs w:val="22"/>
        </w:rPr>
      </w:pPr>
    </w:p>
    <w:p w:rsidR="00535C1F" w:rsidRDefault="00535C1F" w:rsidP="00BA3CA5">
      <w:pPr>
        <w:rPr>
          <w:sz w:val="22"/>
          <w:szCs w:val="22"/>
        </w:rPr>
      </w:pPr>
      <w:r>
        <w:rPr>
          <w:i/>
          <w:sz w:val="22"/>
          <w:szCs w:val="22"/>
        </w:rPr>
        <w:t>3.95</w:t>
      </w:r>
      <w:r>
        <w:rPr>
          <w:i/>
          <w:sz w:val="22"/>
          <w:szCs w:val="22"/>
        </w:rPr>
        <w:tab/>
        <w:t xml:space="preserve">However, as discussed earlier the same shall be allowed to be recovered once all the assets of IP Station are disposed off and the final amount of </w:t>
      </w:r>
      <w:r w:rsidR="00D32C57">
        <w:rPr>
          <w:i/>
          <w:sz w:val="22"/>
          <w:szCs w:val="22"/>
        </w:rPr>
        <w:t>realization</w:t>
      </w:r>
      <w:r>
        <w:rPr>
          <w:i/>
          <w:sz w:val="22"/>
          <w:szCs w:val="22"/>
        </w:rPr>
        <w:t xml:space="preserve"> from sale of assets including land gets firmed up.”</w:t>
      </w:r>
      <w:r w:rsidR="00D32C57">
        <w:rPr>
          <w:i/>
          <w:sz w:val="22"/>
          <w:szCs w:val="22"/>
        </w:rPr>
        <w:t xml:space="preserve"> </w:t>
      </w:r>
    </w:p>
    <w:p w:rsidR="00D32C57" w:rsidRPr="005360C3" w:rsidRDefault="00D32C57" w:rsidP="00551169">
      <w:pPr>
        <w:spacing w:line="240" w:lineRule="auto"/>
        <w:rPr>
          <w:sz w:val="16"/>
          <w:szCs w:val="22"/>
        </w:rPr>
      </w:pPr>
    </w:p>
    <w:p w:rsidR="00D32C57" w:rsidRDefault="00043DB4" w:rsidP="00BA3CA5">
      <w:pPr>
        <w:rPr>
          <w:sz w:val="22"/>
          <w:szCs w:val="22"/>
        </w:rPr>
      </w:pPr>
      <w:r>
        <w:rPr>
          <w:sz w:val="22"/>
          <w:szCs w:val="22"/>
        </w:rPr>
        <w:tab/>
        <w:t xml:space="preserve">Further, as directed vide above order petitioner had submitted its reply vide letter No. </w:t>
      </w:r>
      <w:r w:rsidR="00362F68">
        <w:rPr>
          <w:sz w:val="22"/>
          <w:szCs w:val="22"/>
        </w:rPr>
        <w:t>IPGCL/Comml./IDRA/07-12/178</w:t>
      </w:r>
      <w:r>
        <w:rPr>
          <w:sz w:val="22"/>
          <w:szCs w:val="22"/>
        </w:rPr>
        <w:t xml:space="preserve"> dt. 3</w:t>
      </w:r>
      <w:r w:rsidR="00362F68">
        <w:rPr>
          <w:sz w:val="22"/>
          <w:szCs w:val="22"/>
        </w:rPr>
        <w:t>0</w:t>
      </w:r>
      <w:r>
        <w:rPr>
          <w:sz w:val="22"/>
          <w:szCs w:val="22"/>
        </w:rPr>
        <w:t>.10.2013 and requested Hon’ble Commission not to link the recovery of above amount</w:t>
      </w:r>
      <w:r w:rsidR="00700489">
        <w:rPr>
          <w:sz w:val="22"/>
          <w:szCs w:val="22"/>
        </w:rPr>
        <w:t xml:space="preserve"> with final disposal of IP Stn. and the land due to following </w:t>
      </w:r>
      <w:r w:rsidR="00EF7803">
        <w:rPr>
          <w:sz w:val="22"/>
          <w:szCs w:val="22"/>
        </w:rPr>
        <w:t>reasons:</w:t>
      </w:r>
    </w:p>
    <w:p w:rsidR="00700489" w:rsidRPr="005360C3" w:rsidRDefault="00700489" w:rsidP="00551169">
      <w:pPr>
        <w:spacing w:line="240" w:lineRule="auto"/>
        <w:rPr>
          <w:sz w:val="16"/>
          <w:szCs w:val="22"/>
        </w:rPr>
      </w:pPr>
    </w:p>
    <w:p w:rsidR="00AF7B18" w:rsidRDefault="00AF7B18" w:rsidP="00F6746F">
      <w:pPr>
        <w:pStyle w:val="ListParagraph"/>
        <w:numPr>
          <w:ilvl w:val="0"/>
          <w:numId w:val="35"/>
        </w:numPr>
        <w:spacing w:line="360" w:lineRule="auto"/>
        <w:jc w:val="both"/>
        <w:rPr>
          <w:rFonts w:ascii="Century Gothic" w:hAnsi="Century Gothic"/>
          <w:sz w:val="22"/>
          <w:szCs w:val="22"/>
        </w:rPr>
      </w:pPr>
      <w:r>
        <w:rPr>
          <w:rFonts w:ascii="Century Gothic" w:hAnsi="Century Gothic"/>
          <w:sz w:val="22"/>
          <w:szCs w:val="22"/>
        </w:rPr>
        <w:t xml:space="preserve">The amount allowed by Hon’ble Commission after truing up is related to </w:t>
      </w:r>
      <w:r w:rsidR="0053517D">
        <w:rPr>
          <w:rFonts w:ascii="Century Gothic" w:hAnsi="Century Gothic"/>
          <w:sz w:val="22"/>
          <w:szCs w:val="22"/>
        </w:rPr>
        <w:t xml:space="preserve">O&amp;M expenses, depreciation, interest on loans, return on equity, </w:t>
      </w:r>
      <w:r w:rsidR="00EF3257">
        <w:rPr>
          <w:rFonts w:ascii="Century Gothic" w:hAnsi="Century Gothic"/>
          <w:sz w:val="22"/>
          <w:szCs w:val="22"/>
        </w:rPr>
        <w:t xml:space="preserve">interest </w:t>
      </w:r>
      <w:r w:rsidR="006F0D9B">
        <w:rPr>
          <w:rFonts w:ascii="Century Gothic" w:hAnsi="Century Gothic"/>
          <w:sz w:val="22"/>
          <w:szCs w:val="22"/>
        </w:rPr>
        <w:t>o</w:t>
      </w:r>
      <w:r w:rsidR="0053517D">
        <w:rPr>
          <w:rFonts w:ascii="Century Gothic" w:hAnsi="Century Gothic"/>
          <w:sz w:val="22"/>
          <w:szCs w:val="22"/>
        </w:rPr>
        <w:t>n working capital allowed on account of relaxed norms considered for IP St</w:t>
      </w:r>
      <w:r w:rsidR="00254AB9">
        <w:rPr>
          <w:rFonts w:ascii="Century Gothic" w:hAnsi="Century Gothic"/>
          <w:sz w:val="22"/>
          <w:szCs w:val="22"/>
        </w:rPr>
        <w:t>ation</w:t>
      </w:r>
      <w:r w:rsidR="0053517D">
        <w:rPr>
          <w:rFonts w:ascii="Century Gothic" w:hAnsi="Century Gothic"/>
          <w:sz w:val="22"/>
          <w:szCs w:val="22"/>
        </w:rPr>
        <w:t xml:space="preserve">. </w:t>
      </w:r>
      <w:r w:rsidR="00254AB9">
        <w:rPr>
          <w:rFonts w:ascii="Century Gothic" w:hAnsi="Century Gothic"/>
          <w:sz w:val="22"/>
          <w:szCs w:val="22"/>
        </w:rPr>
        <w:t>D</w:t>
      </w:r>
      <w:r w:rsidR="0053517D">
        <w:rPr>
          <w:rFonts w:ascii="Century Gothic" w:hAnsi="Century Gothic"/>
          <w:sz w:val="22"/>
          <w:szCs w:val="22"/>
        </w:rPr>
        <w:t xml:space="preserve">ue to </w:t>
      </w:r>
      <w:r w:rsidR="00F6746F">
        <w:rPr>
          <w:rFonts w:ascii="Century Gothic" w:hAnsi="Century Gothic"/>
          <w:sz w:val="22"/>
          <w:szCs w:val="22"/>
        </w:rPr>
        <w:t xml:space="preserve">implementation of impact of </w:t>
      </w:r>
      <w:r w:rsidR="0053517D">
        <w:rPr>
          <w:rFonts w:ascii="Century Gothic" w:hAnsi="Century Gothic"/>
          <w:sz w:val="22"/>
          <w:szCs w:val="22"/>
        </w:rPr>
        <w:t>various courts order</w:t>
      </w:r>
      <w:r w:rsidR="00F6746F">
        <w:rPr>
          <w:rFonts w:ascii="Century Gothic" w:hAnsi="Century Gothic"/>
          <w:sz w:val="22"/>
          <w:szCs w:val="22"/>
        </w:rPr>
        <w:t>s, actual operational conditions accepted and allowed by Hon’ble Commission in this regard.  Therefore, Hon’ble Commission’s decision to link above recovery with final asset disposal and land disposal is not justified.</w:t>
      </w:r>
    </w:p>
    <w:p w:rsidR="0053517D" w:rsidRDefault="0053517D" w:rsidP="0053517D">
      <w:pPr>
        <w:pStyle w:val="ListParagraph"/>
        <w:ind w:left="1080"/>
        <w:rPr>
          <w:rFonts w:ascii="Century Gothic" w:hAnsi="Century Gothic"/>
          <w:sz w:val="22"/>
          <w:szCs w:val="22"/>
        </w:rPr>
      </w:pPr>
    </w:p>
    <w:p w:rsidR="00535C1F" w:rsidRPr="004B720D" w:rsidRDefault="00AF7B18" w:rsidP="00BA3CA5">
      <w:pPr>
        <w:pStyle w:val="ListParagraph"/>
        <w:numPr>
          <w:ilvl w:val="0"/>
          <w:numId w:val="35"/>
        </w:numPr>
        <w:spacing w:line="360" w:lineRule="auto"/>
        <w:jc w:val="both"/>
        <w:rPr>
          <w:sz w:val="22"/>
          <w:szCs w:val="22"/>
        </w:rPr>
      </w:pPr>
      <w:r w:rsidRPr="002215AC">
        <w:rPr>
          <w:rFonts w:ascii="Century Gothic" w:hAnsi="Century Gothic"/>
          <w:sz w:val="22"/>
          <w:szCs w:val="22"/>
        </w:rPr>
        <w:t xml:space="preserve">The land was on a lease with notional lease rental. </w:t>
      </w:r>
      <w:r w:rsidR="00854BDB" w:rsidRPr="002215AC">
        <w:rPr>
          <w:rFonts w:ascii="Century Gothic" w:hAnsi="Century Gothic"/>
          <w:sz w:val="22"/>
          <w:szCs w:val="22"/>
        </w:rPr>
        <w:t xml:space="preserve">Therefore, </w:t>
      </w:r>
      <w:r w:rsidR="004E705B" w:rsidRPr="002215AC">
        <w:rPr>
          <w:rFonts w:ascii="Century Gothic" w:hAnsi="Century Gothic"/>
          <w:sz w:val="22"/>
          <w:szCs w:val="22"/>
        </w:rPr>
        <w:t>no actual disposal / sale of the land is possible.</w:t>
      </w:r>
      <w:r w:rsidR="002215AC" w:rsidRPr="002215AC">
        <w:rPr>
          <w:rFonts w:ascii="Century Gothic" w:hAnsi="Century Gothic"/>
          <w:sz w:val="22"/>
          <w:szCs w:val="22"/>
        </w:rPr>
        <w:t xml:space="preserve">  The accumulated depreciation of the IP St</w:t>
      </w:r>
      <w:r w:rsidR="0084154D">
        <w:rPr>
          <w:rFonts w:ascii="Century Gothic" w:hAnsi="Century Gothic"/>
          <w:sz w:val="22"/>
          <w:szCs w:val="22"/>
        </w:rPr>
        <w:t>atio</w:t>
      </w:r>
      <w:r w:rsidR="002215AC" w:rsidRPr="002215AC">
        <w:rPr>
          <w:rFonts w:ascii="Century Gothic" w:hAnsi="Century Gothic"/>
          <w:sz w:val="22"/>
          <w:szCs w:val="22"/>
        </w:rPr>
        <w:t>n</w:t>
      </w:r>
      <w:r w:rsidR="0084154D">
        <w:rPr>
          <w:rFonts w:ascii="Century Gothic" w:hAnsi="Century Gothic"/>
          <w:sz w:val="22"/>
          <w:szCs w:val="22"/>
        </w:rPr>
        <w:t xml:space="preserve"> </w:t>
      </w:r>
      <w:r w:rsidR="002215AC" w:rsidRPr="002215AC">
        <w:rPr>
          <w:rFonts w:ascii="Century Gothic" w:hAnsi="Century Gothic"/>
          <w:sz w:val="22"/>
          <w:szCs w:val="22"/>
        </w:rPr>
        <w:t>up</w:t>
      </w:r>
      <w:r w:rsidR="002215AC">
        <w:rPr>
          <w:rFonts w:ascii="Century Gothic" w:hAnsi="Century Gothic"/>
          <w:sz w:val="22"/>
          <w:szCs w:val="22"/>
        </w:rPr>
        <w:t xml:space="preserve"> </w:t>
      </w:r>
      <w:r w:rsidR="002215AC" w:rsidRPr="002215AC">
        <w:rPr>
          <w:rFonts w:ascii="Century Gothic" w:hAnsi="Century Gothic"/>
          <w:sz w:val="22"/>
          <w:szCs w:val="22"/>
        </w:rPr>
        <w:t xml:space="preserve">to the date of closure </w:t>
      </w:r>
      <w:r w:rsidR="002215AC">
        <w:rPr>
          <w:rFonts w:ascii="Century Gothic" w:hAnsi="Century Gothic"/>
          <w:sz w:val="22"/>
          <w:szCs w:val="22"/>
        </w:rPr>
        <w:t>as allowed by Hon’ble Commission</w:t>
      </w:r>
      <w:r w:rsidR="00E461CC">
        <w:rPr>
          <w:rFonts w:ascii="Century Gothic" w:hAnsi="Century Gothic"/>
          <w:sz w:val="22"/>
          <w:szCs w:val="22"/>
        </w:rPr>
        <w:t xml:space="preserve"> was not up to 90% of depreciation of the original cost of the assets as allowed in MYT regulation, 2007.</w:t>
      </w:r>
      <w:r w:rsidR="00CE21C0">
        <w:rPr>
          <w:rFonts w:ascii="Century Gothic" w:hAnsi="Century Gothic"/>
          <w:sz w:val="22"/>
          <w:szCs w:val="22"/>
        </w:rPr>
        <w:t xml:space="preserve">  Accordingly, </w:t>
      </w:r>
      <w:r w:rsidR="00083DBF">
        <w:rPr>
          <w:rFonts w:ascii="Century Gothic" w:hAnsi="Century Gothic"/>
          <w:sz w:val="22"/>
          <w:szCs w:val="22"/>
        </w:rPr>
        <w:t xml:space="preserve">Petitioner has requested Hon’ble Commission to depreciate the assets up to 90% in FY 2009-10.  </w:t>
      </w:r>
      <w:r w:rsidR="004B720D">
        <w:rPr>
          <w:rFonts w:ascii="Century Gothic" w:hAnsi="Century Gothic"/>
          <w:sz w:val="22"/>
          <w:szCs w:val="22"/>
        </w:rPr>
        <w:t>However, the Commission did not allow depreciation up to 90% with the remarks as under :</w:t>
      </w:r>
    </w:p>
    <w:p w:rsidR="004B720D" w:rsidRPr="004B720D" w:rsidRDefault="004B720D" w:rsidP="004B720D">
      <w:pPr>
        <w:pStyle w:val="ListParagraph"/>
        <w:rPr>
          <w:sz w:val="22"/>
          <w:szCs w:val="22"/>
        </w:rPr>
      </w:pPr>
    </w:p>
    <w:p w:rsidR="00BA3CA5" w:rsidRDefault="004B720D" w:rsidP="00BA3CA5">
      <w:pPr>
        <w:rPr>
          <w:sz w:val="22"/>
          <w:szCs w:val="22"/>
        </w:rPr>
      </w:pPr>
      <w:r>
        <w:rPr>
          <w:sz w:val="22"/>
          <w:szCs w:val="22"/>
        </w:rPr>
        <w:t>“3.74</w:t>
      </w:r>
      <w:r>
        <w:rPr>
          <w:sz w:val="22"/>
          <w:szCs w:val="22"/>
        </w:rPr>
        <w:tab/>
      </w:r>
      <w:r w:rsidRPr="004B720D">
        <w:rPr>
          <w:b/>
          <w:i/>
          <w:sz w:val="22"/>
          <w:szCs w:val="22"/>
        </w:rPr>
        <w:t>The Commission has further considered the impact of additional capitalization while comp</w:t>
      </w:r>
      <w:r>
        <w:rPr>
          <w:b/>
          <w:i/>
          <w:sz w:val="22"/>
          <w:szCs w:val="22"/>
        </w:rPr>
        <w:t>u</w:t>
      </w:r>
      <w:r w:rsidRPr="004B720D">
        <w:rPr>
          <w:b/>
          <w:i/>
          <w:sz w:val="22"/>
          <w:szCs w:val="22"/>
        </w:rPr>
        <w:t>ting depreciation.  However, with regards to the Petitioner’s claim of balance depr</w:t>
      </w:r>
      <w:r w:rsidR="00E61DFA">
        <w:rPr>
          <w:b/>
          <w:i/>
          <w:sz w:val="22"/>
          <w:szCs w:val="22"/>
        </w:rPr>
        <w:t>eciation to the extent of 90% o</w:t>
      </w:r>
      <w:r w:rsidRPr="004B720D">
        <w:rPr>
          <w:b/>
          <w:i/>
          <w:sz w:val="22"/>
          <w:szCs w:val="22"/>
        </w:rPr>
        <w:t xml:space="preserve">f the GFA value, the Commission is of the view that the issue shall be dealt with once the assets of IP </w:t>
      </w:r>
      <w:r w:rsidR="00A17B65">
        <w:rPr>
          <w:b/>
          <w:i/>
          <w:sz w:val="22"/>
          <w:szCs w:val="22"/>
        </w:rPr>
        <w:t>S</w:t>
      </w:r>
      <w:r w:rsidRPr="004B720D">
        <w:rPr>
          <w:b/>
          <w:i/>
          <w:sz w:val="22"/>
          <w:szCs w:val="22"/>
        </w:rPr>
        <w:t>tn. gets disposed off.  The commission has therefore only allowed depreciation by applying depreciation rates as specified in the DERC  MYT Regulations, 2007 on the opening GFA for the year</w:t>
      </w:r>
      <w:r w:rsidR="00E61DFA">
        <w:rPr>
          <w:b/>
          <w:i/>
          <w:sz w:val="22"/>
          <w:szCs w:val="22"/>
        </w:rPr>
        <w:t xml:space="preserve"> </w:t>
      </w:r>
      <w:r w:rsidRPr="004B720D">
        <w:rPr>
          <w:b/>
          <w:i/>
          <w:sz w:val="22"/>
          <w:szCs w:val="22"/>
        </w:rPr>
        <w:t>and on assets added during the year.  Accordingly, the depreciation as approved by the Commission in its MYT Order dated December 14, 2007, as requested by the Petitioner and that allowed by the Commission.”</w:t>
      </w:r>
      <w:r w:rsidR="00E61DFA">
        <w:rPr>
          <w:b/>
          <w:i/>
          <w:sz w:val="22"/>
          <w:szCs w:val="22"/>
        </w:rPr>
        <w:t xml:space="preserve"> </w:t>
      </w:r>
    </w:p>
    <w:p w:rsidR="0091406B" w:rsidRDefault="0091406B" w:rsidP="00513903">
      <w:pPr>
        <w:rPr>
          <w:b/>
          <w:bCs/>
          <w:sz w:val="22"/>
          <w:szCs w:val="22"/>
        </w:rPr>
      </w:pPr>
    </w:p>
    <w:p w:rsidR="00513903" w:rsidRPr="001B359B" w:rsidRDefault="00513903" w:rsidP="0084154D">
      <w:pPr>
        <w:ind w:firstLine="720"/>
        <w:rPr>
          <w:bCs/>
          <w:sz w:val="22"/>
          <w:szCs w:val="22"/>
        </w:rPr>
      </w:pPr>
      <w:r w:rsidRPr="001B359B">
        <w:rPr>
          <w:bCs/>
          <w:sz w:val="22"/>
          <w:szCs w:val="22"/>
        </w:rPr>
        <w:t>Since</w:t>
      </w:r>
      <w:r w:rsidR="00304578" w:rsidRPr="001B359B">
        <w:rPr>
          <w:bCs/>
          <w:sz w:val="22"/>
          <w:szCs w:val="22"/>
        </w:rPr>
        <w:t xml:space="preserve"> the additional information have already been submitted by petitioner in this regard</w:t>
      </w:r>
      <w:r w:rsidRPr="001B359B">
        <w:rPr>
          <w:bCs/>
          <w:sz w:val="22"/>
          <w:szCs w:val="22"/>
        </w:rPr>
        <w:t xml:space="preserve">, </w:t>
      </w:r>
      <w:r w:rsidR="00B05982" w:rsidRPr="001B359B">
        <w:rPr>
          <w:bCs/>
          <w:sz w:val="22"/>
          <w:szCs w:val="22"/>
        </w:rPr>
        <w:t>therefore</w:t>
      </w:r>
      <w:r w:rsidRPr="001B359B">
        <w:rPr>
          <w:bCs/>
          <w:sz w:val="22"/>
          <w:szCs w:val="22"/>
        </w:rPr>
        <w:t xml:space="preserve">, the petitioner requests the Hon’ble Commission </w:t>
      </w:r>
      <w:r w:rsidR="00B05982" w:rsidRPr="001B359B">
        <w:rPr>
          <w:bCs/>
          <w:sz w:val="22"/>
          <w:szCs w:val="22"/>
        </w:rPr>
        <w:t xml:space="preserve">not </w:t>
      </w:r>
      <w:r w:rsidRPr="001B359B">
        <w:rPr>
          <w:bCs/>
          <w:sz w:val="22"/>
          <w:szCs w:val="22"/>
        </w:rPr>
        <w:t xml:space="preserve">to </w:t>
      </w:r>
      <w:r w:rsidR="00684B8C" w:rsidRPr="001B359B">
        <w:rPr>
          <w:bCs/>
          <w:sz w:val="22"/>
          <w:szCs w:val="22"/>
        </w:rPr>
        <w:t>link</w:t>
      </w:r>
      <w:r w:rsidR="00B05982" w:rsidRPr="001B359B">
        <w:rPr>
          <w:bCs/>
          <w:sz w:val="22"/>
          <w:szCs w:val="22"/>
        </w:rPr>
        <w:t xml:space="preserve"> the recovery of Rs.175.41 Cr.</w:t>
      </w:r>
      <w:r w:rsidR="00684B8C" w:rsidRPr="001B359B">
        <w:rPr>
          <w:bCs/>
          <w:sz w:val="22"/>
          <w:szCs w:val="22"/>
        </w:rPr>
        <w:t xml:space="preserve"> </w:t>
      </w:r>
      <w:r w:rsidR="00221DEC" w:rsidRPr="001B359B">
        <w:rPr>
          <w:bCs/>
          <w:sz w:val="22"/>
          <w:szCs w:val="22"/>
        </w:rPr>
        <w:t xml:space="preserve">With final disposal of assets and land </w:t>
      </w:r>
      <w:r w:rsidR="00B05982" w:rsidRPr="001B359B">
        <w:rPr>
          <w:bCs/>
          <w:sz w:val="22"/>
          <w:szCs w:val="22"/>
        </w:rPr>
        <w:t xml:space="preserve"> </w:t>
      </w:r>
      <w:r w:rsidR="00FC0D6F" w:rsidRPr="001B359B">
        <w:rPr>
          <w:bCs/>
          <w:sz w:val="22"/>
          <w:szCs w:val="22"/>
        </w:rPr>
        <w:t xml:space="preserve">of IP Stn and allow the petitioner to allow above amount along with additional cost due to trued up </w:t>
      </w:r>
      <w:r w:rsidR="009230E0">
        <w:rPr>
          <w:bCs/>
          <w:sz w:val="22"/>
          <w:szCs w:val="22"/>
        </w:rPr>
        <w:t xml:space="preserve">and further submission </w:t>
      </w:r>
      <w:r w:rsidR="00FC0D6F" w:rsidRPr="001B359B">
        <w:rPr>
          <w:bCs/>
          <w:sz w:val="22"/>
          <w:szCs w:val="22"/>
        </w:rPr>
        <w:t xml:space="preserve"> by petitioner vide its letter dt. 3</w:t>
      </w:r>
      <w:r w:rsidR="0084154D" w:rsidRPr="001B359B">
        <w:rPr>
          <w:bCs/>
          <w:sz w:val="22"/>
          <w:szCs w:val="22"/>
        </w:rPr>
        <w:t>0</w:t>
      </w:r>
      <w:r w:rsidR="00FC0D6F" w:rsidRPr="001B359B">
        <w:rPr>
          <w:bCs/>
          <w:sz w:val="22"/>
          <w:szCs w:val="22"/>
        </w:rPr>
        <w:t>.10.2013.</w:t>
      </w:r>
    </w:p>
    <w:p w:rsidR="001E1FD1" w:rsidRPr="001B359B" w:rsidRDefault="001E1FD1" w:rsidP="00513903">
      <w:pPr>
        <w:rPr>
          <w:bCs/>
          <w:sz w:val="22"/>
          <w:szCs w:val="22"/>
        </w:rPr>
      </w:pPr>
    </w:p>
    <w:p w:rsidR="00513903" w:rsidRDefault="00513903" w:rsidP="00513903">
      <w:pPr>
        <w:rPr>
          <w:b/>
          <w:bCs/>
          <w:sz w:val="22"/>
          <w:szCs w:val="22"/>
        </w:rPr>
      </w:pPr>
      <w:r w:rsidRPr="00B60DC4">
        <w:rPr>
          <w:b/>
          <w:bCs/>
          <w:sz w:val="22"/>
          <w:szCs w:val="22"/>
        </w:rPr>
        <w:t>Rajghat Power House</w:t>
      </w:r>
    </w:p>
    <w:p w:rsidR="0048186C" w:rsidRPr="00B60DC4" w:rsidRDefault="0048186C" w:rsidP="00513903">
      <w:pPr>
        <w:rPr>
          <w:b/>
          <w:bCs/>
          <w:sz w:val="22"/>
          <w:szCs w:val="22"/>
        </w:rPr>
      </w:pPr>
    </w:p>
    <w:p w:rsidR="001C067F" w:rsidRDefault="008D0A2C" w:rsidP="00513903">
      <w:pPr>
        <w:rPr>
          <w:rFonts w:cs="Arial"/>
          <w:sz w:val="22"/>
          <w:szCs w:val="22"/>
        </w:rPr>
      </w:pPr>
      <w:r>
        <w:rPr>
          <w:rFonts w:cs="Arial"/>
          <w:sz w:val="22"/>
          <w:szCs w:val="22"/>
        </w:rPr>
        <w:t xml:space="preserve">In case of RPH petitioner may like to submit that earlier </w:t>
      </w:r>
      <w:r w:rsidR="00F93844">
        <w:rPr>
          <w:rFonts w:cs="Arial"/>
          <w:sz w:val="22"/>
          <w:szCs w:val="22"/>
        </w:rPr>
        <w:t>t</w:t>
      </w:r>
      <w:r w:rsidR="00513903">
        <w:rPr>
          <w:rFonts w:cs="Arial"/>
          <w:sz w:val="22"/>
          <w:szCs w:val="22"/>
        </w:rPr>
        <w:t>he Hon’ble Commission has approved the availability of 70% for FY 2011-12. However, the Hon’ble Commission has</w:t>
      </w:r>
      <w:r w:rsidR="00916BAF">
        <w:rPr>
          <w:rFonts w:cs="Arial"/>
          <w:sz w:val="22"/>
          <w:szCs w:val="22"/>
        </w:rPr>
        <w:t xml:space="preserve"> </w:t>
      </w:r>
      <w:r w:rsidR="00513903">
        <w:rPr>
          <w:rFonts w:cs="Arial"/>
          <w:sz w:val="22"/>
          <w:szCs w:val="22"/>
        </w:rPr>
        <w:t>fixed the target availability of 75</w:t>
      </w:r>
      <w:r w:rsidR="00B73783">
        <w:rPr>
          <w:rFonts w:cs="Arial"/>
          <w:sz w:val="22"/>
          <w:szCs w:val="22"/>
        </w:rPr>
        <w:t>%</w:t>
      </w:r>
      <w:r>
        <w:rPr>
          <w:rFonts w:cs="Arial"/>
          <w:sz w:val="22"/>
          <w:szCs w:val="22"/>
        </w:rPr>
        <w:t xml:space="preserve"> for FY 2012-13 to 2014-15</w:t>
      </w:r>
      <w:r w:rsidR="006E6596">
        <w:rPr>
          <w:rFonts w:cs="Arial"/>
          <w:sz w:val="22"/>
          <w:szCs w:val="22"/>
        </w:rPr>
        <w:t xml:space="preserve"> and extended period of 2015-16</w:t>
      </w:r>
      <w:r w:rsidR="00B73783">
        <w:rPr>
          <w:rFonts w:cs="Arial"/>
          <w:sz w:val="22"/>
          <w:szCs w:val="22"/>
        </w:rPr>
        <w:t>.</w:t>
      </w:r>
      <w:r w:rsidR="006E6596">
        <w:rPr>
          <w:rFonts w:cs="Arial"/>
          <w:sz w:val="22"/>
          <w:szCs w:val="22"/>
        </w:rPr>
        <w:t xml:space="preserve"> </w:t>
      </w:r>
      <w:r w:rsidR="00B73783">
        <w:rPr>
          <w:rFonts w:cs="Arial"/>
          <w:sz w:val="22"/>
          <w:szCs w:val="22"/>
        </w:rPr>
        <w:t xml:space="preserve"> </w:t>
      </w:r>
      <w:r w:rsidR="00513903" w:rsidRPr="00E70414">
        <w:rPr>
          <w:rFonts w:cs="Arial"/>
          <w:sz w:val="22"/>
          <w:szCs w:val="22"/>
        </w:rPr>
        <w:t xml:space="preserve">It is submitted that the average availability </w:t>
      </w:r>
      <w:r w:rsidR="00B73783">
        <w:rPr>
          <w:rFonts w:cs="Arial"/>
          <w:sz w:val="22"/>
          <w:szCs w:val="22"/>
        </w:rPr>
        <w:t xml:space="preserve">during the control period is </w:t>
      </w:r>
      <w:r w:rsidR="00B73783" w:rsidRPr="00826385">
        <w:rPr>
          <w:rFonts w:cs="Arial"/>
          <w:sz w:val="22"/>
          <w:szCs w:val="22"/>
        </w:rPr>
        <w:t>6</w:t>
      </w:r>
      <w:r w:rsidR="00F31E77" w:rsidRPr="00826385">
        <w:rPr>
          <w:rFonts w:cs="Arial"/>
          <w:sz w:val="22"/>
          <w:szCs w:val="22"/>
        </w:rPr>
        <w:t>4.61</w:t>
      </w:r>
      <w:r w:rsidR="00513903" w:rsidRPr="00826385">
        <w:rPr>
          <w:rFonts w:cs="Arial"/>
          <w:sz w:val="22"/>
          <w:szCs w:val="22"/>
        </w:rPr>
        <w:t>%</w:t>
      </w:r>
      <w:r w:rsidR="00513903" w:rsidRPr="00E70414">
        <w:rPr>
          <w:rFonts w:cs="Arial"/>
          <w:sz w:val="22"/>
          <w:szCs w:val="22"/>
        </w:rPr>
        <w:t xml:space="preserve"> which is </w:t>
      </w:r>
      <w:r w:rsidR="00075610">
        <w:rPr>
          <w:rFonts w:cs="Arial"/>
          <w:sz w:val="22"/>
          <w:szCs w:val="22"/>
        </w:rPr>
        <w:t>much</w:t>
      </w:r>
      <w:r w:rsidR="00513903" w:rsidRPr="00E70414">
        <w:rPr>
          <w:rFonts w:cs="Arial"/>
          <w:sz w:val="22"/>
          <w:szCs w:val="22"/>
        </w:rPr>
        <w:t xml:space="preserve"> below the target availability during the period.</w:t>
      </w:r>
      <w:r w:rsidR="0091132E">
        <w:rPr>
          <w:rFonts w:cs="Arial"/>
          <w:sz w:val="22"/>
          <w:szCs w:val="22"/>
        </w:rPr>
        <w:t xml:space="preserve"> </w:t>
      </w:r>
      <w:r w:rsidR="00B73783">
        <w:rPr>
          <w:rFonts w:cs="Arial"/>
          <w:sz w:val="22"/>
          <w:szCs w:val="22"/>
        </w:rPr>
        <w:t>H</w:t>
      </w:r>
      <w:r w:rsidR="00513903" w:rsidRPr="00E70414">
        <w:rPr>
          <w:rFonts w:cs="Arial"/>
          <w:sz w:val="22"/>
          <w:szCs w:val="22"/>
        </w:rPr>
        <w:t xml:space="preserve">igher availability of 75% </w:t>
      </w:r>
      <w:r w:rsidR="00B73783">
        <w:rPr>
          <w:rFonts w:cs="Arial"/>
          <w:sz w:val="22"/>
          <w:szCs w:val="22"/>
        </w:rPr>
        <w:t xml:space="preserve">as fixed by the Hon’ble Commission </w:t>
      </w:r>
      <w:r w:rsidR="00513903" w:rsidRPr="00E70414">
        <w:rPr>
          <w:rFonts w:cs="Arial"/>
          <w:sz w:val="22"/>
          <w:szCs w:val="22"/>
        </w:rPr>
        <w:t xml:space="preserve">during the </w:t>
      </w:r>
      <w:r w:rsidR="0000534C">
        <w:rPr>
          <w:rFonts w:cs="Arial"/>
          <w:sz w:val="22"/>
          <w:szCs w:val="22"/>
        </w:rPr>
        <w:t xml:space="preserve">present </w:t>
      </w:r>
      <w:r w:rsidR="0000534C" w:rsidRPr="00E70414">
        <w:rPr>
          <w:rFonts w:cs="Arial"/>
          <w:sz w:val="22"/>
          <w:szCs w:val="22"/>
        </w:rPr>
        <w:t>control</w:t>
      </w:r>
      <w:r w:rsidR="00513903" w:rsidRPr="00E70414">
        <w:rPr>
          <w:rFonts w:cs="Arial"/>
          <w:sz w:val="22"/>
          <w:szCs w:val="22"/>
        </w:rPr>
        <w:t xml:space="preserve"> period is not achievable and justified. </w:t>
      </w:r>
      <w:r w:rsidR="00B73783">
        <w:rPr>
          <w:rFonts w:cs="Arial"/>
          <w:sz w:val="22"/>
          <w:szCs w:val="22"/>
        </w:rPr>
        <w:t>S</w:t>
      </w:r>
      <w:r w:rsidR="00513903" w:rsidRPr="00E70414">
        <w:rPr>
          <w:rFonts w:cs="Arial"/>
          <w:sz w:val="22"/>
          <w:szCs w:val="22"/>
        </w:rPr>
        <w:t xml:space="preserve">tation is </w:t>
      </w:r>
      <w:r w:rsidR="00B73783">
        <w:rPr>
          <w:rFonts w:cs="Arial"/>
          <w:sz w:val="22"/>
          <w:szCs w:val="22"/>
        </w:rPr>
        <w:t>proposed</w:t>
      </w:r>
      <w:r w:rsidR="00513903" w:rsidRPr="00E70414">
        <w:rPr>
          <w:rFonts w:cs="Arial"/>
          <w:sz w:val="22"/>
          <w:szCs w:val="22"/>
        </w:rPr>
        <w:t xml:space="preserve"> to be closed down </w:t>
      </w:r>
      <w:r w:rsidR="006367DD">
        <w:rPr>
          <w:rFonts w:cs="Arial"/>
          <w:sz w:val="22"/>
          <w:szCs w:val="22"/>
        </w:rPr>
        <w:t>in near future</w:t>
      </w:r>
      <w:r w:rsidR="00513903" w:rsidRPr="00E70414">
        <w:rPr>
          <w:rFonts w:cs="Arial"/>
          <w:sz w:val="22"/>
          <w:szCs w:val="22"/>
        </w:rPr>
        <w:t xml:space="preserve"> and no major expenditure on R&amp;M is being incurred. </w:t>
      </w:r>
      <w:r w:rsidR="00A31946">
        <w:rPr>
          <w:rFonts w:cs="Arial"/>
          <w:sz w:val="22"/>
          <w:szCs w:val="22"/>
        </w:rPr>
        <w:t>Only need based maintenance is being carried out for sustained operation of the machines</w:t>
      </w:r>
      <w:r w:rsidR="00B76E02">
        <w:rPr>
          <w:rFonts w:cs="Arial"/>
          <w:sz w:val="22"/>
          <w:szCs w:val="22"/>
        </w:rPr>
        <w:t>.</w:t>
      </w:r>
      <w:r w:rsidR="00A31946" w:rsidRPr="00E70414">
        <w:rPr>
          <w:rFonts w:cs="Arial"/>
          <w:sz w:val="22"/>
          <w:szCs w:val="22"/>
        </w:rPr>
        <w:t xml:space="preserve"> </w:t>
      </w:r>
      <w:r w:rsidR="00513903" w:rsidRPr="00E70414">
        <w:rPr>
          <w:rFonts w:cs="Arial"/>
          <w:sz w:val="22"/>
          <w:szCs w:val="22"/>
        </w:rPr>
        <w:t xml:space="preserve">The fixing of higher targets is unrealistic and unjustified. </w:t>
      </w:r>
    </w:p>
    <w:p w:rsidR="001C067F" w:rsidRDefault="001C067F" w:rsidP="00513903">
      <w:pPr>
        <w:rPr>
          <w:rFonts w:cs="Arial"/>
          <w:sz w:val="22"/>
          <w:szCs w:val="22"/>
        </w:rPr>
      </w:pPr>
    </w:p>
    <w:p w:rsidR="00513903" w:rsidRPr="003D7352" w:rsidRDefault="00E95035" w:rsidP="00513903">
      <w:pPr>
        <w:rPr>
          <w:rFonts w:cs="Arial"/>
          <w:sz w:val="22"/>
          <w:szCs w:val="22"/>
        </w:rPr>
      </w:pPr>
      <w:r>
        <w:rPr>
          <w:rFonts w:cs="Arial"/>
          <w:b/>
          <w:bCs/>
          <w:sz w:val="22"/>
          <w:szCs w:val="22"/>
        </w:rPr>
        <w:t>In view of the above, t</w:t>
      </w:r>
      <w:r w:rsidR="00513903" w:rsidRPr="005D77AB">
        <w:rPr>
          <w:rFonts w:cs="Arial"/>
          <w:b/>
          <w:bCs/>
          <w:sz w:val="22"/>
          <w:szCs w:val="22"/>
        </w:rPr>
        <w:t xml:space="preserve">he petitioner requests the Hon'ble Commission </w:t>
      </w:r>
      <w:r w:rsidR="00513903">
        <w:rPr>
          <w:rFonts w:cs="Arial"/>
          <w:b/>
          <w:bCs/>
          <w:sz w:val="22"/>
          <w:szCs w:val="22"/>
        </w:rPr>
        <w:t xml:space="preserve">to relax and approve </w:t>
      </w:r>
      <w:r w:rsidR="0048186C">
        <w:rPr>
          <w:rFonts w:cs="Arial"/>
          <w:b/>
          <w:bCs/>
          <w:sz w:val="22"/>
          <w:szCs w:val="22"/>
        </w:rPr>
        <w:t xml:space="preserve">the </w:t>
      </w:r>
      <w:r w:rsidR="0048186C" w:rsidRPr="005D77AB">
        <w:rPr>
          <w:rFonts w:cs="Arial"/>
          <w:b/>
          <w:bCs/>
          <w:sz w:val="22"/>
          <w:szCs w:val="22"/>
        </w:rPr>
        <w:t>availability</w:t>
      </w:r>
      <w:r w:rsidR="00513903" w:rsidRPr="005D77AB">
        <w:rPr>
          <w:rFonts w:cs="Arial"/>
          <w:b/>
          <w:bCs/>
          <w:sz w:val="22"/>
          <w:szCs w:val="22"/>
        </w:rPr>
        <w:t xml:space="preserve"> of 70% for recovery of full fixed cost for FY</w:t>
      </w:r>
      <w:r w:rsidR="00513903">
        <w:rPr>
          <w:rFonts w:cs="Arial"/>
          <w:b/>
          <w:bCs/>
          <w:sz w:val="22"/>
          <w:szCs w:val="22"/>
        </w:rPr>
        <w:t xml:space="preserve"> </w:t>
      </w:r>
      <w:r w:rsidR="00513903" w:rsidRPr="005D77AB">
        <w:rPr>
          <w:rFonts w:cs="Arial"/>
          <w:b/>
          <w:bCs/>
          <w:sz w:val="22"/>
          <w:szCs w:val="22"/>
        </w:rPr>
        <w:t>201</w:t>
      </w:r>
      <w:r w:rsidR="00513903">
        <w:rPr>
          <w:rFonts w:cs="Arial"/>
          <w:b/>
          <w:bCs/>
          <w:sz w:val="22"/>
          <w:szCs w:val="22"/>
        </w:rPr>
        <w:t>2</w:t>
      </w:r>
      <w:r w:rsidR="00513903" w:rsidRPr="005D77AB">
        <w:rPr>
          <w:rFonts w:cs="Arial"/>
          <w:b/>
          <w:bCs/>
          <w:sz w:val="22"/>
          <w:szCs w:val="22"/>
        </w:rPr>
        <w:t>-1</w:t>
      </w:r>
      <w:r w:rsidR="00513903">
        <w:rPr>
          <w:rFonts w:cs="Arial"/>
          <w:b/>
          <w:bCs/>
          <w:sz w:val="22"/>
          <w:szCs w:val="22"/>
        </w:rPr>
        <w:t>3 to FY 2014-15</w:t>
      </w:r>
      <w:r w:rsidR="00DA4281">
        <w:rPr>
          <w:rFonts w:cs="Arial"/>
          <w:b/>
          <w:bCs/>
          <w:sz w:val="22"/>
          <w:szCs w:val="22"/>
        </w:rPr>
        <w:t xml:space="preserve"> and extended period 2015-16.</w:t>
      </w:r>
      <w:r w:rsidR="00513903" w:rsidRPr="003D7352">
        <w:rPr>
          <w:rFonts w:cs="Arial"/>
          <w:sz w:val="22"/>
          <w:szCs w:val="22"/>
        </w:rPr>
        <w:t xml:space="preserve"> </w:t>
      </w:r>
    </w:p>
    <w:p w:rsidR="00513903" w:rsidRDefault="00513903" w:rsidP="00513903">
      <w:pPr>
        <w:rPr>
          <w:sz w:val="22"/>
          <w:szCs w:val="22"/>
        </w:rPr>
      </w:pPr>
      <w:r w:rsidRPr="003D7352">
        <w:rPr>
          <w:sz w:val="22"/>
          <w:szCs w:val="22"/>
        </w:rPr>
        <w:t xml:space="preserve"> </w:t>
      </w:r>
    </w:p>
    <w:p w:rsidR="00513903" w:rsidRDefault="00513903" w:rsidP="00513903">
      <w:pPr>
        <w:rPr>
          <w:b/>
          <w:bCs/>
          <w:sz w:val="22"/>
          <w:szCs w:val="22"/>
        </w:rPr>
      </w:pPr>
      <w:r w:rsidRPr="00C04E34">
        <w:rPr>
          <w:b/>
          <w:bCs/>
          <w:sz w:val="22"/>
          <w:szCs w:val="22"/>
        </w:rPr>
        <w:lastRenderedPageBreak/>
        <w:t>Gas Turbine Power Station</w:t>
      </w:r>
    </w:p>
    <w:p w:rsidR="007A040C" w:rsidRDefault="007A040C" w:rsidP="00513903">
      <w:pPr>
        <w:rPr>
          <w:b/>
          <w:bCs/>
          <w:sz w:val="22"/>
          <w:szCs w:val="22"/>
        </w:rPr>
      </w:pPr>
    </w:p>
    <w:p w:rsidR="00513903" w:rsidRPr="00C260E8" w:rsidRDefault="00137480" w:rsidP="00513903">
      <w:pPr>
        <w:rPr>
          <w:rFonts w:cs="Arial"/>
          <w:sz w:val="22"/>
          <w:szCs w:val="22"/>
        </w:rPr>
      </w:pPr>
      <w:r>
        <w:rPr>
          <w:rFonts w:cs="Arial"/>
          <w:sz w:val="22"/>
          <w:szCs w:val="22"/>
        </w:rPr>
        <w:t xml:space="preserve">Petitioner submits that in MYT Regulations, 2011, target availability for the Control period FY 2012-13 to FY 2014-15 </w:t>
      </w:r>
      <w:r w:rsidR="00F30C39">
        <w:rPr>
          <w:rFonts w:cs="Arial"/>
          <w:sz w:val="22"/>
          <w:szCs w:val="22"/>
        </w:rPr>
        <w:t xml:space="preserve">and extended period for FY 2015-16 </w:t>
      </w:r>
      <w:r>
        <w:rPr>
          <w:rFonts w:cs="Arial"/>
          <w:sz w:val="22"/>
          <w:szCs w:val="22"/>
        </w:rPr>
        <w:t xml:space="preserve">has been fixed at 80%. </w:t>
      </w:r>
      <w:r w:rsidR="00F30C39">
        <w:rPr>
          <w:rFonts w:cs="Arial"/>
          <w:sz w:val="22"/>
          <w:szCs w:val="22"/>
        </w:rPr>
        <w:t>However, the actual availability t</w:t>
      </w:r>
      <w:r w:rsidR="00513903" w:rsidRPr="00C260E8">
        <w:rPr>
          <w:rFonts w:cs="Arial"/>
          <w:sz w:val="22"/>
          <w:szCs w:val="22"/>
        </w:rPr>
        <w:t xml:space="preserve">he actual availability achieved by the station during </w:t>
      </w:r>
      <w:r w:rsidR="00F30C39">
        <w:rPr>
          <w:rFonts w:cs="Arial"/>
          <w:sz w:val="22"/>
          <w:szCs w:val="22"/>
        </w:rPr>
        <w:t xml:space="preserve">FY 2012-13 to 2014-15 </w:t>
      </w:r>
      <w:r w:rsidR="00513903" w:rsidRPr="00C260E8">
        <w:rPr>
          <w:rFonts w:cs="Arial"/>
          <w:sz w:val="22"/>
          <w:szCs w:val="22"/>
        </w:rPr>
        <w:t>is as under:</w:t>
      </w:r>
    </w:p>
    <w:p w:rsidR="008C3715" w:rsidRDefault="008C3715" w:rsidP="008C3715">
      <w:pPr>
        <w:pStyle w:val="Caption"/>
        <w:keepNext/>
        <w:jc w:val="center"/>
      </w:pPr>
      <w:bookmarkStart w:id="17" w:name="_Toc411603979"/>
      <w:r>
        <w:t xml:space="preserve">Table </w:t>
      </w:r>
      <w:fldSimple w:instr=" SEQ Table \* ARABIC ">
        <w:r w:rsidR="002326CE">
          <w:rPr>
            <w:noProof/>
          </w:rPr>
          <w:t>2</w:t>
        </w:r>
      </w:fldSimple>
      <w:r w:rsidR="008A496E">
        <w:t xml:space="preserve"> </w:t>
      </w:r>
      <w:r>
        <w:t>:</w:t>
      </w:r>
      <w:r w:rsidR="004D4293">
        <w:t xml:space="preserve"> </w:t>
      </w:r>
      <w:r w:rsidR="0005376F">
        <w:t>Availability (</w:t>
      </w:r>
      <w:r>
        <w:t>%) of GTPS</w:t>
      </w:r>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3"/>
        <w:gridCol w:w="4857"/>
      </w:tblGrid>
      <w:tr w:rsidR="00513903" w:rsidRPr="008E3DA3" w:rsidTr="007A040C">
        <w:tc>
          <w:tcPr>
            <w:tcW w:w="3963" w:type="dxa"/>
            <w:shd w:val="clear" w:color="auto" w:fill="002060"/>
          </w:tcPr>
          <w:p w:rsidR="00513903" w:rsidRPr="008E3DA3" w:rsidRDefault="00513903" w:rsidP="008E3DA3">
            <w:pPr>
              <w:ind w:left="432"/>
              <w:rPr>
                <w:rFonts w:cs="Arial"/>
                <w:b/>
                <w:sz w:val="22"/>
                <w:szCs w:val="22"/>
              </w:rPr>
            </w:pPr>
            <w:r w:rsidRPr="008E3DA3">
              <w:rPr>
                <w:rFonts w:cs="Arial"/>
                <w:b/>
                <w:sz w:val="22"/>
                <w:szCs w:val="22"/>
              </w:rPr>
              <w:t>F</w:t>
            </w:r>
            <w:r w:rsidR="00A23BDE">
              <w:rPr>
                <w:rFonts w:cs="Arial"/>
                <w:b/>
                <w:sz w:val="22"/>
                <w:szCs w:val="22"/>
              </w:rPr>
              <w:t xml:space="preserve">inancial </w:t>
            </w:r>
            <w:r w:rsidRPr="008E3DA3">
              <w:rPr>
                <w:rFonts w:cs="Arial"/>
                <w:b/>
                <w:sz w:val="22"/>
                <w:szCs w:val="22"/>
              </w:rPr>
              <w:t>Y</w:t>
            </w:r>
            <w:r w:rsidR="00A23BDE">
              <w:rPr>
                <w:rFonts w:cs="Arial"/>
                <w:b/>
                <w:sz w:val="22"/>
                <w:szCs w:val="22"/>
              </w:rPr>
              <w:t>ear</w:t>
            </w:r>
          </w:p>
        </w:tc>
        <w:tc>
          <w:tcPr>
            <w:tcW w:w="4857" w:type="dxa"/>
            <w:shd w:val="clear" w:color="auto" w:fill="002060"/>
          </w:tcPr>
          <w:p w:rsidR="00513903" w:rsidRPr="008E3DA3" w:rsidRDefault="00513903" w:rsidP="008E3DA3">
            <w:pPr>
              <w:jc w:val="center"/>
              <w:rPr>
                <w:rFonts w:cs="Arial"/>
                <w:b/>
                <w:sz w:val="22"/>
                <w:szCs w:val="22"/>
              </w:rPr>
            </w:pPr>
            <w:r w:rsidRPr="008E3DA3">
              <w:rPr>
                <w:rFonts w:cs="Arial"/>
                <w:b/>
                <w:sz w:val="22"/>
                <w:szCs w:val="22"/>
              </w:rPr>
              <w:t>Availability (%)</w:t>
            </w:r>
          </w:p>
        </w:tc>
      </w:tr>
      <w:tr w:rsidR="00513903" w:rsidRPr="008E3DA3" w:rsidTr="008E3DA3">
        <w:tc>
          <w:tcPr>
            <w:tcW w:w="3963" w:type="dxa"/>
          </w:tcPr>
          <w:p w:rsidR="00513903" w:rsidRPr="008E3DA3" w:rsidRDefault="008A18F3" w:rsidP="008A18F3">
            <w:pPr>
              <w:ind w:left="432"/>
              <w:rPr>
                <w:rFonts w:cs="Arial"/>
                <w:sz w:val="22"/>
                <w:szCs w:val="22"/>
              </w:rPr>
            </w:pPr>
            <w:r>
              <w:rPr>
                <w:rFonts w:cs="Arial"/>
                <w:sz w:val="22"/>
                <w:szCs w:val="22"/>
              </w:rPr>
              <w:t>2012</w:t>
            </w:r>
            <w:r w:rsidR="00513903" w:rsidRPr="008E3DA3">
              <w:rPr>
                <w:rFonts w:cs="Arial"/>
                <w:sz w:val="22"/>
                <w:szCs w:val="22"/>
              </w:rPr>
              <w:t>-</w:t>
            </w:r>
            <w:r>
              <w:rPr>
                <w:rFonts w:cs="Arial"/>
                <w:sz w:val="22"/>
                <w:szCs w:val="22"/>
              </w:rPr>
              <w:t>13</w:t>
            </w:r>
          </w:p>
        </w:tc>
        <w:tc>
          <w:tcPr>
            <w:tcW w:w="4857" w:type="dxa"/>
            <w:vAlign w:val="center"/>
          </w:tcPr>
          <w:p w:rsidR="00513903" w:rsidRPr="00826385" w:rsidRDefault="008A18F3" w:rsidP="00FC724F">
            <w:pPr>
              <w:autoSpaceDE w:val="0"/>
              <w:autoSpaceDN w:val="0"/>
              <w:adjustRightInd w:val="0"/>
              <w:jc w:val="center"/>
              <w:rPr>
                <w:rFonts w:cs="Arial"/>
                <w:sz w:val="22"/>
                <w:szCs w:val="22"/>
              </w:rPr>
            </w:pPr>
            <w:r w:rsidRPr="00826385">
              <w:rPr>
                <w:rFonts w:cs="Arial"/>
                <w:sz w:val="22"/>
                <w:szCs w:val="22"/>
              </w:rPr>
              <w:t>84.22</w:t>
            </w:r>
          </w:p>
        </w:tc>
      </w:tr>
      <w:tr w:rsidR="00513903" w:rsidRPr="008E3DA3" w:rsidTr="008E3DA3">
        <w:tc>
          <w:tcPr>
            <w:tcW w:w="3963" w:type="dxa"/>
          </w:tcPr>
          <w:p w:rsidR="00513903" w:rsidRPr="008E3DA3" w:rsidRDefault="008A18F3" w:rsidP="008A18F3">
            <w:pPr>
              <w:ind w:left="432"/>
              <w:rPr>
                <w:rFonts w:cs="Arial"/>
                <w:sz w:val="22"/>
                <w:szCs w:val="22"/>
              </w:rPr>
            </w:pPr>
            <w:r>
              <w:rPr>
                <w:rFonts w:cs="Arial"/>
                <w:sz w:val="22"/>
                <w:szCs w:val="22"/>
              </w:rPr>
              <w:t>2013-14</w:t>
            </w:r>
          </w:p>
        </w:tc>
        <w:tc>
          <w:tcPr>
            <w:tcW w:w="4857" w:type="dxa"/>
          </w:tcPr>
          <w:p w:rsidR="00513903" w:rsidRPr="00826385" w:rsidRDefault="008A18F3" w:rsidP="00FC724F">
            <w:pPr>
              <w:jc w:val="center"/>
              <w:rPr>
                <w:rFonts w:cs="Arial"/>
                <w:sz w:val="22"/>
                <w:szCs w:val="22"/>
              </w:rPr>
            </w:pPr>
            <w:r w:rsidRPr="00826385">
              <w:rPr>
                <w:rFonts w:cs="Arial"/>
                <w:sz w:val="22"/>
                <w:szCs w:val="22"/>
              </w:rPr>
              <w:t>86.94</w:t>
            </w:r>
          </w:p>
        </w:tc>
      </w:tr>
      <w:tr w:rsidR="00513903" w:rsidRPr="008E3DA3" w:rsidTr="008E3DA3">
        <w:tc>
          <w:tcPr>
            <w:tcW w:w="3963" w:type="dxa"/>
          </w:tcPr>
          <w:p w:rsidR="00513903" w:rsidRPr="008E3DA3" w:rsidRDefault="00513903" w:rsidP="00640BC6">
            <w:pPr>
              <w:ind w:left="432"/>
              <w:rPr>
                <w:rFonts w:cs="Arial"/>
                <w:sz w:val="22"/>
                <w:szCs w:val="22"/>
              </w:rPr>
            </w:pPr>
            <w:r w:rsidRPr="008E3DA3">
              <w:rPr>
                <w:rFonts w:cs="Arial"/>
                <w:sz w:val="22"/>
                <w:szCs w:val="22"/>
              </w:rPr>
              <w:t>20</w:t>
            </w:r>
            <w:r w:rsidR="008A18F3">
              <w:rPr>
                <w:rFonts w:cs="Arial"/>
                <w:sz w:val="22"/>
                <w:szCs w:val="22"/>
              </w:rPr>
              <w:t>14</w:t>
            </w:r>
            <w:r w:rsidRPr="008E3DA3">
              <w:rPr>
                <w:rFonts w:cs="Arial"/>
                <w:sz w:val="22"/>
                <w:szCs w:val="22"/>
              </w:rPr>
              <w:t>-1</w:t>
            </w:r>
            <w:r w:rsidR="008A18F3">
              <w:rPr>
                <w:rFonts w:cs="Arial"/>
                <w:sz w:val="22"/>
                <w:szCs w:val="22"/>
              </w:rPr>
              <w:t>5</w:t>
            </w:r>
            <w:r w:rsidR="008A18F3" w:rsidRPr="008E3DA3">
              <w:rPr>
                <w:rFonts w:cs="Arial"/>
                <w:sz w:val="22"/>
                <w:szCs w:val="22"/>
              </w:rPr>
              <w:t xml:space="preserve">(up to </w:t>
            </w:r>
            <w:r w:rsidR="00640BC6">
              <w:rPr>
                <w:rFonts w:cs="Arial"/>
                <w:sz w:val="22"/>
                <w:szCs w:val="22"/>
              </w:rPr>
              <w:t>Dec</w:t>
            </w:r>
            <w:r w:rsidR="008A18F3">
              <w:rPr>
                <w:rFonts w:cs="Arial"/>
                <w:sz w:val="22"/>
                <w:szCs w:val="22"/>
              </w:rPr>
              <w:t>.14</w:t>
            </w:r>
            <w:r w:rsidR="008A18F3" w:rsidRPr="008E3DA3">
              <w:rPr>
                <w:rFonts w:cs="Arial"/>
                <w:sz w:val="22"/>
                <w:szCs w:val="22"/>
              </w:rPr>
              <w:t>)</w:t>
            </w:r>
          </w:p>
        </w:tc>
        <w:tc>
          <w:tcPr>
            <w:tcW w:w="4857" w:type="dxa"/>
          </w:tcPr>
          <w:p w:rsidR="00513903" w:rsidRPr="00826385" w:rsidRDefault="00640BC6" w:rsidP="00FC724F">
            <w:pPr>
              <w:jc w:val="center"/>
              <w:rPr>
                <w:rFonts w:cs="Arial"/>
                <w:sz w:val="22"/>
                <w:szCs w:val="22"/>
              </w:rPr>
            </w:pPr>
            <w:r w:rsidRPr="00826385">
              <w:rPr>
                <w:rFonts w:cs="Arial"/>
                <w:sz w:val="22"/>
                <w:szCs w:val="22"/>
              </w:rPr>
              <w:t>66.11</w:t>
            </w:r>
          </w:p>
        </w:tc>
      </w:tr>
    </w:tbl>
    <w:p w:rsidR="00513903" w:rsidRPr="00C260E8" w:rsidRDefault="00513903" w:rsidP="00513903">
      <w:pPr>
        <w:rPr>
          <w:rFonts w:cs="Arial"/>
          <w:sz w:val="22"/>
          <w:szCs w:val="22"/>
        </w:rPr>
      </w:pPr>
    </w:p>
    <w:p w:rsidR="00513903" w:rsidRPr="00C260E8" w:rsidRDefault="007C7643" w:rsidP="00513903">
      <w:pPr>
        <w:rPr>
          <w:rFonts w:cs="Arial"/>
          <w:sz w:val="22"/>
          <w:szCs w:val="22"/>
        </w:rPr>
      </w:pPr>
      <w:r>
        <w:rPr>
          <w:rFonts w:cs="Arial"/>
          <w:sz w:val="22"/>
          <w:szCs w:val="22"/>
        </w:rPr>
        <w:t>Thus,</w:t>
      </w:r>
      <w:r w:rsidR="00513903" w:rsidRPr="00C260E8">
        <w:rPr>
          <w:rFonts w:cs="Arial"/>
          <w:sz w:val="22"/>
          <w:szCs w:val="22"/>
        </w:rPr>
        <w:t xml:space="preserve"> average availability (%) achieved by the station during the Control period is around </w:t>
      </w:r>
      <w:r w:rsidR="00F31E77" w:rsidRPr="00826385">
        <w:rPr>
          <w:rFonts w:cs="Arial"/>
          <w:sz w:val="22"/>
          <w:szCs w:val="22"/>
        </w:rPr>
        <w:t>79.09</w:t>
      </w:r>
      <w:r w:rsidR="00513903" w:rsidRPr="00826385">
        <w:rPr>
          <w:rFonts w:cs="Arial"/>
          <w:sz w:val="22"/>
          <w:szCs w:val="22"/>
        </w:rPr>
        <w:t>%.</w:t>
      </w:r>
      <w:r w:rsidR="00513903" w:rsidRPr="00C260E8">
        <w:rPr>
          <w:rFonts w:cs="Arial"/>
          <w:sz w:val="22"/>
          <w:szCs w:val="22"/>
        </w:rPr>
        <w:t xml:space="preserve"> The availability of the station has be</w:t>
      </w:r>
      <w:r w:rsidR="00513903">
        <w:rPr>
          <w:rFonts w:cs="Arial"/>
          <w:sz w:val="22"/>
          <w:szCs w:val="22"/>
        </w:rPr>
        <w:t>en varying since its inception.</w:t>
      </w:r>
    </w:p>
    <w:p w:rsidR="005D3CF7" w:rsidRDefault="005D3CF7" w:rsidP="00513903">
      <w:pPr>
        <w:rPr>
          <w:rFonts w:cs="Arial"/>
          <w:sz w:val="22"/>
          <w:szCs w:val="22"/>
        </w:rPr>
      </w:pPr>
    </w:p>
    <w:p w:rsidR="00513903" w:rsidRPr="00C260E8" w:rsidRDefault="00513903" w:rsidP="00513903">
      <w:pPr>
        <w:rPr>
          <w:rFonts w:cs="Arial"/>
          <w:sz w:val="22"/>
          <w:szCs w:val="22"/>
        </w:rPr>
      </w:pPr>
      <w:r w:rsidRPr="00C260E8">
        <w:rPr>
          <w:rFonts w:cs="Arial"/>
          <w:sz w:val="22"/>
          <w:szCs w:val="22"/>
        </w:rPr>
        <w:t xml:space="preserve">Further, it is submitted that Central Electricity Regulatory Commission has appreciated to recognize the life cycle of 15 years for Gas Turbines.  The CERC has fixed the norm of 72% availability for similar station like Assam Gas based Station </w:t>
      </w:r>
      <w:r w:rsidR="00AF0B51">
        <w:rPr>
          <w:rFonts w:cs="Arial"/>
          <w:sz w:val="22"/>
          <w:szCs w:val="22"/>
        </w:rPr>
        <w:t xml:space="preserve">for the period </w:t>
      </w:r>
      <w:r w:rsidR="00AF0B51" w:rsidRPr="00C260E8">
        <w:rPr>
          <w:rFonts w:cs="Arial"/>
          <w:sz w:val="22"/>
          <w:szCs w:val="22"/>
        </w:rPr>
        <w:t xml:space="preserve">FY </w:t>
      </w:r>
      <w:r w:rsidR="00AF0B51">
        <w:rPr>
          <w:rFonts w:cs="Arial"/>
          <w:sz w:val="22"/>
          <w:szCs w:val="22"/>
        </w:rPr>
        <w:t xml:space="preserve">2014-15 to 2018-19 </w:t>
      </w:r>
      <w:r w:rsidRPr="00C260E8">
        <w:rPr>
          <w:rFonts w:cs="Arial"/>
          <w:sz w:val="22"/>
          <w:szCs w:val="22"/>
        </w:rPr>
        <w:t xml:space="preserve">based on the average of actual availability achieved during the </w:t>
      </w:r>
      <w:r w:rsidR="00AF0B51">
        <w:rPr>
          <w:rFonts w:cs="Arial"/>
          <w:sz w:val="22"/>
          <w:szCs w:val="22"/>
        </w:rPr>
        <w:t xml:space="preserve">previous MYT period </w:t>
      </w:r>
      <w:r w:rsidR="00B07C05">
        <w:rPr>
          <w:rFonts w:cs="Arial"/>
          <w:sz w:val="22"/>
          <w:szCs w:val="22"/>
        </w:rPr>
        <w:t xml:space="preserve">FY </w:t>
      </w:r>
      <w:r w:rsidR="00AF0B51">
        <w:rPr>
          <w:rFonts w:cs="Arial"/>
          <w:sz w:val="22"/>
          <w:szCs w:val="22"/>
        </w:rPr>
        <w:t>2009</w:t>
      </w:r>
      <w:r w:rsidR="00B07C05">
        <w:rPr>
          <w:rFonts w:cs="Arial"/>
          <w:sz w:val="22"/>
          <w:szCs w:val="22"/>
        </w:rPr>
        <w:t>-10</w:t>
      </w:r>
      <w:r w:rsidR="00AF0B51">
        <w:rPr>
          <w:rFonts w:cs="Arial"/>
          <w:sz w:val="22"/>
          <w:szCs w:val="22"/>
        </w:rPr>
        <w:t xml:space="preserve"> to 201</w:t>
      </w:r>
      <w:r w:rsidR="00B07C05">
        <w:rPr>
          <w:rFonts w:cs="Arial"/>
          <w:sz w:val="22"/>
          <w:szCs w:val="22"/>
        </w:rPr>
        <w:t>3-14</w:t>
      </w:r>
      <w:r w:rsidRPr="00C260E8">
        <w:rPr>
          <w:rFonts w:cs="Arial"/>
          <w:sz w:val="22"/>
          <w:szCs w:val="22"/>
        </w:rPr>
        <w:t xml:space="preserve">. </w:t>
      </w:r>
      <w:r w:rsidR="00643FAA">
        <w:rPr>
          <w:rFonts w:cs="Arial"/>
          <w:sz w:val="22"/>
          <w:szCs w:val="22"/>
        </w:rPr>
        <w:t xml:space="preserve">It is further submitted that CERC while fixing the operational parameters has adopted the principle of average performance during </w:t>
      </w:r>
      <w:r w:rsidR="00245FD2">
        <w:rPr>
          <w:rFonts w:cs="Arial"/>
          <w:sz w:val="22"/>
          <w:szCs w:val="22"/>
        </w:rPr>
        <w:t>previous MYT period</w:t>
      </w:r>
      <w:r w:rsidR="004414FE">
        <w:rPr>
          <w:rFonts w:cs="Arial"/>
          <w:sz w:val="22"/>
          <w:szCs w:val="22"/>
        </w:rPr>
        <w:t xml:space="preserve"> and not the best of the parameters</w:t>
      </w:r>
      <w:r w:rsidR="00860A5E">
        <w:rPr>
          <w:rFonts w:cs="Arial"/>
          <w:sz w:val="22"/>
          <w:szCs w:val="22"/>
        </w:rPr>
        <w:t xml:space="preserve"> during that period</w:t>
      </w:r>
      <w:r w:rsidR="00643FAA">
        <w:rPr>
          <w:rFonts w:cs="Arial"/>
          <w:sz w:val="22"/>
          <w:szCs w:val="22"/>
        </w:rPr>
        <w:t>.</w:t>
      </w:r>
      <w:r w:rsidR="00C00126">
        <w:rPr>
          <w:rFonts w:cs="Arial"/>
          <w:sz w:val="22"/>
          <w:szCs w:val="22"/>
        </w:rPr>
        <w:t xml:space="preserve"> </w:t>
      </w:r>
      <w:r w:rsidR="009E56B1">
        <w:rPr>
          <w:rFonts w:cs="Arial"/>
          <w:sz w:val="22"/>
          <w:szCs w:val="22"/>
        </w:rPr>
        <w:t>The petitioner would like to mention that the Gas Turbines</w:t>
      </w:r>
      <w:r w:rsidR="009B1EF0">
        <w:rPr>
          <w:rFonts w:cs="Arial"/>
          <w:sz w:val="22"/>
          <w:szCs w:val="22"/>
        </w:rPr>
        <w:t xml:space="preserve"> of the station are more than 28</w:t>
      </w:r>
      <w:r w:rsidR="00E43035">
        <w:rPr>
          <w:rFonts w:cs="Arial"/>
          <w:sz w:val="22"/>
          <w:szCs w:val="22"/>
        </w:rPr>
        <w:t xml:space="preserve"> </w:t>
      </w:r>
      <w:r w:rsidR="009E56B1">
        <w:rPr>
          <w:rFonts w:cs="Arial"/>
          <w:sz w:val="22"/>
          <w:szCs w:val="22"/>
        </w:rPr>
        <w:t xml:space="preserve">years old and no major Renovation and Modernization of the station has been undertaken so far. </w:t>
      </w:r>
      <w:r w:rsidRPr="00C260E8">
        <w:rPr>
          <w:rFonts w:cs="Arial"/>
          <w:sz w:val="22"/>
          <w:szCs w:val="22"/>
        </w:rPr>
        <w:t>The Hon’ble Commission is requested to retain the normative availability of 70% for recovery of full fixed cost</w:t>
      </w:r>
      <w:r w:rsidR="001F28B8">
        <w:rPr>
          <w:rFonts w:cs="Arial"/>
          <w:sz w:val="22"/>
          <w:szCs w:val="22"/>
        </w:rPr>
        <w:t>,</w:t>
      </w:r>
      <w:r w:rsidRPr="00C260E8">
        <w:rPr>
          <w:rFonts w:cs="Arial"/>
          <w:sz w:val="22"/>
          <w:szCs w:val="22"/>
        </w:rPr>
        <w:t xml:space="preserve"> based upon the principles adopted by CERC</w:t>
      </w:r>
      <w:r w:rsidR="001E1FD1">
        <w:rPr>
          <w:rFonts w:cs="Arial"/>
          <w:sz w:val="22"/>
          <w:szCs w:val="22"/>
        </w:rPr>
        <w:t>.</w:t>
      </w:r>
      <w:r w:rsidRPr="00C260E8">
        <w:rPr>
          <w:rFonts w:cs="Arial"/>
          <w:sz w:val="22"/>
          <w:szCs w:val="22"/>
        </w:rPr>
        <w:t xml:space="preserve"> </w:t>
      </w:r>
    </w:p>
    <w:p w:rsidR="00513903" w:rsidRDefault="00513903" w:rsidP="00513903">
      <w:pPr>
        <w:rPr>
          <w:b/>
          <w:bCs/>
          <w:sz w:val="22"/>
          <w:szCs w:val="22"/>
        </w:rPr>
      </w:pPr>
    </w:p>
    <w:p w:rsidR="001D4BBB" w:rsidRPr="00633922" w:rsidRDefault="00883F0D" w:rsidP="00883F0D">
      <w:pPr>
        <w:rPr>
          <w:rFonts w:cs="Arial"/>
          <w:b/>
          <w:bCs/>
          <w:sz w:val="22"/>
          <w:szCs w:val="22"/>
        </w:rPr>
      </w:pPr>
      <w:r>
        <w:rPr>
          <w:rFonts w:cs="Arial"/>
          <w:b/>
          <w:bCs/>
          <w:sz w:val="22"/>
          <w:szCs w:val="22"/>
        </w:rPr>
        <w:t>In view of the above, P</w:t>
      </w:r>
      <w:r w:rsidR="001D4BBB" w:rsidRPr="00633922">
        <w:rPr>
          <w:rFonts w:cs="Arial"/>
          <w:b/>
          <w:bCs/>
          <w:sz w:val="22"/>
          <w:szCs w:val="22"/>
        </w:rPr>
        <w:t xml:space="preserve">etitioner submits that it will make all out efforts to optimize the availability of the station. It submits that it will not claim any incentive as per the regulations upto the level of </w:t>
      </w:r>
      <w:r w:rsidR="001D4BBB">
        <w:rPr>
          <w:rFonts w:cs="Arial"/>
          <w:b/>
          <w:bCs/>
          <w:sz w:val="22"/>
          <w:szCs w:val="22"/>
        </w:rPr>
        <w:t>80</w:t>
      </w:r>
      <w:r w:rsidR="001D4BBB" w:rsidRPr="00633922">
        <w:rPr>
          <w:rFonts w:cs="Arial"/>
          <w:b/>
          <w:bCs/>
          <w:sz w:val="22"/>
          <w:szCs w:val="22"/>
        </w:rPr>
        <w:t>% availability, in case the Hon’ble Commission relaxes the availability norm to 70% for recovery of fixed cost.</w:t>
      </w:r>
    </w:p>
    <w:p w:rsidR="001D4BBB" w:rsidRPr="00C3026F" w:rsidRDefault="001D4BBB" w:rsidP="00513903">
      <w:pPr>
        <w:rPr>
          <w:b/>
          <w:bCs/>
          <w:sz w:val="22"/>
          <w:szCs w:val="22"/>
        </w:rPr>
      </w:pPr>
    </w:p>
    <w:p w:rsidR="00513903" w:rsidRDefault="00513903" w:rsidP="00E47AFB">
      <w:pPr>
        <w:ind w:firstLine="720"/>
        <w:rPr>
          <w:b/>
          <w:bCs/>
          <w:sz w:val="22"/>
          <w:szCs w:val="22"/>
        </w:rPr>
      </w:pPr>
      <w:r w:rsidRPr="00C3026F">
        <w:rPr>
          <w:b/>
          <w:bCs/>
          <w:sz w:val="22"/>
          <w:szCs w:val="22"/>
        </w:rPr>
        <w:lastRenderedPageBreak/>
        <w:t>In view of the above,</w:t>
      </w:r>
      <w:r w:rsidR="00FE3FE6">
        <w:rPr>
          <w:b/>
          <w:bCs/>
          <w:sz w:val="22"/>
          <w:szCs w:val="22"/>
        </w:rPr>
        <w:t xml:space="preserve"> P</w:t>
      </w:r>
      <w:r w:rsidRPr="007B1D78">
        <w:rPr>
          <w:b/>
          <w:bCs/>
          <w:sz w:val="22"/>
          <w:szCs w:val="22"/>
        </w:rPr>
        <w:t xml:space="preserve">etitioner requests the Hon’ble Commission to relax the target availability for the Gas Turbine Power Station and allow the availability as achieved during </w:t>
      </w:r>
      <w:r w:rsidR="00624825">
        <w:rPr>
          <w:b/>
          <w:bCs/>
          <w:sz w:val="22"/>
          <w:szCs w:val="22"/>
        </w:rPr>
        <w:t xml:space="preserve">FY 2012-13, 2013-14 and 2014-15 </w:t>
      </w:r>
      <w:r w:rsidRPr="007B1D78">
        <w:rPr>
          <w:b/>
          <w:bCs/>
          <w:sz w:val="22"/>
          <w:szCs w:val="22"/>
        </w:rPr>
        <w:t>and allow 70% target availability</w:t>
      </w:r>
      <w:r w:rsidR="00D138E0">
        <w:rPr>
          <w:b/>
          <w:bCs/>
          <w:sz w:val="22"/>
          <w:szCs w:val="22"/>
        </w:rPr>
        <w:t xml:space="preserve"> in FY 2015</w:t>
      </w:r>
      <w:r w:rsidR="00624825">
        <w:rPr>
          <w:b/>
          <w:bCs/>
          <w:sz w:val="22"/>
          <w:szCs w:val="22"/>
        </w:rPr>
        <w:t>-1</w:t>
      </w:r>
      <w:r w:rsidR="00D138E0">
        <w:rPr>
          <w:b/>
          <w:bCs/>
          <w:sz w:val="22"/>
          <w:szCs w:val="22"/>
        </w:rPr>
        <w:t>6</w:t>
      </w:r>
      <w:r w:rsidRPr="007B1D78">
        <w:rPr>
          <w:b/>
          <w:bCs/>
          <w:sz w:val="22"/>
          <w:szCs w:val="22"/>
        </w:rPr>
        <w:t>.</w:t>
      </w:r>
    </w:p>
    <w:p w:rsidR="00424B25" w:rsidRDefault="00424B25" w:rsidP="00C43BF7">
      <w:pPr>
        <w:pStyle w:val="Heading6"/>
        <w:numPr>
          <w:ilvl w:val="0"/>
          <w:numId w:val="0"/>
        </w:numPr>
        <w:spacing w:before="0" w:after="0"/>
        <w:rPr>
          <w:sz w:val="10"/>
          <w:szCs w:val="10"/>
          <w:u w:val="single"/>
        </w:rPr>
      </w:pPr>
    </w:p>
    <w:p w:rsidR="00C43BF7" w:rsidRDefault="00C43BF7" w:rsidP="00C43BF7">
      <w:pPr>
        <w:pStyle w:val="Heading6"/>
        <w:numPr>
          <w:ilvl w:val="0"/>
          <w:numId w:val="0"/>
        </w:numPr>
        <w:spacing w:before="0" w:after="0"/>
        <w:rPr>
          <w:u w:val="single"/>
        </w:rPr>
      </w:pPr>
      <w:r>
        <w:rPr>
          <w:u w:val="single"/>
        </w:rPr>
        <w:t>Station Heat Rate</w:t>
      </w:r>
    </w:p>
    <w:p w:rsidR="001E1FD1" w:rsidRPr="00424B25" w:rsidRDefault="001E1FD1" w:rsidP="001E1FD1">
      <w:pPr>
        <w:rPr>
          <w:sz w:val="8"/>
          <w:szCs w:val="8"/>
        </w:rPr>
      </w:pPr>
    </w:p>
    <w:p w:rsidR="00D15C37" w:rsidRDefault="004E1D8D" w:rsidP="00C43BF7">
      <w:pPr>
        <w:rPr>
          <w:sz w:val="22"/>
          <w:szCs w:val="22"/>
        </w:rPr>
      </w:pPr>
      <w:r>
        <w:rPr>
          <w:sz w:val="22"/>
          <w:szCs w:val="22"/>
        </w:rPr>
        <w:t>Th</w:t>
      </w:r>
      <w:r w:rsidR="00C43BF7">
        <w:rPr>
          <w:sz w:val="22"/>
          <w:szCs w:val="22"/>
        </w:rPr>
        <w:t xml:space="preserve">e actual &amp; proposed Station Heat Rate parameters for various </w:t>
      </w:r>
      <w:r w:rsidR="004703BB">
        <w:rPr>
          <w:sz w:val="22"/>
          <w:szCs w:val="22"/>
        </w:rPr>
        <w:t xml:space="preserve">stations of </w:t>
      </w:r>
      <w:r w:rsidR="00C43BF7">
        <w:rPr>
          <w:sz w:val="22"/>
          <w:szCs w:val="22"/>
        </w:rPr>
        <w:t>IPGCL</w:t>
      </w:r>
      <w:r w:rsidRPr="004E1D8D">
        <w:rPr>
          <w:sz w:val="22"/>
          <w:szCs w:val="22"/>
        </w:rPr>
        <w:t xml:space="preserve"> </w:t>
      </w:r>
      <w:r>
        <w:rPr>
          <w:sz w:val="22"/>
          <w:szCs w:val="22"/>
        </w:rPr>
        <w:t>are summarized in the under mentioned table 3</w:t>
      </w:r>
      <w:r w:rsidR="00C43BF7">
        <w:rPr>
          <w:sz w:val="22"/>
          <w:szCs w:val="22"/>
        </w:rPr>
        <w:t>.</w:t>
      </w:r>
    </w:p>
    <w:p w:rsidR="00C43BF7" w:rsidRPr="00547BDE" w:rsidRDefault="00C43BF7" w:rsidP="00692E0B">
      <w:pPr>
        <w:pStyle w:val="Caption"/>
        <w:keepNext/>
        <w:spacing w:line="240" w:lineRule="auto"/>
        <w:jc w:val="center"/>
      </w:pPr>
      <w:bookmarkStart w:id="18" w:name="_Ref173843804"/>
      <w:bookmarkStart w:id="19" w:name="_Toc173941692"/>
      <w:bookmarkStart w:id="20" w:name="_Toc174434508"/>
      <w:bookmarkStart w:id="21" w:name="_Toc411603980"/>
      <w:r w:rsidRPr="00547BDE">
        <w:t xml:space="preserve">Table </w:t>
      </w:r>
      <w:fldSimple w:instr=" SEQ Table \* ARABIC ">
        <w:r w:rsidR="002326CE">
          <w:rPr>
            <w:noProof/>
          </w:rPr>
          <w:t>3</w:t>
        </w:r>
      </w:fldSimple>
      <w:bookmarkEnd w:id="18"/>
      <w:r w:rsidR="008A496E" w:rsidRPr="00547BDE">
        <w:t xml:space="preserve"> </w:t>
      </w:r>
      <w:r w:rsidRPr="00547BDE">
        <w:t>: Station Heat Rates (</w:t>
      </w:r>
      <w:r w:rsidR="004341F0" w:rsidRPr="00547BDE">
        <w:t>k</w:t>
      </w:r>
      <w:r w:rsidR="00F36959" w:rsidRPr="00547BDE">
        <w:t>C</w:t>
      </w:r>
      <w:r w:rsidRPr="00547BDE">
        <w:t>al/</w:t>
      </w:r>
      <w:r w:rsidR="00F36959" w:rsidRPr="00547BDE">
        <w:t>k</w:t>
      </w:r>
      <w:r w:rsidRPr="00547BDE">
        <w:t>Wh) for IPGCL Stations</w:t>
      </w:r>
      <w:bookmarkEnd w:id="19"/>
      <w:bookmarkEnd w:id="20"/>
      <w:bookmarkEnd w:id="21"/>
    </w:p>
    <w:p w:rsidR="00F07797" w:rsidRPr="003D53CA" w:rsidRDefault="00F07797" w:rsidP="00692E0B">
      <w:pPr>
        <w:spacing w:line="240" w:lineRule="auto"/>
        <w:jc w:val="center"/>
        <w:rPr>
          <w:sz w:val="10"/>
        </w:rPr>
      </w:pPr>
    </w:p>
    <w:tbl>
      <w:tblPr>
        <w:tblW w:w="8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86"/>
        <w:gridCol w:w="1627"/>
        <w:gridCol w:w="1327"/>
        <w:gridCol w:w="1260"/>
        <w:gridCol w:w="1478"/>
      </w:tblGrid>
      <w:tr w:rsidR="00795699" w:rsidTr="00190BEC">
        <w:trPr>
          <w:trHeight w:val="248"/>
        </w:trPr>
        <w:tc>
          <w:tcPr>
            <w:tcW w:w="2986" w:type="dxa"/>
            <w:vMerge w:val="restart"/>
            <w:shd w:val="clear" w:color="auto" w:fill="000080"/>
            <w:noWrap/>
            <w:vAlign w:val="center"/>
          </w:tcPr>
          <w:p w:rsidR="00795699" w:rsidRDefault="00795699" w:rsidP="00692E0B">
            <w:pPr>
              <w:spacing w:line="240" w:lineRule="auto"/>
              <w:rPr>
                <w:b/>
                <w:bCs/>
                <w:color w:val="FFFFFF"/>
                <w:sz w:val="20"/>
                <w:szCs w:val="20"/>
              </w:rPr>
            </w:pPr>
            <w:r>
              <w:rPr>
                <w:b/>
                <w:bCs/>
                <w:color w:val="FFFFFF"/>
                <w:sz w:val="20"/>
                <w:szCs w:val="20"/>
              </w:rPr>
              <w:t>SHR (kCal/kWh)</w:t>
            </w:r>
          </w:p>
        </w:tc>
        <w:tc>
          <w:tcPr>
            <w:tcW w:w="1627" w:type="dxa"/>
            <w:shd w:val="clear" w:color="auto" w:fill="000080"/>
            <w:noWrap/>
            <w:vAlign w:val="center"/>
          </w:tcPr>
          <w:p w:rsidR="00795699" w:rsidRDefault="00795699" w:rsidP="00795699">
            <w:pPr>
              <w:spacing w:line="240" w:lineRule="auto"/>
              <w:jc w:val="center"/>
              <w:rPr>
                <w:b/>
                <w:bCs/>
                <w:color w:val="FFFFFF"/>
                <w:sz w:val="20"/>
                <w:szCs w:val="20"/>
              </w:rPr>
            </w:pPr>
            <w:r>
              <w:rPr>
                <w:b/>
                <w:bCs/>
                <w:color w:val="FFFFFF"/>
                <w:sz w:val="20"/>
                <w:szCs w:val="20"/>
              </w:rPr>
              <w:t>2012-13</w:t>
            </w:r>
          </w:p>
        </w:tc>
        <w:tc>
          <w:tcPr>
            <w:tcW w:w="1327" w:type="dxa"/>
            <w:shd w:val="clear" w:color="auto" w:fill="000080"/>
            <w:noWrap/>
            <w:vAlign w:val="center"/>
          </w:tcPr>
          <w:p w:rsidR="00795699" w:rsidRDefault="00795699" w:rsidP="00795699">
            <w:pPr>
              <w:spacing w:line="240" w:lineRule="auto"/>
              <w:jc w:val="center"/>
              <w:rPr>
                <w:b/>
                <w:bCs/>
                <w:color w:val="FFFFFF"/>
                <w:sz w:val="20"/>
                <w:szCs w:val="20"/>
              </w:rPr>
            </w:pPr>
            <w:r>
              <w:rPr>
                <w:b/>
                <w:bCs/>
                <w:color w:val="FFFFFF"/>
                <w:sz w:val="20"/>
                <w:szCs w:val="20"/>
              </w:rPr>
              <w:t>13-14</w:t>
            </w:r>
          </w:p>
        </w:tc>
        <w:tc>
          <w:tcPr>
            <w:tcW w:w="1260" w:type="dxa"/>
            <w:shd w:val="clear" w:color="auto" w:fill="000080"/>
            <w:noWrap/>
            <w:vAlign w:val="center"/>
          </w:tcPr>
          <w:p w:rsidR="00795699" w:rsidRDefault="00795699" w:rsidP="00795699">
            <w:pPr>
              <w:spacing w:line="240" w:lineRule="auto"/>
              <w:jc w:val="center"/>
              <w:rPr>
                <w:b/>
                <w:bCs/>
                <w:color w:val="FFFFFF"/>
                <w:sz w:val="20"/>
                <w:szCs w:val="20"/>
              </w:rPr>
            </w:pPr>
            <w:r>
              <w:rPr>
                <w:b/>
                <w:bCs/>
                <w:color w:val="FFFFFF"/>
                <w:sz w:val="20"/>
                <w:szCs w:val="20"/>
              </w:rPr>
              <w:t>14-15</w:t>
            </w:r>
          </w:p>
        </w:tc>
        <w:tc>
          <w:tcPr>
            <w:tcW w:w="1478" w:type="dxa"/>
            <w:shd w:val="clear" w:color="auto" w:fill="000080"/>
            <w:noWrap/>
            <w:vAlign w:val="center"/>
          </w:tcPr>
          <w:p w:rsidR="00795699" w:rsidRDefault="00795699" w:rsidP="00795699">
            <w:pPr>
              <w:spacing w:line="240" w:lineRule="auto"/>
              <w:jc w:val="center"/>
              <w:rPr>
                <w:b/>
                <w:bCs/>
                <w:color w:val="FFFFFF"/>
                <w:sz w:val="20"/>
                <w:szCs w:val="20"/>
              </w:rPr>
            </w:pPr>
            <w:r>
              <w:rPr>
                <w:b/>
                <w:bCs/>
                <w:color w:val="FFFFFF"/>
                <w:sz w:val="20"/>
                <w:szCs w:val="20"/>
              </w:rPr>
              <w:t>15-16</w:t>
            </w:r>
          </w:p>
        </w:tc>
      </w:tr>
      <w:tr w:rsidR="00795699" w:rsidTr="00190BEC">
        <w:trPr>
          <w:trHeight w:val="248"/>
        </w:trPr>
        <w:tc>
          <w:tcPr>
            <w:tcW w:w="2986" w:type="dxa"/>
            <w:vMerge/>
            <w:shd w:val="clear" w:color="auto" w:fill="auto"/>
            <w:vAlign w:val="center"/>
          </w:tcPr>
          <w:p w:rsidR="00795699" w:rsidRDefault="00795699" w:rsidP="00C401EF">
            <w:pPr>
              <w:rPr>
                <w:b/>
                <w:bCs/>
                <w:color w:val="FFFFFF"/>
                <w:sz w:val="20"/>
                <w:szCs w:val="20"/>
              </w:rPr>
            </w:pPr>
          </w:p>
        </w:tc>
        <w:tc>
          <w:tcPr>
            <w:tcW w:w="1627" w:type="dxa"/>
            <w:shd w:val="clear" w:color="auto" w:fill="000080"/>
            <w:noWrap/>
            <w:vAlign w:val="center"/>
          </w:tcPr>
          <w:p w:rsidR="00795699" w:rsidRDefault="00795699" w:rsidP="00C401EF">
            <w:pPr>
              <w:jc w:val="center"/>
              <w:rPr>
                <w:b/>
                <w:bCs/>
                <w:color w:val="FFFFFF"/>
                <w:sz w:val="20"/>
                <w:szCs w:val="20"/>
              </w:rPr>
            </w:pPr>
            <w:r>
              <w:rPr>
                <w:b/>
                <w:bCs/>
                <w:color w:val="FFFFFF"/>
                <w:sz w:val="20"/>
                <w:szCs w:val="20"/>
              </w:rPr>
              <w:t>Actual</w:t>
            </w:r>
          </w:p>
        </w:tc>
        <w:tc>
          <w:tcPr>
            <w:tcW w:w="1327" w:type="dxa"/>
            <w:shd w:val="clear" w:color="auto" w:fill="000080"/>
            <w:noWrap/>
            <w:vAlign w:val="center"/>
          </w:tcPr>
          <w:p w:rsidR="00795699" w:rsidRDefault="00795699" w:rsidP="00C401EF">
            <w:pPr>
              <w:jc w:val="center"/>
              <w:rPr>
                <w:b/>
                <w:bCs/>
                <w:color w:val="FFFFFF"/>
                <w:sz w:val="20"/>
                <w:szCs w:val="20"/>
              </w:rPr>
            </w:pPr>
            <w:r>
              <w:rPr>
                <w:b/>
                <w:bCs/>
                <w:color w:val="FFFFFF"/>
                <w:sz w:val="20"/>
                <w:szCs w:val="20"/>
              </w:rPr>
              <w:t>Actual</w:t>
            </w:r>
          </w:p>
        </w:tc>
        <w:tc>
          <w:tcPr>
            <w:tcW w:w="1260" w:type="dxa"/>
            <w:shd w:val="clear" w:color="auto" w:fill="000080"/>
            <w:noWrap/>
          </w:tcPr>
          <w:p w:rsidR="00795699" w:rsidRDefault="00795699" w:rsidP="00640BC6">
            <w:r>
              <w:rPr>
                <w:b/>
                <w:bCs/>
                <w:color w:val="FFFFFF"/>
                <w:sz w:val="20"/>
                <w:szCs w:val="20"/>
              </w:rPr>
              <w:t xml:space="preserve">Actual(up to </w:t>
            </w:r>
            <w:r w:rsidR="00640BC6">
              <w:rPr>
                <w:b/>
                <w:bCs/>
                <w:color w:val="FFFFFF"/>
                <w:sz w:val="20"/>
                <w:szCs w:val="20"/>
              </w:rPr>
              <w:t>Dec</w:t>
            </w:r>
            <w:r>
              <w:rPr>
                <w:b/>
                <w:bCs/>
                <w:color w:val="FFFFFF"/>
                <w:sz w:val="20"/>
                <w:szCs w:val="20"/>
              </w:rPr>
              <w:t>)</w:t>
            </w:r>
          </w:p>
        </w:tc>
        <w:tc>
          <w:tcPr>
            <w:tcW w:w="1478" w:type="dxa"/>
            <w:shd w:val="clear" w:color="auto" w:fill="000080"/>
            <w:noWrap/>
          </w:tcPr>
          <w:p w:rsidR="00795699" w:rsidRDefault="00795699">
            <w:r>
              <w:rPr>
                <w:b/>
                <w:bCs/>
                <w:color w:val="FFFFFF"/>
                <w:sz w:val="20"/>
                <w:szCs w:val="20"/>
              </w:rPr>
              <w:t>Estimated</w:t>
            </w:r>
          </w:p>
        </w:tc>
      </w:tr>
      <w:tr w:rsidR="00795699" w:rsidTr="00190BEC">
        <w:trPr>
          <w:trHeight w:val="336"/>
        </w:trPr>
        <w:tc>
          <w:tcPr>
            <w:tcW w:w="2986" w:type="dxa"/>
            <w:shd w:val="clear" w:color="auto" w:fill="auto"/>
            <w:noWrap/>
            <w:vAlign w:val="center"/>
          </w:tcPr>
          <w:p w:rsidR="00795699" w:rsidRDefault="00795699" w:rsidP="00C401EF">
            <w:pPr>
              <w:rPr>
                <w:b/>
                <w:bCs/>
                <w:sz w:val="20"/>
                <w:szCs w:val="20"/>
              </w:rPr>
            </w:pPr>
            <w:r>
              <w:rPr>
                <w:b/>
                <w:bCs/>
                <w:sz w:val="20"/>
                <w:szCs w:val="20"/>
              </w:rPr>
              <w:t>Rajghat Power Station</w:t>
            </w:r>
          </w:p>
        </w:tc>
        <w:tc>
          <w:tcPr>
            <w:tcW w:w="1627" w:type="dxa"/>
            <w:shd w:val="clear" w:color="auto" w:fill="auto"/>
            <w:noWrap/>
            <w:vAlign w:val="center"/>
          </w:tcPr>
          <w:p w:rsidR="00795699" w:rsidRPr="00826385" w:rsidRDefault="00640BC6" w:rsidP="00046102">
            <w:pPr>
              <w:jc w:val="center"/>
              <w:rPr>
                <w:sz w:val="22"/>
                <w:szCs w:val="22"/>
              </w:rPr>
            </w:pPr>
            <w:r w:rsidRPr="00826385">
              <w:rPr>
                <w:sz w:val="22"/>
                <w:szCs w:val="22"/>
              </w:rPr>
              <w:t>3317</w:t>
            </w:r>
          </w:p>
        </w:tc>
        <w:tc>
          <w:tcPr>
            <w:tcW w:w="1327" w:type="dxa"/>
            <w:shd w:val="clear" w:color="auto" w:fill="auto"/>
            <w:noWrap/>
            <w:vAlign w:val="center"/>
          </w:tcPr>
          <w:p w:rsidR="00795699" w:rsidRPr="00826385" w:rsidRDefault="00640BC6" w:rsidP="00046102">
            <w:pPr>
              <w:jc w:val="center"/>
              <w:rPr>
                <w:sz w:val="22"/>
                <w:szCs w:val="22"/>
              </w:rPr>
            </w:pPr>
            <w:r w:rsidRPr="00826385">
              <w:rPr>
                <w:sz w:val="22"/>
                <w:szCs w:val="22"/>
              </w:rPr>
              <w:t>3381</w:t>
            </w:r>
          </w:p>
        </w:tc>
        <w:tc>
          <w:tcPr>
            <w:tcW w:w="1260" w:type="dxa"/>
            <w:shd w:val="clear" w:color="auto" w:fill="auto"/>
            <w:noWrap/>
            <w:vAlign w:val="center"/>
          </w:tcPr>
          <w:p w:rsidR="00795699" w:rsidRPr="00826385" w:rsidRDefault="00640BC6" w:rsidP="00046102">
            <w:pPr>
              <w:jc w:val="center"/>
              <w:rPr>
                <w:sz w:val="22"/>
                <w:szCs w:val="22"/>
              </w:rPr>
            </w:pPr>
            <w:r w:rsidRPr="00826385">
              <w:rPr>
                <w:sz w:val="22"/>
                <w:szCs w:val="22"/>
              </w:rPr>
              <w:t>3359</w:t>
            </w:r>
          </w:p>
        </w:tc>
        <w:tc>
          <w:tcPr>
            <w:tcW w:w="1478" w:type="dxa"/>
            <w:shd w:val="clear" w:color="auto" w:fill="auto"/>
            <w:noWrap/>
            <w:vAlign w:val="center"/>
          </w:tcPr>
          <w:p w:rsidR="00795699" w:rsidRPr="00826385" w:rsidRDefault="0056427E" w:rsidP="00F31E77">
            <w:pPr>
              <w:jc w:val="center"/>
              <w:rPr>
                <w:sz w:val="22"/>
                <w:szCs w:val="22"/>
              </w:rPr>
            </w:pPr>
            <w:r w:rsidRPr="00826385">
              <w:rPr>
                <w:sz w:val="22"/>
                <w:szCs w:val="22"/>
              </w:rPr>
              <w:t>32</w:t>
            </w:r>
            <w:r w:rsidR="00F31E77" w:rsidRPr="00826385">
              <w:rPr>
                <w:sz w:val="22"/>
                <w:szCs w:val="22"/>
              </w:rPr>
              <w:t>48</w:t>
            </w:r>
          </w:p>
        </w:tc>
      </w:tr>
      <w:tr w:rsidR="00795699" w:rsidTr="00190BEC">
        <w:trPr>
          <w:trHeight w:val="365"/>
        </w:trPr>
        <w:tc>
          <w:tcPr>
            <w:tcW w:w="2986" w:type="dxa"/>
            <w:shd w:val="clear" w:color="auto" w:fill="auto"/>
            <w:noWrap/>
            <w:vAlign w:val="center"/>
          </w:tcPr>
          <w:p w:rsidR="00795699" w:rsidRDefault="00795699" w:rsidP="00C401EF">
            <w:pPr>
              <w:rPr>
                <w:b/>
                <w:bCs/>
                <w:sz w:val="20"/>
                <w:szCs w:val="20"/>
              </w:rPr>
            </w:pPr>
            <w:r>
              <w:rPr>
                <w:b/>
                <w:bCs/>
                <w:sz w:val="20"/>
                <w:szCs w:val="20"/>
              </w:rPr>
              <w:t>GT Power Station</w:t>
            </w:r>
          </w:p>
          <w:p w:rsidR="00795699" w:rsidRDefault="00795699" w:rsidP="00C401EF">
            <w:pPr>
              <w:rPr>
                <w:b/>
                <w:bCs/>
                <w:sz w:val="20"/>
                <w:szCs w:val="20"/>
              </w:rPr>
            </w:pPr>
            <w:r>
              <w:rPr>
                <w:b/>
                <w:bCs/>
                <w:sz w:val="20"/>
                <w:szCs w:val="20"/>
              </w:rPr>
              <w:t>(Combined Cycle)</w:t>
            </w:r>
          </w:p>
        </w:tc>
        <w:tc>
          <w:tcPr>
            <w:tcW w:w="1627" w:type="dxa"/>
            <w:shd w:val="clear" w:color="auto" w:fill="auto"/>
            <w:noWrap/>
            <w:vAlign w:val="center"/>
          </w:tcPr>
          <w:p w:rsidR="00795699" w:rsidRPr="00826385" w:rsidRDefault="00795699" w:rsidP="00046102">
            <w:pPr>
              <w:jc w:val="center"/>
              <w:rPr>
                <w:sz w:val="22"/>
                <w:szCs w:val="22"/>
              </w:rPr>
            </w:pPr>
            <w:r w:rsidRPr="00826385">
              <w:rPr>
                <w:sz w:val="22"/>
                <w:szCs w:val="22"/>
              </w:rPr>
              <w:t>2439</w:t>
            </w:r>
          </w:p>
        </w:tc>
        <w:tc>
          <w:tcPr>
            <w:tcW w:w="1327" w:type="dxa"/>
            <w:shd w:val="clear" w:color="auto" w:fill="auto"/>
            <w:noWrap/>
            <w:vAlign w:val="center"/>
          </w:tcPr>
          <w:p w:rsidR="00795699" w:rsidRPr="00826385" w:rsidRDefault="00795699" w:rsidP="00046102">
            <w:pPr>
              <w:jc w:val="center"/>
              <w:rPr>
                <w:sz w:val="22"/>
                <w:szCs w:val="22"/>
              </w:rPr>
            </w:pPr>
            <w:r w:rsidRPr="00826385">
              <w:rPr>
                <w:sz w:val="22"/>
                <w:szCs w:val="22"/>
              </w:rPr>
              <w:t>2416</w:t>
            </w:r>
          </w:p>
        </w:tc>
        <w:tc>
          <w:tcPr>
            <w:tcW w:w="1260" w:type="dxa"/>
            <w:shd w:val="clear" w:color="auto" w:fill="auto"/>
            <w:noWrap/>
            <w:vAlign w:val="center"/>
          </w:tcPr>
          <w:p w:rsidR="00795699" w:rsidRPr="00826385" w:rsidRDefault="00795699" w:rsidP="00640BC6">
            <w:pPr>
              <w:jc w:val="center"/>
              <w:rPr>
                <w:sz w:val="22"/>
                <w:szCs w:val="22"/>
              </w:rPr>
            </w:pPr>
            <w:r w:rsidRPr="00826385">
              <w:rPr>
                <w:sz w:val="22"/>
                <w:szCs w:val="22"/>
              </w:rPr>
              <w:t>25</w:t>
            </w:r>
            <w:r w:rsidR="00640BC6" w:rsidRPr="00826385">
              <w:rPr>
                <w:sz w:val="22"/>
                <w:szCs w:val="22"/>
              </w:rPr>
              <w:t>15</w:t>
            </w:r>
          </w:p>
        </w:tc>
        <w:tc>
          <w:tcPr>
            <w:tcW w:w="1478" w:type="dxa"/>
            <w:shd w:val="clear" w:color="auto" w:fill="auto"/>
            <w:noWrap/>
            <w:vAlign w:val="center"/>
          </w:tcPr>
          <w:p w:rsidR="00795699" w:rsidRPr="00826385" w:rsidRDefault="00F31E77" w:rsidP="00046102">
            <w:pPr>
              <w:jc w:val="center"/>
              <w:rPr>
                <w:sz w:val="22"/>
                <w:szCs w:val="22"/>
              </w:rPr>
            </w:pPr>
            <w:r w:rsidRPr="00826385">
              <w:rPr>
                <w:sz w:val="22"/>
                <w:szCs w:val="22"/>
              </w:rPr>
              <w:t>2500</w:t>
            </w:r>
          </w:p>
        </w:tc>
      </w:tr>
      <w:tr w:rsidR="00795699" w:rsidTr="00190BEC">
        <w:trPr>
          <w:trHeight w:val="365"/>
        </w:trPr>
        <w:tc>
          <w:tcPr>
            <w:tcW w:w="2986" w:type="dxa"/>
            <w:shd w:val="clear" w:color="auto" w:fill="auto"/>
            <w:noWrap/>
            <w:vAlign w:val="center"/>
          </w:tcPr>
          <w:p w:rsidR="00795699" w:rsidRDefault="00795699" w:rsidP="00C401EF">
            <w:pPr>
              <w:rPr>
                <w:b/>
                <w:bCs/>
                <w:sz w:val="20"/>
                <w:szCs w:val="20"/>
              </w:rPr>
            </w:pPr>
            <w:r>
              <w:rPr>
                <w:b/>
                <w:bCs/>
                <w:sz w:val="20"/>
                <w:szCs w:val="20"/>
              </w:rPr>
              <w:t>GT Power Station (Open Cycle)</w:t>
            </w:r>
          </w:p>
        </w:tc>
        <w:tc>
          <w:tcPr>
            <w:tcW w:w="1627" w:type="dxa"/>
            <w:shd w:val="clear" w:color="auto" w:fill="auto"/>
            <w:noWrap/>
            <w:vAlign w:val="center"/>
          </w:tcPr>
          <w:p w:rsidR="00795699" w:rsidRPr="00826385" w:rsidRDefault="00795699" w:rsidP="00795699">
            <w:pPr>
              <w:jc w:val="center"/>
              <w:rPr>
                <w:sz w:val="22"/>
                <w:szCs w:val="22"/>
              </w:rPr>
            </w:pPr>
            <w:r w:rsidRPr="00826385">
              <w:rPr>
                <w:sz w:val="22"/>
                <w:szCs w:val="22"/>
              </w:rPr>
              <w:t>3449</w:t>
            </w:r>
          </w:p>
        </w:tc>
        <w:tc>
          <w:tcPr>
            <w:tcW w:w="1327" w:type="dxa"/>
            <w:shd w:val="clear" w:color="auto" w:fill="auto"/>
            <w:noWrap/>
            <w:vAlign w:val="center"/>
          </w:tcPr>
          <w:p w:rsidR="00795699" w:rsidRPr="00826385" w:rsidRDefault="00795699" w:rsidP="00795699">
            <w:pPr>
              <w:jc w:val="center"/>
              <w:rPr>
                <w:sz w:val="22"/>
                <w:szCs w:val="22"/>
              </w:rPr>
            </w:pPr>
            <w:r w:rsidRPr="00826385">
              <w:rPr>
                <w:sz w:val="22"/>
                <w:szCs w:val="22"/>
              </w:rPr>
              <w:t>3442</w:t>
            </w:r>
          </w:p>
        </w:tc>
        <w:tc>
          <w:tcPr>
            <w:tcW w:w="1260" w:type="dxa"/>
            <w:shd w:val="clear" w:color="auto" w:fill="auto"/>
            <w:noWrap/>
            <w:vAlign w:val="center"/>
          </w:tcPr>
          <w:p w:rsidR="00795699" w:rsidRPr="00826385" w:rsidRDefault="00795699" w:rsidP="00795699">
            <w:pPr>
              <w:jc w:val="center"/>
              <w:rPr>
                <w:sz w:val="22"/>
                <w:szCs w:val="22"/>
              </w:rPr>
            </w:pPr>
            <w:r w:rsidRPr="00826385">
              <w:rPr>
                <w:sz w:val="22"/>
                <w:szCs w:val="22"/>
              </w:rPr>
              <w:t>3507</w:t>
            </w:r>
          </w:p>
        </w:tc>
        <w:tc>
          <w:tcPr>
            <w:tcW w:w="1478" w:type="dxa"/>
            <w:shd w:val="clear" w:color="auto" w:fill="auto"/>
            <w:noWrap/>
            <w:vAlign w:val="center"/>
          </w:tcPr>
          <w:p w:rsidR="00795699" w:rsidRPr="00826385" w:rsidRDefault="0056427E" w:rsidP="00046102">
            <w:pPr>
              <w:jc w:val="center"/>
              <w:rPr>
                <w:sz w:val="22"/>
                <w:szCs w:val="22"/>
              </w:rPr>
            </w:pPr>
            <w:r w:rsidRPr="00826385">
              <w:rPr>
                <w:sz w:val="22"/>
                <w:szCs w:val="22"/>
              </w:rPr>
              <w:t>3440</w:t>
            </w:r>
          </w:p>
        </w:tc>
      </w:tr>
    </w:tbl>
    <w:p w:rsidR="00C43BF7" w:rsidRDefault="00C43BF7" w:rsidP="00C43BF7">
      <w:pPr>
        <w:pStyle w:val="BodyText"/>
        <w:rPr>
          <w:rFonts w:ascii="Century Gothic" w:hAnsi="Century Gothic"/>
          <w:szCs w:val="22"/>
        </w:rPr>
      </w:pPr>
    </w:p>
    <w:p w:rsidR="00C43BF7" w:rsidRDefault="00C43BF7" w:rsidP="00C43BF7">
      <w:pPr>
        <w:rPr>
          <w:sz w:val="22"/>
          <w:szCs w:val="26"/>
        </w:rPr>
      </w:pPr>
      <w:r>
        <w:rPr>
          <w:sz w:val="22"/>
          <w:szCs w:val="26"/>
        </w:rPr>
        <w:t xml:space="preserve">It </w:t>
      </w:r>
      <w:r w:rsidR="00F17193">
        <w:rPr>
          <w:sz w:val="22"/>
          <w:szCs w:val="26"/>
        </w:rPr>
        <w:t>is submitted</w:t>
      </w:r>
      <w:r>
        <w:rPr>
          <w:sz w:val="22"/>
          <w:szCs w:val="26"/>
        </w:rPr>
        <w:t xml:space="preserve"> that aging </w:t>
      </w:r>
      <w:r w:rsidR="00256DFF">
        <w:rPr>
          <w:sz w:val="22"/>
          <w:szCs w:val="26"/>
        </w:rPr>
        <w:t xml:space="preserve">of the machines </w:t>
      </w:r>
      <w:r>
        <w:rPr>
          <w:sz w:val="22"/>
          <w:szCs w:val="26"/>
        </w:rPr>
        <w:t>plays a major role, whereby the plants are not in a position to operate at its full rated capacity due to technical constraints</w:t>
      </w:r>
      <w:r w:rsidR="00FB69F9">
        <w:rPr>
          <w:sz w:val="22"/>
          <w:szCs w:val="26"/>
        </w:rPr>
        <w:t xml:space="preserve"> which further affects the station heat rate</w:t>
      </w:r>
      <w:r w:rsidR="00FD6BA8">
        <w:rPr>
          <w:sz w:val="22"/>
          <w:szCs w:val="26"/>
        </w:rPr>
        <w:t xml:space="preserve"> </w:t>
      </w:r>
      <w:r w:rsidR="00C23017">
        <w:rPr>
          <w:sz w:val="22"/>
          <w:szCs w:val="26"/>
        </w:rPr>
        <w:t xml:space="preserve">as well as </w:t>
      </w:r>
      <w:r w:rsidR="00FB69F9">
        <w:rPr>
          <w:sz w:val="22"/>
          <w:szCs w:val="26"/>
        </w:rPr>
        <w:t>auxiliary power consumption</w:t>
      </w:r>
      <w:r>
        <w:rPr>
          <w:sz w:val="22"/>
          <w:szCs w:val="26"/>
        </w:rPr>
        <w:t xml:space="preserve">. </w:t>
      </w:r>
      <w:r w:rsidR="00796C62">
        <w:rPr>
          <w:sz w:val="22"/>
          <w:szCs w:val="26"/>
        </w:rPr>
        <w:t>The</w:t>
      </w:r>
      <w:r>
        <w:rPr>
          <w:sz w:val="22"/>
          <w:szCs w:val="26"/>
        </w:rPr>
        <w:t xml:space="preserve"> actual SHR achieved by various stations of IPGCL vis-à-vis approved by Hon</w:t>
      </w:r>
      <w:r w:rsidR="00D64168">
        <w:rPr>
          <w:sz w:val="22"/>
          <w:szCs w:val="26"/>
        </w:rPr>
        <w:t>’ble</w:t>
      </w:r>
      <w:r>
        <w:rPr>
          <w:sz w:val="22"/>
          <w:szCs w:val="26"/>
        </w:rPr>
        <w:t xml:space="preserve"> Commission</w:t>
      </w:r>
      <w:r w:rsidR="00796C62" w:rsidRPr="00796C62">
        <w:rPr>
          <w:sz w:val="22"/>
          <w:szCs w:val="26"/>
        </w:rPr>
        <w:t xml:space="preserve"> </w:t>
      </w:r>
      <w:r w:rsidR="00796C62">
        <w:rPr>
          <w:sz w:val="22"/>
          <w:szCs w:val="26"/>
        </w:rPr>
        <w:t>have been shown in the under mentioned Table 4</w:t>
      </w:r>
      <w:r>
        <w:rPr>
          <w:sz w:val="22"/>
          <w:szCs w:val="26"/>
        </w:rPr>
        <w:t xml:space="preserve">. </w:t>
      </w:r>
    </w:p>
    <w:p w:rsidR="00C43BF7" w:rsidRPr="008C55DF" w:rsidRDefault="00C43BF7" w:rsidP="00C43BF7">
      <w:pPr>
        <w:pStyle w:val="Caption"/>
        <w:jc w:val="center"/>
      </w:pPr>
      <w:bookmarkStart w:id="22" w:name="_Toc173941693"/>
      <w:bookmarkStart w:id="23" w:name="_Toc174434509"/>
      <w:bookmarkStart w:id="24" w:name="_Toc411603981"/>
      <w:r w:rsidRPr="008C55DF">
        <w:t xml:space="preserve">Table </w:t>
      </w:r>
      <w:r w:rsidR="001D1793" w:rsidRPr="008C55DF">
        <w:fldChar w:fldCharType="begin"/>
      </w:r>
      <w:r w:rsidR="00982A93" w:rsidRPr="008C55DF">
        <w:instrText xml:space="preserve"> SEQ Table \* ARABIC </w:instrText>
      </w:r>
      <w:r w:rsidR="001D1793" w:rsidRPr="008C55DF">
        <w:fldChar w:fldCharType="separate"/>
      </w:r>
      <w:r w:rsidR="002326CE">
        <w:rPr>
          <w:noProof/>
        </w:rPr>
        <w:t>4</w:t>
      </w:r>
      <w:r w:rsidR="001D1793" w:rsidRPr="008C55DF">
        <w:fldChar w:fldCharType="end"/>
      </w:r>
      <w:r w:rsidR="008A496E" w:rsidRPr="008C55DF">
        <w:t xml:space="preserve"> </w:t>
      </w:r>
      <w:r w:rsidRPr="008C55DF">
        <w:t>: SHR (Approved vs. Actual)</w:t>
      </w:r>
      <w:bookmarkEnd w:id="22"/>
      <w:bookmarkEnd w:id="23"/>
      <w:bookmarkEnd w:id="24"/>
    </w:p>
    <w:tbl>
      <w:tblPr>
        <w:tblW w:w="0" w:type="auto"/>
        <w:tblInd w:w="108" w:type="dxa"/>
        <w:tblLayout w:type="fixed"/>
        <w:tblLook w:val="0000"/>
      </w:tblPr>
      <w:tblGrid>
        <w:gridCol w:w="3330"/>
        <w:gridCol w:w="1440"/>
        <w:gridCol w:w="1170"/>
        <w:gridCol w:w="990"/>
        <w:gridCol w:w="1899"/>
      </w:tblGrid>
      <w:tr w:rsidR="00692E0B" w:rsidTr="00CB2D80">
        <w:trPr>
          <w:trHeight w:val="428"/>
        </w:trPr>
        <w:tc>
          <w:tcPr>
            <w:tcW w:w="3330" w:type="dxa"/>
            <w:vMerge w:val="restart"/>
            <w:tcBorders>
              <w:top w:val="single" w:sz="6" w:space="0" w:color="auto"/>
              <w:left w:val="single" w:sz="6" w:space="0" w:color="auto"/>
              <w:right w:val="single" w:sz="6" w:space="0" w:color="auto"/>
            </w:tcBorders>
            <w:shd w:val="solid" w:color="000080" w:fill="auto"/>
            <w:vAlign w:val="center"/>
          </w:tcPr>
          <w:p w:rsidR="00692E0B" w:rsidRDefault="00692E0B" w:rsidP="00B740DC">
            <w:pPr>
              <w:autoSpaceDE w:val="0"/>
              <w:autoSpaceDN w:val="0"/>
              <w:adjustRightInd w:val="0"/>
              <w:spacing w:line="240" w:lineRule="auto"/>
              <w:jc w:val="center"/>
              <w:rPr>
                <w:rFonts w:cs="Arial"/>
                <w:b/>
                <w:bCs/>
                <w:color w:val="FFFFFF"/>
                <w:sz w:val="20"/>
                <w:szCs w:val="20"/>
              </w:rPr>
            </w:pPr>
            <w:r>
              <w:rPr>
                <w:rFonts w:cs="Arial"/>
                <w:b/>
                <w:bCs/>
                <w:color w:val="FFFFFF"/>
                <w:sz w:val="20"/>
                <w:szCs w:val="20"/>
              </w:rPr>
              <w:t>Generating Station</w:t>
            </w:r>
          </w:p>
        </w:tc>
        <w:tc>
          <w:tcPr>
            <w:tcW w:w="5499" w:type="dxa"/>
            <w:gridSpan w:val="4"/>
            <w:tcBorders>
              <w:top w:val="single" w:sz="6" w:space="0" w:color="auto"/>
              <w:left w:val="single" w:sz="6" w:space="0" w:color="auto"/>
              <w:bottom w:val="single" w:sz="6" w:space="0" w:color="auto"/>
              <w:right w:val="single" w:sz="6" w:space="0" w:color="auto"/>
            </w:tcBorders>
            <w:shd w:val="solid" w:color="000080" w:fill="auto"/>
          </w:tcPr>
          <w:p w:rsidR="00692E0B" w:rsidRDefault="00692E0B" w:rsidP="00B740DC">
            <w:pPr>
              <w:autoSpaceDE w:val="0"/>
              <w:autoSpaceDN w:val="0"/>
              <w:adjustRightInd w:val="0"/>
              <w:spacing w:line="240" w:lineRule="auto"/>
              <w:jc w:val="center"/>
              <w:rPr>
                <w:rFonts w:cs="Arial"/>
                <w:b/>
                <w:bCs/>
                <w:color w:val="FFFFFF"/>
                <w:sz w:val="20"/>
                <w:szCs w:val="20"/>
              </w:rPr>
            </w:pPr>
            <w:r>
              <w:rPr>
                <w:rFonts w:cs="Arial"/>
                <w:b/>
                <w:bCs/>
                <w:color w:val="FFFFFF"/>
                <w:sz w:val="20"/>
                <w:szCs w:val="20"/>
              </w:rPr>
              <w:t>SHR (kCal/kWh) FY 2010-11</w:t>
            </w:r>
          </w:p>
        </w:tc>
      </w:tr>
      <w:tr w:rsidR="007718A2" w:rsidTr="00CB2D80">
        <w:trPr>
          <w:trHeight w:val="428"/>
        </w:trPr>
        <w:tc>
          <w:tcPr>
            <w:tcW w:w="3330" w:type="dxa"/>
            <w:vMerge/>
            <w:tcBorders>
              <w:left w:val="single" w:sz="6" w:space="0" w:color="auto"/>
              <w:bottom w:val="single" w:sz="6" w:space="0" w:color="auto"/>
              <w:right w:val="single" w:sz="6" w:space="0" w:color="auto"/>
            </w:tcBorders>
            <w:shd w:val="solid" w:color="000080" w:fill="auto"/>
          </w:tcPr>
          <w:p w:rsidR="007718A2" w:rsidRDefault="007718A2" w:rsidP="00B740DC">
            <w:pPr>
              <w:autoSpaceDE w:val="0"/>
              <w:autoSpaceDN w:val="0"/>
              <w:adjustRightInd w:val="0"/>
              <w:spacing w:line="240" w:lineRule="auto"/>
              <w:jc w:val="center"/>
              <w:rPr>
                <w:rFonts w:cs="Arial"/>
                <w:b/>
                <w:bCs/>
                <w:color w:val="FFFFFF"/>
                <w:sz w:val="20"/>
                <w:szCs w:val="20"/>
              </w:rPr>
            </w:pPr>
          </w:p>
        </w:tc>
        <w:tc>
          <w:tcPr>
            <w:tcW w:w="1440" w:type="dxa"/>
            <w:tcBorders>
              <w:top w:val="single" w:sz="6" w:space="0" w:color="auto"/>
              <w:left w:val="single" w:sz="6" w:space="0" w:color="auto"/>
              <w:bottom w:val="single" w:sz="6" w:space="0" w:color="auto"/>
              <w:right w:val="single" w:sz="6" w:space="0" w:color="auto"/>
            </w:tcBorders>
            <w:shd w:val="solid" w:color="000080" w:fill="auto"/>
          </w:tcPr>
          <w:p w:rsidR="007718A2" w:rsidRDefault="007718A2" w:rsidP="00B740DC">
            <w:pPr>
              <w:autoSpaceDE w:val="0"/>
              <w:autoSpaceDN w:val="0"/>
              <w:adjustRightInd w:val="0"/>
              <w:spacing w:line="240" w:lineRule="auto"/>
              <w:jc w:val="center"/>
              <w:rPr>
                <w:rFonts w:cs="Arial"/>
                <w:b/>
                <w:bCs/>
                <w:color w:val="FFFFFF"/>
                <w:sz w:val="20"/>
                <w:szCs w:val="20"/>
              </w:rPr>
            </w:pPr>
            <w:r>
              <w:rPr>
                <w:rFonts w:cs="Arial"/>
                <w:b/>
                <w:bCs/>
                <w:color w:val="FFFFFF"/>
                <w:sz w:val="20"/>
                <w:szCs w:val="20"/>
              </w:rPr>
              <w:t>Approved</w:t>
            </w:r>
          </w:p>
        </w:tc>
        <w:tc>
          <w:tcPr>
            <w:tcW w:w="4059" w:type="dxa"/>
            <w:gridSpan w:val="3"/>
            <w:tcBorders>
              <w:top w:val="single" w:sz="6" w:space="0" w:color="auto"/>
              <w:left w:val="single" w:sz="6" w:space="0" w:color="auto"/>
              <w:bottom w:val="single" w:sz="6" w:space="0" w:color="auto"/>
              <w:right w:val="single" w:sz="6" w:space="0" w:color="auto"/>
            </w:tcBorders>
            <w:shd w:val="solid" w:color="000080" w:fill="auto"/>
          </w:tcPr>
          <w:p w:rsidR="007718A2" w:rsidRDefault="007718A2" w:rsidP="00B740DC">
            <w:pPr>
              <w:autoSpaceDE w:val="0"/>
              <w:autoSpaceDN w:val="0"/>
              <w:adjustRightInd w:val="0"/>
              <w:spacing w:line="240" w:lineRule="auto"/>
              <w:jc w:val="center"/>
              <w:rPr>
                <w:rFonts w:cs="Arial"/>
                <w:b/>
                <w:bCs/>
                <w:color w:val="FFFFFF"/>
                <w:sz w:val="20"/>
                <w:szCs w:val="20"/>
              </w:rPr>
            </w:pPr>
            <w:r>
              <w:rPr>
                <w:rFonts w:cs="Arial"/>
                <w:b/>
                <w:bCs/>
                <w:color w:val="FFFFFF"/>
                <w:sz w:val="20"/>
                <w:szCs w:val="20"/>
              </w:rPr>
              <w:t>Actual</w:t>
            </w:r>
          </w:p>
        </w:tc>
      </w:tr>
      <w:tr w:rsidR="007718A2" w:rsidTr="00CB2D80">
        <w:trPr>
          <w:trHeight w:val="428"/>
        </w:trPr>
        <w:tc>
          <w:tcPr>
            <w:tcW w:w="3330" w:type="dxa"/>
            <w:tcBorders>
              <w:left w:val="single" w:sz="6" w:space="0" w:color="auto"/>
              <w:bottom w:val="single" w:sz="6" w:space="0" w:color="auto"/>
              <w:right w:val="single" w:sz="6" w:space="0" w:color="auto"/>
            </w:tcBorders>
            <w:shd w:val="solid" w:color="000080" w:fill="auto"/>
          </w:tcPr>
          <w:p w:rsidR="007718A2" w:rsidRDefault="007718A2" w:rsidP="00B740DC">
            <w:pPr>
              <w:autoSpaceDE w:val="0"/>
              <w:autoSpaceDN w:val="0"/>
              <w:adjustRightInd w:val="0"/>
              <w:spacing w:line="240" w:lineRule="auto"/>
              <w:jc w:val="center"/>
              <w:rPr>
                <w:rFonts w:cs="Arial"/>
                <w:b/>
                <w:bCs/>
                <w:color w:val="FFFFFF"/>
                <w:sz w:val="20"/>
                <w:szCs w:val="20"/>
              </w:rPr>
            </w:pPr>
          </w:p>
        </w:tc>
        <w:tc>
          <w:tcPr>
            <w:tcW w:w="1440" w:type="dxa"/>
            <w:tcBorders>
              <w:top w:val="single" w:sz="6" w:space="0" w:color="auto"/>
              <w:left w:val="single" w:sz="6" w:space="0" w:color="auto"/>
              <w:bottom w:val="single" w:sz="6" w:space="0" w:color="auto"/>
              <w:right w:val="single" w:sz="6" w:space="0" w:color="auto"/>
            </w:tcBorders>
            <w:shd w:val="solid" w:color="000080" w:fill="auto"/>
          </w:tcPr>
          <w:p w:rsidR="007718A2" w:rsidRDefault="007718A2" w:rsidP="00B740DC">
            <w:pPr>
              <w:autoSpaceDE w:val="0"/>
              <w:autoSpaceDN w:val="0"/>
              <w:adjustRightInd w:val="0"/>
              <w:spacing w:line="240" w:lineRule="auto"/>
              <w:jc w:val="center"/>
              <w:rPr>
                <w:rFonts w:cs="Arial"/>
                <w:b/>
                <w:bCs/>
                <w:color w:val="FFFFFF"/>
                <w:sz w:val="20"/>
                <w:szCs w:val="20"/>
              </w:rPr>
            </w:pPr>
          </w:p>
        </w:tc>
        <w:tc>
          <w:tcPr>
            <w:tcW w:w="1170" w:type="dxa"/>
            <w:tcBorders>
              <w:top w:val="single" w:sz="6" w:space="0" w:color="auto"/>
              <w:left w:val="single" w:sz="6" w:space="0" w:color="auto"/>
              <w:bottom w:val="single" w:sz="6" w:space="0" w:color="auto"/>
              <w:right w:val="single" w:sz="6" w:space="0" w:color="auto"/>
            </w:tcBorders>
            <w:shd w:val="solid" w:color="000080" w:fill="auto"/>
          </w:tcPr>
          <w:p w:rsidR="007718A2" w:rsidRDefault="007718A2" w:rsidP="00B740DC">
            <w:pPr>
              <w:autoSpaceDE w:val="0"/>
              <w:autoSpaceDN w:val="0"/>
              <w:adjustRightInd w:val="0"/>
              <w:spacing w:line="240" w:lineRule="auto"/>
              <w:jc w:val="center"/>
              <w:rPr>
                <w:rFonts w:cs="Arial"/>
                <w:b/>
                <w:bCs/>
                <w:color w:val="FFFFFF"/>
                <w:sz w:val="20"/>
                <w:szCs w:val="20"/>
              </w:rPr>
            </w:pPr>
            <w:r>
              <w:rPr>
                <w:rFonts w:cs="Arial"/>
                <w:b/>
                <w:bCs/>
                <w:color w:val="FFFFFF"/>
                <w:sz w:val="20"/>
                <w:szCs w:val="20"/>
              </w:rPr>
              <w:t>12-13</w:t>
            </w:r>
          </w:p>
        </w:tc>
        <w:tc>
          <w:tcPr>
            <w:tcW w:w="990" w:type="dxa"/>
            <w:tcBorders>
              <w:top w:val="single" w:sz="6" w:space="0" w:color="auto"/>
              <w:left w:val="single" w:sz="6" w:space="0" w:color="auto"/>
              <w:bottom w:val="single" w:sz="6" w:space="0" w:color="auto"/>
              <w:right w:val="single" w:sz="6" w:space="0" w:color="auto"/>
            </w:tcBorders>
            <w:shd w:val="solid" w:color="000080" w:fill="auto"/>
          </w:tcPr>
          <w:p w:rsidR="007718A2" w:rsidRDefault="007718A2" w:rsidP="00B740DC">
            <w:pPr>
              <w:autoSpaceDE w:val="0"/>
              <w:autoSpaceDN w:val="0"/>
              <w:adjustRightInd w:val="0"/>
              <w:spacing w:line="240" w:lineRule="auto"/>
              <w:jc w:val="center"/>
              <w:rPr>
                <w:rFonts w:cs="Arial"/>
                <w:b/>
                <w:bCs/>
                <w:color w:val="FFFFFF"/>
                <w:sz w:val="20"/>
                <w:szCs w:val="20"/>
              </w:rPr>
            </w:pPr>
            <w:r>
              <w:rPr>
                <w:rFonts w:cs="Arial"/>
                <w:b/>
                <w:bCs/>
                <w:color w:val="FFFFFF"/>
                <w:sz w:val="20"/>
                <w:szCs w:val="20"/>
              </w:rPr>
              <w:t>13-14</w:t>
            </w:r>
          </w:p>
        </w:tc>
        <w:tc>
          <w:tcPr>
            <w:tcW w:w="1899" w:type="dxa"/>
            <w:tcBorders>
              <w:top w:val="single" w:sz="6" w:space="0" w:color="auto"/>
              <w:left w:val="single" w:sz="6" w:space="0" w:color="auto"/>
              <w:bottom w:val="single" w:sz="6" w:space="0" w:color="auto"/>
              <w:right w:val="single" w:sz="6" w:space="0" w:color="auto"/>
            </w:tcBorders>
            <w:shd w:val="solid" w:color="000080" w:fill="auto"/>
          </w:tcPr>
          <w:p w:rsidR="007718A2" w:rsidRDefault="007718A2" w:rsidP="00B740DC">
            <w:pPr>
              <w:autoSpaceDE w:val="0"/>
              <w:autoSpaceDN w:val="0"/>
              <w:adjustRightInd w:val="0"/>
              <w:spacing w:line="240" w:lineRule="auto"/>
              <w:jc w:val="center"/>
              <w:rPr>
                <w:rFonts w:cs="Arial"/>
                <w:b/>
                <w:bCs/>
                <w:color w:val="FFFFFF"/>
                <w:sz w:val="20"/>
                <w:szCs w:val="20"/>
              </w:rPr>
            </w:pPr>
            <w:r>
              <w:rPr>
                <w:rFonts w:cs="Arial"/>
                <w:b/>
                <w:bCs/>
                <w:color w:val="FFFFFF"/>
                <w:sz w:val="20"/>
                <w:szCs w:val="20"/>
              </w:rPr>
              <w:t>14-15</w:t>
            </w:r>
            <w:r w:rsidR="0056427E">
              <w:rPr>
                <w:rFonts w:cs="Arial"/>
                <w:b/>
                <w:bCs/>
                <w:color w:val="FFFFFF"/>
                <w:sz w:val="20"/>
                <w:szCs w:val="20"/>
              </w:rPr>
              <w:t>(up to Dec)</w:t>
            </w:r>
          </w:p>
        </w:tc>
      </w:tr>
      <w:tr w:rsidR="002706D8" w:rsidTr="00CB2D80">
        <w:trPr>
          <w:trHeight w:val="629"/>
        </w:trPr>
        <w:tc>
          <w:tcPr>
            <w:tcW w:w="3330" w:type="dxa"/>
            <w:tcBorders>
              <w:top w:val="single" w:sz="6" w:space="0" w:color="auto"/>
              <w:left w:val="single" w:sz="6" w:space="0" w:color="auto"/>
              <w:bottom w:val="single" w:sz="6" w:space="0" w:color="auto"/>
              <w:right w:val="single" w:sz="6" w:space="0" w:color="auto"/>
            </w:tcBorders>
            <w:vAlign w:val="center"/>
          </w:tcPr>
          <w:p w:rsidR="002706D8" w:rsidRDefault="002706D8" w:rsidP="00B740DC">
            <w:pPr>
              <w:autoSpaceDE w:val="0"/>
              <w:autoSpaceDN w:val="0"/>
              <w:adjustRightInd w:val="0"/>
              <w:spacing w:line="240" w:lineRule="auto"/>
              <w:jc w:val="left"/>
              <w:rPr>
                <w:rFonts w:cs="Arial"/>
                <w:color w:val="000000"/>
                <w:sz w:val="20"/>
                <w:szCs w:val="20"/>
              </w:rPr>
            </w:pPr>
            <w:r>
              <w:rPr>
                <w:rFonts w:cs="Arial"/>
                <w:color w:val="000000"/>
                <w:sz w:val="20"/>
                <w:szCs w:val="20"/>
              </w:rPr>
              <w:t>Rajghat Power Station</w:t>
            </w:r>
          </w:p>
        </w:tc>
        <w:tc>
          <w:tcPr>
            <w:tcW w:w="1440" w:type="dxa"/>
            <w:tcBorders>
              <w:top w:val="single" w:sz="6" w:space="0" w:color="auto"/>
              <w:left w:val="single" w:sz="6" w:space="0" w:color="auto"/>
              <w:bottom w:val="single" w:sz="6" w:space="0" w:color="auto"/>
              <w:right w:val="single" w:sz="6" w:space="0" w:color="auto"/>
            </w:tcBorders>
            <w:vAlign w:val="center"/>
          </w:tcPr>
          <w:p w:rsidR="002706D8" w:rsidRPr="00826385" w:rsidRDefault="002706D8" w:rsidP="00376C71">
            <w:pPr>
              <w:autoSpaceDE w:val="0"/>
              <w:autoSpaceDN w:val="0"/>
              <w:adjustRightInd w:val="0"/>
              <w:spacing w:line="240" w:lineRule="auto"/>
              <w:jc w:val="center"/>
              <w:rPr>
                <w:rFonts w:cs="Arial"/>
                <w:sz w:val="20"/>
                <w:szCs w:val="20"/>
              </w:rPr>
            </w:pPr>
            <w:r w:rsidRPr="00826385">
              <w:rPr>
                <w:rFonts w:cs="Arial"/>
                <w:sz w:val="20"/>
                <w:szCs w:val="20"/>
              </w:rPr>
              <w:t>3200</w:t>
            </w:r>
          </w:p>
        </w:tc>
        <w:tc>
          <w:tcPr>
            <w:tcW w:w="1170" w:type="dxa"/>
            <w:tcBorders>
              <w:top w:val="single" w:sz="6" w:space="0" w:color="auto"/>
              <w:left w:val="single" w:sz="6" w:space="0" w:color="auto"/>
              <w:bottom w:val="single" w:sz="6" w:space="0" w:color="auto"/>
              <w:right w:val="single" w:sz="6" w:space="0" w:color="auto"/>
            </w:tcBorders>
            <w:vAlign w:val="center"/>
          </w:tcPr>
          <w:p w:rsidR="002706D8" w:rsidRPr="00826385" w:rsidRDefault="00C42E3D" w:rsidP="00F31E77">
            <w:pPr>
              <w:jc w:val="center"/>
              <w:rPr>
                <w:sz w:val="20"/>
                <w:szCs w:val="20"/>
              </w:rPr>
            </w:pPr>
            <w:r w:rsidRPr="00826385">
              <w:rPr>
                <w:sz w:val="20"/>
                <w:szCs w:val="20"/>
              </w:rPr>
              <w:t>33</w:t>
            </w:r>
            <w:r w:rsidR="00F31E77" w:rsidRPr="00826385">
              <w:rPr>
                <w:sz w:val="20"/>
                <w:szCs w:val="20"/>
              </w:rPr>
              <w:t>17</w:t>
            </w:r>
          </w:p>
        </w:tc>
        <w:tc>
          <w:tcPr>
            <w:tcW w:w="990" w:type="dxa"/>
            <w:tcBorders>
              <w:top w:val="single" w:sz="6" w:space="0" w:color="auto"/>
              <w:left w:val="single" w:sz="6" w:space="0" w:color="auto"/>
              <w:bottom w:val="single" w:sz="6" w:space="0" w:color="auto"/>
              <w:right w:val="single" w:sz="6" w:space="0" w:color="auto"/>
            </w:tcBorders>
            <w:vAlign w:val="center"/>
          </w:tcPr>
          <w:p w:rsidR="002706D8" w:rsidRPr="00826385" w:rsidRDefault="00C42E3D" w:rsidP="00376C71">
            <w:pPr>
              <w:jc w:val="center"/>
              <w:rPr>
                <w:sz w:val="20"/>
                <w:szCs w:val="20"/>
              </w:rPr>
            </w:pPr>
            <w:r w:rsidRPr="00826385">
              <w:rPr>
                <w:sz w:val="20"/>
                <w:szCs w:val="20"/>
              </w:rPr>
              <w:t>3381</w:t>
            </w:r>
          </w:p>
        </w:tc>
        <w:tc>
          <w:tcPr>
            <w:tcW w:w="1899" w:type="dxa"/>
            <w:tcBorders>
              <w:top w:val="single" w:sz="6" w:space="0" w:color="auto"/>
              <w:left w:val="single" w:sz="6" w:space="0" w:color="auto"/>
              <w:bottom w:val="single" w:sz="6" w:space="0" w:color="auto"/>
              <w:right w:val="single" w:sz="6" w:space="0" w:color="auto"/>
            </w:tcBorders>
            <w:vAlign w:val="center"/>
          </w:tcPr>
          <w:p w:rsidR="002706D8" w:rsidRPr="00826385" w:rsidRDefault="0056427E" w:rsidP="00376C71">
            <w:pPr>
              <w:jc w:val="center"/>
              <w:rPr>
                <w:sz w:val="20"/>
                <w:szCs w:val="20"/>
              </w:rPr>
            </w:pPr>
            <w:r w:rsidRPr="00826385">
              <w:rPr>
                <w:sz w:val="20"/>
                <w:szCs w:val="20"/>
              </w:rPr>
              <w:t>3359</w:t>
            </w:r>
          </w:p>
        </w:tc>
      </w:tr>
      <w:tr w:rsidR="002706D8" w:rsidTr="00CB2D80">
        <w:trPr>
          <w:trHeight w:val="629"/>
        </w:trPr>
        <w:tc>
          <w:tcPr>
            <w:tcW w:w="3330" w:type="dxa"/>
            <w:tcBorders>
              <w:top w:val="single" w:sz="6" w:space="0" w:color="auto"/>
              <w:left w:val="single" w:sz="6" w:space="0" w:color="auto"/>
              <w:bottom w:val="single" w:sz="6" w:space="0" w:color="auto"/>
              <w:right w:val="single" w:sz="6" w:space="0" w:color="auto"/>
            </w:tcBorders>
            <w:vAlign w:val="center"/>
          </w:tcPr>
          <w:p w:rsidR="002706D8" w:rsidRDefault="002706D8" w:rsidP="00B740DC">
            <w:pPr>
              <w:autoSpaceDE w:val="0"/>
              <w:autoSpaceDN w:val="0"/>
              <w:adjustRightInd w:val="0"/>
              <w:spacing w:line="240" w:lineRule="auto"/>
              <w:jc w:val="left"/>
              <w:rPr>
                <w:rFonts w:cs="Arial"/>
                <w:color w:val="000000"/>
                <w:sz w:val="20"/>
                <w:szCs w:val="20"/>
              </w:rPr>
            </w:pPr>
            <w:r>
              <w:rPr>
                <w:rFonts w:cs="Arial"/>
                <w:color w:val="000000"/>
                <w:sz w:val="20"/>
                <w:szCs w:val="20"/>
              </w:rPr>
              <w:t>Gas Turbine</w:t>
            </w:r>
          </w:p>
          <w:p w:rsidR="002706D8" w:rsidRDefault="002706D8" w:rsidP="00B740DC">
            <w:pPr>
              <w:autoSpaceDE w:val="0"/>
              <w:autoSpaceDN w:val="0"/>
              <w:adjustRightInd w:val="0"/>
              <w:spacing w:line="240" w:lineRule="auto"/>
              <w:jc w:val="left"/>
              <w:rPr>
                <w:rFonts w:cs="Arial"/>
                <w:color w:val="000000"/>
                <w:sz w:val="20"/>
                <w:szCs w:val="20"/>
              </w:rPr>
            </w:pPr>
            <w:r>
              <w:rPr>
                <w:rFonts w:cs="Arial"/>
                <w:color w:val="000000"/>
                <w:sz w:val="20"/>
                <w:szCs w:val="20"/>
              </w:rPr>
              <w:t>(Combined cycle)</w:t>
            </w:r>
          </w:p>
        </w:tc>
        <w:tc>
          <w:tcPr>
            <w:tcW w:w="1440" w:type="dxa"/>
            <w:tcBorders>
              <w:top w:val="single" w:sz="6" w:space="0" w:color="auto"/>
              <w:left w:val="single" w:sz="6" w:space="0" w:color="auto"/>
              <w:bottom w:val="single" w:sz="6" w:space="0" w:color="auto"/>
              <w:right w:val="single" w:sz="6" w:space="0" w:color="auto"/>
            </w:tcBorders>
            <w:vAlign w:val="center"/>
          </w:tcPr>
          <w:p w:rsidR="002706D8" w:rsidRPr="00826385" w:rsidRDefault="002706D8" w:rsidP="00376C71">
            <w:pPr>
              <w:autoSpaceDE w:val="0"/>
              <w:autoSpaceDN w:val="0"/>
              <w:adjustRightInd w:val="0"/>
              <w:spacing w:line="240" w:lineRule="auto"/>
              <w:jc w:val="center"/>
              <w:rPr>
                <w:rFonts w:cs="Arial"/>
                <w:sz w:val="20"/>
                <w:szCs w:val="20"/>
              </w:rPr>
            </w:pPr>
            <w:r w:rsidRPr="00826385">
              <w:rPr>
                <w:rFonts w:cs="Arial"/>
                <w:sz w:val="20"/>
                <w:szCs w:val="20"/>
              </w:rPr>
              <w:t>2450</w:t>
            </w:r>
          </w:p>
        </w:tc>
        <w:tc>
          <w:tcPr>
            <w:tcW w:w="1170" w:type="dxa"/>
            <w:tcBorders>
              <w:top w:val="single" w:sz="6" w:space="0" w:color="auto"/>
              <w:left w:val="single" w:sz="6" w:space="0" w:color="auto"/>
              <w:bottom w:val="single" w:sz="6" w:space="0" w:color="auto"/>
              <w:right w:val="single" w:sz="6" w:space="0" w:color="auto"/>
            </w:tcBorders>
            <w:vAlign w:val="center"/>
          </w:tcPr>
          <w:p w:rsidR="002706D8" w:rsidRPr="00826385" w:rsidRDefault="00C42E3D" w:rsidP="00376C71">
            <w:pPr>
              <w:jc w:val="center"/>
              <w:rPr>
                <w:sz w:val="20"/>
                <w:szCs w:val="20"/>
              </w:rPr>
            </w:pPr>
            <w:r w:rsidRPr="00826385">
              <w:rPr>
                <w:sz w:val="20"/>
                <w:szCs w:val="20"/>
              </w:rPr>
              <w:t>2439</w:t>
            </w:r>
          </w:p>
        </w:tc>
        <w:tc>
          <w:tcPr>
            <w:tcW w:w="990" w:type="dxa"/>
            <w:tcBorders>
              <w:top w:val="single" w:sz="6" w:space="0" w:color="auto"/>
              <w:left w:val="single" w:sz="6" w:space="0" w:color="auto"/>
              <w:bottom w:val="single" w:sz="6" w:space="0" w:color="auto"/>
              <w:right w:val="single" w:sz="6" w:space="0" w:color="auto"/>
            </w:tcBorders>
            <w:vAlign w:val="center"/>
          </w:tcPr>
          <w:p w:rsidR="002706D8" w:rsidRPr="00826385" w:rsidRDefault="00C42E3D" w:rsidP="00376C71">
            <w:pPr>
              <w:jc w:val="center"/>
              <w:rPr>
                <w:sz w:val="20"/>
                <w:szCs w:val="20"/>
              </w:rPr>
            </w:pPr>
            <w:r w:rsidRPr="00826385">
              <w:rPr>
                <w:sz w:val="20"/>
                <w:szCs w:val="20"/>
              </w:rPr>
              <w:t>2416</w:t>
            </w:r>
          </w:p>
        </w:tc>
        <w:tc>
          <w:tcPr>
            <w:tcW w:w="1899" w:type="dxa"/>
            <w:tcBorders>
              <w:top w:val="single" w:sz="6" w:space="0" w:color="auto"/>
              <w:left w:val="single" w:sz="6" w:space="0" w:color="auto"/>
              <w:bottom w:val="single" w:sz="6" w:space="0" w:color="auto"/>
              <w:right w:val="single" w:sz="6" w:space="0" w:color="auto"/>
            </w:tcBorders>
            <w:vAlign w:val="center"/>
          </w:tcPr>
          <w:p w:rsidR="002706D8" w:rsidRPr="00826385" w:rsidRDefault="0056427E" w:rsidP="00376C71">
            <w:pPr>
              <w:jc w:val="center"/>
              <w:rPr>
                <w:sz w:val="20"/>
                <w:szCs w:val="20"/>
              </w:rPr>
            </w:pPr>
            <w:r w:rsidRPr="00826385">
              <w:rPr>
                <w:sz w:val="20"/>
                <w:szCs w:val="20"/>
              </w:rPr>
              <w:t>2515</w:t>
            </w:r>
          </w:p>
        </w:tc>
      </w:tr>
      <w:tr w:rsidR="002706D8" w:rsidTr="00CB2D80">
        <w:trPr>
          <w:trHeight w:val="629"/>
        </w:trPr>
        <w:tc>
          <w:tcPr>
            <w:tcW w:w="3330" w:type="dxa"/>
            <w:tcBorders>
              <w:top w:val="single" w:sz="6" w:space="0" w:color="auto"/>
              <w:left w:val="single" w:sz="6" w:space="0" w:color="auto"/>
              <w:bottom w:val="single" w:sz="6" w:space="0" w:color="auto"/>
              <w:right w:val="single" w:sz="6" w:space="0" w:color="auto"/>
            </w:tcBorders>
            <w:vAlign w:val="center"/>
          </w:tcPr>
          <w:p w:rsidR="002706D8" w:rsidRDefault="002706D8" w:rsidP="00B740DC">
            <w:pPr>
              <w:autoSpaceDE w:val="0"/>
              <w:autoSpaceDN w:val="0"/>
              <w:adjustRightInd w:val="0"/>
              <w:spacing w:line="240" w:lineRule="auto"/>
              <w:jc w:val="left"/>
              <w:rPr>
                <w:rFonts w:cs="Arial"/>
                <w:color w:val="000000"/>
                <w:sz w:val="20"/>
                <w:szCs w:val="20"/>
              </w:rPr>
            </w:pPr>
            <w:r>
              <w:rPr>
                <w:rFonts w:cs="Arial"/>
                <w:color w:val="000000"/>
                <w:sz w:val="20"/>
                <w:szCs w:val="20"/>
              </w:rPr>
              <w:t>Gas Turbine</w:t>
            </w:r>
          </w:p>
          <w:p w:rsidR="002706D8" w:rsidRDefault="002706D8" w:rsidP="00B740DC">
            <w:pPr>
              <w:autoSpaceDE w:val="0"/>
              <w:autoSpaceDN w:val="0"/>
              <w:adjustRightInd w:val="0"/>
              <w:spacing w:line="240" w:lineRule="auto"/>
              <w:jc w:val="left"/>
              <w:rPr>
                <w:rFonts w:cs="Arial"/>
                <w:color w:val="000000"/>
                <w:sz w:val="20"/>
                <w:szCs w:val="20"/>
              </w:rPr>
            </w:pPr>
            <w:r>
              <w:rPr>
                <w:rFonts w:cs="Arial"/>
                <w:color w:val="000000"/>
                <w:sz w:val="20"/>
                <w:szCs w:val="20"/>
              </w:rPr>
              <w:t>(Open Cycle)</w:t>
            </w:r>
          </w:p>
        </w:tc>
        <w:tc>
          <w:tcPr>
            <w:tcW w:w="1440" w:type="dxa"/>
            <w:tcBorders>
              <w:top w:val="single" w:sz="6" w:space="0" w:color="auto"/>
              <w:left w:val="single" w:sz="6" w:space="0" w:color="auto"/>
              <w:bottom w:val="single" w:sz="6" w:space="0" w:color="auto"/>
              <w:right w:val="single" w:sz="6" w:space="0" w:color="auto"/>
            </w:tcBorders>
            <w:vAlign w:val="center"/>
          </w:tcPr>
          <w:p w:rsidR="002706D8" w:rsidRPr="00826385" w:rsidRDefault="002706D8" w:rsidP="00376C71">
            <w:pPr>
              <w:autoSpaceDE w:val="0"/>
              <w:autoSpaceDN w:val="0"/>
              <w:adjustRightInd w:val="0"/>
              <w:spacing w:line="240" w:lineRule="auto"/>
              <w:jc w:val="center"/>
              <w:rPr>
                <w:rFonts w:cs="Arial"/>
                <w:sz w:val="20"/>
                <w:szCs w:val="20"/>
              </w:rPr>
            </w:pPr>
            <w:r w:rsidRPr="00826385">
              <w:rPr>
                <w:rFonts w:cs="Arial"/>
                <w:sz w:val="20"/>
                <w:szCs w:val="20"/>
              </w:rPr>
              <w:t>3125</w:t>
            </w:r>
          </w:p>
        </w:tc>
        <w:tc>
          <w:tcPr>
            <w:tcW w:w="1170" w:type="dxa"/>
            <w:tcBorders>
              <w:top w:val="single" w:sz="6" w:space="0" w:color="auto"/>
              <w:left w:val="single" w:sz="6" w:space="0" w:color="auto"/>
              <w:bottom w:val="single" w:sz="6" w:space="0" w:color="auto"/>
              <w:right w:val="single" w:sz="6" w:space="0" w:color="auto"/>
            </w:tcBorders>
            <w:vAlign w:val="center"/>
          </w:tcPr>
          <w:p w:rsidR="002706D8" w:rsidRPr="00826385" w:rsidDel="00F36959" w:rsidRDefault="00C42E3D" w:rsidP="00376C71">
            <w:pPr>
              <w:jc w:val="center"/>
              <w:rPr>
                <w:sz w:val="20"/>
                <w:szCs w:val="20"/>
              </w:rPr>
            </w:pPr>
            <w:r w:rsidRPr="00826385">
              <w:rPr>
                <w:sz w:val="20"/>
                <w:szCs w:val="20"/>
              </w:rPr>
              <w:t>3449</w:t>
            </w:r>
          </w:p>
        </w:tc>
        <w:tc>
          <w:tcPr>
            <w:tcW w:w="990" w:type="dxa"/>
            <w:tcBorders>
              <w:top w:val="single" w:sz="6" w:space="0" w:color="auto"/>
              <w:left w:val="single" w:sz="6" w:space="0" w:color="auto"/>
              <w:bottom w:val="single" w:sz="6" w:space="0" w:color="auto"/>
              <w:right w:val="single" w:sz="6" w:space="0" w:color="auto"/>
            </w:tcBorders>
            <w:vAlign w:val="center"/>
          </w:tcPr>
          <w:p w:rsidR="002706D8" w:rsidRPr="00826385" w:rsidDel="00F36959" w:rsidRDefault="00C42E3D" w:rsidP="00376C71">
            <w:pPr>
              <w:jc w:val="center"/>
              <w:rPr>
                <w:sz w:val="20"/>
                <w:szCs w:val="20"/>
              </w:rPr>
            </w:pPr>
            <w:r w:rsidRPr="00826385">
              <w:rPr>
                <w:sz w:val="20"/>
                <w:szCs w:val="20"/>
              </w:rPr>
              <w:t>3442</w:t>
            </w:r>
          </w:p>
        </w:tc>
        <w:tc>
          <w:tcPr>
            <w:tcW w:w="1899" w:type="dxa"/>
            <w:tcBorders>
              <w:top w:val="single" w:sz="6" w:space="0" w:color="auto"/>
              <w:left w:val="single" w:sz="6" w:space="0" w:color="auto"/>
              <w:bottom w:val="single" w:sz="6" w:space="0" w:color="auto"/>
              <w:right w:val="single" w:sz="6" w:space="0" w:color="auto"/>
            </w:tcBorders>
            <w:vAlign w:val="center"/>
          </w:tcPr>
          <w:p w:rsidR="002706D8" w:rsidRPr="00826385" w:rsidDel="00F36959" w:rsidRDefault="0056427E" w:rsidP="00376C71">
            <w:pPr>
              <w:jc w:val="center"/>
              <w:rPr>
                <w:sz w:val="20"/>
                <w:szCs w:val="20"/>
              </w:rPr>
            </w:pPr>
            <w:r w:rsidRPr="00826385">
              <w:rPr>
                <w:sz w:val="20"/>
                <w:szCs w:val="20"/>
              </w:rPr>
              <w:t>3507</w:t>
            </w:r>
          </w:p>
        </w:tc>
      </w:tr>
    </w:tbl>
    <w:p w:rsidR="00FE4BCE" w:rsidRDefault="00FE4BCE" w:rsidP="00C43BF7">
      <w:pPr>
        <w:rPr>
          <w:sz w:val="22"/>
          <w:szCs w:val="26"/>
        </w:rPr>
      </w:pPr>
    </w:p>
    <w:p w:rsidR="000F31CE" w:rsidRDefault="00760A01" w:rsidP="00C43BF7">
      <w:pPr>
        <w:rPr>
          <w:sz w:val="22"/>
          <w:szCs w:val="26"/>
        </w:rPr>
      </w:pPr>
      <w:r w:rsidRPr="005E463F">
        <w:rPr>
          <w:b/>
          <w:bCs/>
          <w:sz w:val="22"/>
          <w:szCs w:val="26"/>
        </w:rPr>
        <w:t>Rajghat Power House</w:t>
      </w:r>
      <w:r>
        <w:rPr>
          <w:sz w:val="22"/>
          <w:szCs w:val="26"/>
        </w:rPr>
        <w:t>:</w:t>
      </w:r>
    </w:p>
    <w:p w:rsidR="00BD5B4A" w:rsidRPr="006761BD" w:rsidRDefault="00BD5B4A" w:rsidP="00BD5B4A">
      <w:pPr>
        <w:tabs>
          <w:tab w:val="num" w:pos="0"/>
        </w:tabs>
        <w:spacing w:before="240"/>
        <w:rPr>
          <w:sz w:val="22"/>
          <w:szCs w:val="22"/>
        </w:rPr>
      </w:pPr>
      <w:r w:rsidRPr="006761BD">
        <w:rPr>
          <w:sz w:val="22"/>
          <w:szCs w:val="22"/>
        </w:rPr>
        <w:t xml:space="preserve">The Hon’ble Commission has approved the station heat rate </w:t>
      </w:r>
      <w:r w:rsidR="00BA7D7E" w:rsidRPr="006761BD">
        <w:rPr>
          <w:sz w:val="22"/>
          <w:szCs w:val="22"/>
        </w:rPr>
        <w:t xml:space="preserve">of 3200kCal/kWh </w:t>
      </w:r>
      <w:r w:rsidRPr="006761BD">
        <w:rPr>
          <w:sz w:val="22"/>
          <w:szCs w:val="22"/>
        </w:rPr>
        <w:t xml:space="preserve">which is below </w:t>
      </w:r>
      <w:r w:rsidR="003E5D5C" w:rsidRPr="006761BD">
        <w:rPr>
          <w:sz w:val="22"/>
          <w:szCs w:val="22"/>
        </w:rPr>
        <w:t xml:space="preserve">than </w:t>
      </w:r>
      <w:r w:rsidRPr="006761BD">
        <w:rPr>
          <w:sz w:val="22"/>
          <w:szCs w:val="22"/>
        </w:rPr>
        <w:t xml:space="preserve">the </w:t>
      </w:r>
      <w:r w:rsidR="001D16BD" w:rsidRPr="006761BD">
        <w:rPr>
          <w:sz w:val="22"/>
          <w:szCs w:val="22"/>
        </w:rPr>
        <w:t>level</w:t>
      </w:r>
      <w:r w:rsidRPr="006761BD">
        <w:rPr>
          <w:sz w:val="22"/>
          <w:szCs w:val="22"/>
        </w:rPr>
        <w:t xml:space="preserve"> achievable by the station.</w:t>
      </w:r>
    </w:p>
    <w:p w:rsidR="00432ADF" w:rsidRPr="006761BD" w:rsidRDefault="00A46FF1" w:rsidP="00597143">
      <w:pPr>
        <w:pStyle w:val="BodyText"/>
        <w:ind w:firstLine="360"/>
        <w:rPr>
          <w:rFonts w:ascii="Century Gothic" w:hAnsi="Century Gothic"/>
          <w:szCs w:val="22"/>
        </w:rPr>
      </w:pPr>
      <w:r w:rsidRPr="006761BD">
        <w:rPr>
          <w:rFonts w:ascii="Century Gothic" w:hAnsi="Century Gothic"/>
          <w:szCs w:val="22"/>
        </w:rPr>
        <w:t xml:space="preserve">It is submitted that </w:t>
      </w:r>
      <w:r w:rsidR="00432ADF" w:rsidRPr="006761BD">
        <w:rPr>
          <w:rFonts w:ascii="Century Gothic" w:hAnsi="Century Gothic"/>
          <w:szCs w:val="22"/>
        </w:rPr>
        <w:t>CEA  has recognized that the operation  efficiency  or heat rate and other performance parameters of a Thermal Power Station  depends on a number of factors which can be broadly classified as under:-</w:t>
      </w:r>
    </w:p>
    <w:p w:rsidR="00432ADF" w:rsidRPr="006761BD" w:rsidRDefault="00432ADF" w:rsidP="00432ADF">
      <w:pPr>
        <w:numPr>
          <w:ilvl w:val="0"/>
          <w:numId w:val="23"/>
        </w:numPr>
        <w:rPr>
          <w:sz w:val="22"/>
          <w:szCs w:val="22"/>
        </w:rPr>
      </w:pPr>
      <w:r w:rsidRPr="006761BD">
        <w:rPr>
          <w:sz w:val="22"/>
          <w:szCs w:val="22"/>
        </w:rPr>
        <w:t>Technology  and equipment</w:t>
      </w:r>
    </w:p>
    <w:p w:rsidR="00432ADF" w:rsidRPr="006761BD" w:rsidRDefault="00432ADF" w:rsidP="00432ADF">
      <w:pPr>
        <w:numPr>
          <w:ilvl w:val="0"/>
          <w:numId w:val="23"/>
        </w:numPr>
        <w:rPr>
          <w:sz w:val="22"/>
          <w:szCs w:val="22"/>
        </w:rPr>
      </w:pPr>
      <w:r w:rsidRPr="006761BD">
        <w:rPr>
          <w:sz w:val="22"/>
          <w:szCs w:val="22"/>
        </w:rPr>
        <w:t xml:space="preserve">Ambient Conditions </w:t>
      </w:r>
    </w:p>
    <w:p w:rsidR="00432ADF" w:rsidRPr="006761BD" w:rsidRDefault="00432ADF" w:rsidP="00432ADF">
      <w:pPr>
        <w:numPr>
          <w:ilvl w:val="0"/>
          <w:numId w:val="23"/>
        </w:numPr>
        <w:rPr>
          <w:sz w:val="22"/>
          <w:szCs w:val="22"/>
        </w:rPr>
      </w:pPr>
      <w:r w:rsidRPr="006761BD">
        <w:rPr>
          <w:sz w:val="22"/>
          <w:szCs w:val="22"/>
        </w:rPr>
        <w:t xml:space="preserve">Fuel Quality </w:t>
      </w:r>
    </w:p>
    <w:p w:rsidR="00432ADF" w:rsidRPr="006761BD" w:rsidRDefault="00432ADF" w:rsidP="00432ADF">
      <w:pPr>
        <w:numPr>
          <w:ilvl w:val="0"/>
          <w:numId w:val="23"/>
        </w:numPr>
        <w:rPr>
          <w:sz w:val="22"/>
          <w:szCs w:val="22"/>
        </w:rPr>
      </w:pPr>
      <w:r w:rsidRPr="006761BD">
        <w:rPr>
          <w:sz w:val="22"/>
          <w:szCs w:val="22"/>
        </w:rPr>
        <w:t xml:space="preserve">Plant operation and maintenance practices. </w:t>
      </w:r>
    </w:p>
    <w:p w:rsidR="00432ADF" w:rsidRPr="006761BD" w:rsidRDefault="00432ADF" w:rsidP="00432ADF">
      <w:pPr>
        <w:numPr>
          <w:ilvl w:val="0"/>
          <w:numId w:val="23"/>
        </w:numPr>
        <w:rPr>
          <w:sz w:val="22"/>
          <w:szCs w:val="22"/>
        </w:rPr>
      </w:pPr>
      <w:r w:rsidRPr="006761BD">
        <w:rPr>
          <w:sz w:val="22"/>
          <w:szCs w:val="22"/>
        </w:rPr>
        <w:t>Unit Sizes</w:t>
      </w:r>
    </w:p>
    <w:p w:rsidR="00432ADF" w:rsidRDefault="00432ADF" w:rsidP="00432ADF">
      <w:pPr>
        <w:rPr>
          <w:rFonts w:cs="Arial"/>
          <w:sz w:val="22"/>
          <w:szCs w:val="22"/>
        </w:rPr>
      </w:pPr>
    </w:p>
    <w:p w:rsidR="00A323B1" w:rsidRPr="00D83B6C" w:rsidRDefault="00432ADF" w:rsidP="006761BD">
      <w:pPr>
        <w:ind w:firstLine="360"/>
        <w:rPr>
          <w:rFonts w:ascii="Trebuchet MS" w:hAnsi="Trebuchet MS"/>
          <w:b/>
          <w:i/>
          <w:sz w:val="22"/>
          <w:szCs w:val="22"/>
        </w:rPr>
      </w:pPr>
      <w:r>
        <w:rPr>
          <w:sz w:val="22"/>
          <w:szCs w:val="26"/>
        </w:rPr>
        <w:t xml:space="preserve">The station was commissioned in the year 1989-90. The station is </w:t>
      </w:r>
      <w:r w:rsidRPr="00826385">
        <w:rPr>
          <w:sz w:val="22"/>
          <w:szCs w:val="26"/>
        </w:rPr>
        <w:t xml:space="preserve">around </w:t>
      </w:r>
      <w:r w:rsidR="00CD396E" w:rsidRPr="00826385">
        <w:rPr>
          <w:sz w:val="22"/>
          <w:szCs w:val="26"/>
        </w:rPr>
        <w:t>25</w:t>
      </w:r>
      <w:r w:rsidRPr="00826385">
        <w:rPr>
          <w:sz w:val="22"/>
          <w:szCs w:val="26"/>
        </w:rPr>
        <w:t>years</w:t>
      </w:r>
      <w:r>
        <w:rPr>
          <w:sz w:val="22"/>
          <w:szCs w:val="26"/>
        </w:rPr>
        <w:t xml:space="preserve"> old. </w:t>
      </w:r>
      <w:r w:rsidR="00FE4501">
        <w:rPr>
          <w:sz w:val="22"/>
          <w:szCs w:val="26"/>
        </w:rPr>
        <w:t>As submitted above,</w:t>
      </w:r>
      <w:r w:rsidR="003133C7">
        <w:rPr>
          <w:sz w:val="22"/>
          <w:szCs w:val="26"/>
        </w:rPr>
        <w:t xml:space="preserve"> the station is to be closed down</w:t>
      </w:r>
      <w:r>
        <w:rPr>
          <w:sz w:val="22"/>
          <w:szCs w:val="26"/>
        </w:rPr>
        <w:t xml:space="preserve"> in the near future due to environmental concerns. </w:t>
      </w:r>
      <w:r w:rsidR="001C176F">
        <w:rPr>
          <w:sz w:val="22"/>
          <w:szCs w:val="26"/>
        </w:rPr>
        <w:t xml:space="preserve">  Therefore, i</w:t>
      </w:r>
      <w:r w:rsidR="007F7B07">
        <w:rPr>
          <w:rFonts w:cs="Arial"/>
          <w:sz w:val="22"/>
          <w:szCs w:val="22"/>
        </w:rPr>
        <w:t>n the station no major R&amp;M activities is being carried out and only need based maintenance is being carried out</w:t>
      </w:r>
      <w:r w:rsidR="00007842">
        <w:rPr>
          <w:rFonts w:cs="Arial"/>
          <w:sz w:val="22"/>
          <w:szCs w:val="22"/>
        </w:rPr>
        <w:t>.</w:t>
      </w:r>
      <w:r w:rsidR="00A01A8D">
        <w:rPr>
          <w:rFonts w:cs="Arial"/>
          <w:sz w:val="22"/>
          <w:szCs w:val="22"/>
        </w:rPr>
        <w:t xml:space="preserve">  Petitioner therefore requests Hon’ble Commission</w:t>
      </w:r>
      <w:r w:rsidR="00651CAD">
        <w:rPr>
          <w:rFonts w:cs="Arial"/>
          <w:sz w:val="22"/>
          <w:szCs w:val="22"/>
        </w:rPr>
        <w:t xml:space="preserve"> to allow additional Rs.</w:t>
      </w:r>
      <w:r w:rsidR="00F21EBE">
        <w:rPr>
          <w:rFonts w:cs="Arial"/>
          <w:sz w:val="22"/>
          <w:szCs w:val="22"/>
        </w:rPr>
        <w:t xml:space="preserve"> </w:t>
      </w:r>
      <w:r w:rsidR="00CD396E">
        <w:rPr>
          <w:rFonts w:cs="Arial"/>
          <w:sz w:val="22"/>
          <w:szCs w:val="22"/>
        </w:rPr>
        <w:t xml:space="preserve">6.9833 </w:t>
      </w:r>
      <w:r w:rsidR="00DC21E2">
        <w:rPr>
          <w:rFonts w:cs="Arial"/>
          <w:sz w:val="22"/>
          <w:szCs w:val="22"/>
        </w:rPr>
        <w:t xml:space="preserve"> lakh</w:t>
      </w:r>
      <w:r w:rsidR="00651CAD">
        <w:rPr>
          <w:rFonts w:cs="Arial"/>
          <w:sz w:val="22"/>
          <w:szCs w:val="22"/>
        </w:rPr>
        <w:t xml:space="preserve"> / MW / year separate compensation in addition to normal O&amp;M in line with Clause 6.</w:t>
      </w:r>
      <w:r w:rsidR="009B548D">
        <w:rPr>
          <w:rFonts w:cs="Arial"/>
          <w:sz w:val="22"/>
          <w:szCs w:val="22"/>
        </w:rPr>
        <w:t>15</w:t>
      </w:r>
      <w:r w:rsidR="00F21EBE">
        <w:rPr>
          <w:rFonts w:cs="Arial"/>
          <w:sz w:val="22"/>
          <w:szCs w:val="22"/>
        </w:rPr>
        <w:t xml:space="preserve"> </w:t>
      </w:r>
      <w:r w:rsidR="00651CAD">
        <w:rPr>
          <w:rFonts w:cs="Arial"/>
          <w:sz w:val="22"/>
          <w:szCs w:val="22"/>
        </w:rPr>
        <w:t xml:space="preserve">of the DERC Regulation, 2011, to meet out requirement of </w:t>
      </w:r>
      <w:r w:rsidR="0038273F">
        <w:rPr>
          <w:rFonts w:cs="Arial"/>
          <w:sz w:val="22"/>
          <w:szCs w:val="22"/>
        </w:rPr>
        <w:t xml:space="preserve">renovation &amp; modernization </w:t>
      </w:r>
      <w:r w:rsidR="00651CAD">
        <w:rPr>
          <w:rFonts w:cs="Arial"/>
          <w:sz w:val="22"/>
          <w:szCs w:val="22"/>
        </w:rPr>
        <w:t>expenditure for FY 2015-16.</w:t>
      </w:r>
    </w:p>
    <w:p w:rsidR="005F0687" w:rsidRDefault="005F0687" w:rsidP="00C43BF7">
      <w:pPr>
        <w:rPr>
          <w:sz w:val="12"/>
          <w:szCs w:val="16"/>
        </w:rPr>
      </w:pPr>
    </w:p>
    <w:p w:rsidR="002A61F2" w:rsidRDefault="00141263" w:rsidP="00F21EBE">
      <w:pPr>
        <w:ind w:firstLine="360"/>
        <w:rPr>
          <w:sz w:val="22"/>
          <w:szCs w:val="26"/>
        </w:rPr>
      </w:pPr>
      <w:r>
        <w:rPr>
          <w:sz w:val="22"/>
          <w:szCs w:val="26"/>
        </w:rPr>
        <w:t>Further, a</w:t>
      </w:r>
      <w:r w:rsidR="00EC31FD">
        <w:rPr>
          <w:sz w:val="22"/>
          <w:szCs w:val="26"/>
        </w:rPr>
        <w:t xml:space="preserve">s per the instruction of Hon'ble Commission, the Performance Test </w:t>
      </w:r>
      <w:r w:rsidR="00380983">
        <w:rPr>
          <w:sz w:val="22"/>
          <w:szCs w:val="26"/>
        </w:rPr>
        <w:t xml:space="preserve">to determine the Station </w:t>
      </w:r>
      <w:r w:rsidR="006D681F">
        <w:rPr>
          <w:sz w:val="22"/>
          <w:szCs w:val="26"/>
        </w:rPr>
        <w:t xml:space="preserve">Heat Rate </w:t>
      </w:r>
      <w:r w:rsidR="00EC31FD">
        <w:rPr>
          <w:sz w:val="22"/>
          <w:szCs w:val="26"/>
        </w:rPr>
        <w:t xml:space="preserve">of the Units </w:t>
      </w:r>
      <w:r w:rsidR="006D681F">
        <w:rPr>
          <w:sz w:val="22"/>
          <w:szCs w:val="26"/>
        </w:rPr>
        <w:t xml:space="preserve">was </w:t>
      </w:r>
      <w:r w:rsidR="00EC31FD">
        <w:rPr>
          <w:sz w:val="22"/>
          <w:szCs w:val="26"/>
        </w:rPr>
        <w:t>conducted by M/s CenPEEP, NTPC Limited.</w:t>
      </w:r>
      <w:r w:rsidR="00380983">
        <w:rPr>
          <w:sz w:val="22"/>
          <w:szCs w:val="26"/>
        </w:rPr>
        <w:t xml:space="preserve"> The Test</w:t>
      </w:r>
      <w:r w:rsidR="00901F7C">
        <w:rPr>
          <w:sz w:val="22"/>
          <w:szCs w:val="26"/>
        </w:rPr>
        <w:t>s</w:t>
      </w:r>
      <w:r w:rsidR="00380983">
        <w:rPr>
          <w:sz w:val="22"/>
          <w:szCs w:val="26"/>
        </w:rPr>
        <w:t xml:space="preserve"> w</w:t>
      </w:r>
      <w:r w:rsidR="00901F7C">
        <w:rPr>
          <w:sz w:val="22"/>
          <w:szCs w:val="26"/>
        </w:rPr>
        <w:t>ere conducted under the following conditions</w:t>
      </w:r>
      <w:r w:rsidR="002A61F2">
        <w:rPr>
          <w:sz w:val="22"/>
          <w:szCs w:val="26"/>
        </w:rPr>
        <w:t>:</w:t>
      </w:r>
    </w:p>
    <w:p w:rsidR="002A61F2" w:rsidRDefault="002A61F2" w:rsidP="002A61F2">
      <w:pPr>
        <w:numPr>
          <w:ilvl w:val="0"/>
          <w:numId w:val="18"/>
        </w:numPr>
        <w:rPr>
          <w:sz w:val="22"/>
          <w:szCs w:val="26"/>
        </w:rPr>
      </w:pPr>
      <w:r>
        <w:rPr>
          <w:sz w:val="22"/>
          <w:szCs w:val="26"/>
        </w:rPr>
        <w:t xml:space="preserve">Unit operation </w:t>
      </w:r>
      <w:r w:rsidR="00C07D1C">
        <w:rPr>
          <w:sz w:val="22"/>
          <w:szCs w:val="26"/>
        </w:rPr>
        <w:t>was</w:t>
      </w:r>
      <w:r>
        <w:rPr>
          <w:sz w:val="22"/>
          <w:szCs w:val="26"/>
        </w:rPr>
        <w:t xml:space="preserve"> kept steady for two hours prior to and during the tests.</w:t>
      </w:r>
    </w:p>
    <w:p w:rsidR="002A61F2" w:rsidRDefault="002A61F2" w:rsidP="002A61F2">
      <w:pPr>
        <w:numPr>
          <w:ilvl w:val="0"/>
          <w:numId w:val="18"/>
        </w:numPr>
        <w:rPr>
          <w:sz w:val="22"/>
          <w:szCs w:val="26"/>
        </w:rPr>
      </w:pPr>
      <w:r>
        <w:rPr>
          <w:sz w:val="22"/>
          <w:szCs w:val="26"/>
        </w:rPr>
        <w:t>Tests conducted at rated load at nominal operating parameters to the extent possible</w:t>
      </w:r>
    </w:p>
    <w:p w:rsidR="008F4363" w:rsidRDefault="002A61F2" w:rsidP="002A61F2">
      <w:pPr>
        <w:numPr>
          <w:ilvl w:val="0"/>
          <w:numId w:val="18"/>
        </w:numPr>
        <w:rPr>
          <w:sz w:val="22"/>
          <w:szCs w:val="26"/>
        </w:rPr>
      </w:pPr>
      <w:r>
        <w:rPr>
          <w:sz w:val="22"/>
          <w:szCs w:val="26"/>
        </w:rPr>
        <w:t xml:space="preserve">No furnace soot blowers or air heater soot blowers </w:t>
      </w:r>
      <w:r w:rsidR="00C07D1C">
        <w:rPr>
          <w:sz w:val="22"/>
          <w:szCs w:val="26"/>
        </w:rPr>
        <w:t>were</w:t>
      </w:r>
      <w:r>
        <w:rPr>
          <w:sz w:val="22"/>
          <w:szCs w:val="26"/>
        </w:rPr>
        <w:t xml:space="preserve"> operated during the test.</w:t>
      </w:r>
    </w:p>
    <w:p w:rsidR="008F7349" w:rsidRDefault="008F4363" w:rsidP="002A61F2">
      <w:pPr>
        <w:numPr>
          <w:ilvl w:val="0"/>
          <w:numId w:val="18"/>
        </w:numPr>
        <w:rPr>
          <w:sz w:val="22"/>
          <w:szCs w:val="26"/>
        </w:rPr>
      </w:pPr>
      <w:r>
        <w:rPr>
          <w:sz w:val="22"/>
          <w:szCs w:val="26"/>
        </w:rPr>
        <w:t xml:space="preserve">Main steam Pressure and Temperature </w:t>
      </w:r>
      <w:r w:rsidR="00C07D1C">
        <w:rPr>
          <w:sz w:val="22"/>
          <w:szCs w:val="26"/>
        </w:rPr>
        <w:t>were</w:t>
      </w:r>
      <w:r>
        <w:rPr>
          <w:sz w:val="22"/>
          <w:szCs w:val="26"/>
        </w:rPr>
        <w:t xml:space="preserve"> maintained as close as possible to the design values.</w:t>
      </w:r>
    </w:p>
    <w:p w:rsidR="008F7349" w:rsidRDefault="008F7349" w:rsidP="002A61F2">
      <w:pPr>
        <w:numPr>
          <w:ilvl w:val="0"/>
          <w:numId w:val="18"/>
        </w:numPr>
        <w:rPr>
          <w:sz w:val="22"/>
          <w:szCs w:val="26"/>
        </w:rPr>
      </w:pPr>
      <w:r>
        <w:rPr>
          <w:sz w:val="22"/>
          <w:szCs w:val="26"/>
        </w:rPr>
        <w:t xml:space="preserve">Auxiliary PRDS steam flow </w:t>
      </w:r>
      <w:r w:rsidR="00C07D1C">
        <w:rPr>
          <w:sz w:val="22"/>
          <w:szCs w:val="26"/>
        </w:rPr>
        <w:t>was</w:t>
      </w:r>
      <w:r>
        <w:rPr>
          <w:sz w:val="22"/>
          <w:szCs w:val="26"/>
        </w:rPr>
        <w:t xml:space="preserve"> kept isolated for the unit being tested.</w:t>
      </w:r>
    </w:p>
    <w:p w:rsidR="003A5961" w:rsidRDefault="008F7349" w:rsidP="002A61F2">
      <w:pPr>
        <w:numPr>
          <w:ilvl w:val="0"/>
          <w:numId w:val="18"/>
        </w:numPr>
        <w:rPr>
          <w:sz w:val="22"/>
          <w:szCs w:val="26"/>
        </w:rPr>
      </w:pPr>
      <w:r>
        <w:rPr>
          <w:sz w:val="22"/>
          <w:szCs w:val="26"/>
        </w:rPr>
        <w:lastRenderedPageBreak/>
        <w:t xml:space="preserve">Continuous blow down and intermittent blow down </w:t>
      </w:r>
      <w:r w:rsidR="00C07D1C">
        <w:rPr>
          <w:sz w:val="22"/>
          <w:szCs w:val="26"/>
        </w:rPr>
        <w:t>was</w:t>
      </w:r>
      <w:r>
        <w:rPr>
          <w:sz w:val="22"/>
          <w:szCs w:val="26"/>
        </w:rPr>
        <w:t xml:space="preserve"> kept isolated and not operated during the test.</w:t>
      </w:r>
    </w:p>
    <w:p w:rsidR="00DE4603" w:rsidRDefault="003A5961" w:rsidP="002A61F2">
      <w:pPr>
        <w:numPr>
          <w:ilvl w:val="0"/>
          <w:numId w:val="18"/>
        </w:numPr>
        <w:rPr>
          <w:sz w:val="22"/>
          <w:szCs w:val="26"/>
        </w:rPr>
      </w:pPr>
      <w:r>
        <w:rPr>
          <w:sz w:val="22"/>
          <w:szCs w:val="26"/>
        </w:rPr>
        <w:t>Unit1 HP heaters 1&amp;2 were not in service during the tests due to suspected tube leakage.</w:t>
      </w:r>
      <w:r w:rsidR="00DE4603">
        <w:rPr>
          <w:sz w:val="22"/>
          <w:szCs w:val="26"/>
        </w:rPr>
        <w:t xml:space="preserve"> Unit 2 all FW Heaters </w:t>
      </w:r>
      <w:r w:rsidR="00C07D1C">
        <w:rPr>
          <w:sz w:val="22"/>
          <w:szCs w:val="26"/>
        </w:rPr>
        <w:t>we</w:t>
      </w:r>
      <w:r w:rsidR="00DE4603">
        <w:rPr>
          <w:sz w:val="22"/>
          <w:szCs w:val="26"/>
        </w:rPr>
        <w:t>re kept in service with normal drip cascading.</w:t>
      </w:r>
    </w:p>
    <w:p w:rsidR="004214A2" w:rsidRDefault="004214A2" w:rsidP="002A61F2">
      <w:pPr>
        <w:numPr>
          <w:ilvl w:val="0"/>
          <w:numId w:val="18"/>
        </w:numPr>
        <w:rPr>
          <w:sz w:val="22"/>
          <w:szCs w:val="26"/>
        </w:rPr>
      </w:pPr>
      <w:r>
        <w:rPr>
          <w:sz w:val="22"/>
          <w:szCs w:val="26"/>
        </w:rPr>
        <w:t xml:space="preserve">No mill changeover </w:t>
      </w:r>
      <w:r w:rsidR="00C07D1C">
        <w:rPr>
          <w:sz w:val="22"/>
          <w:szCs w:val="26"/>
        </w:rPr>
        <w:t>was</w:t>
      </w:r>
      <w:r>
        <w:rPr>
          <w:sz w:val="22"/>
          <w:szCs w:val="26"/>
        </w:rPr>
        <w:t xml:space="preserve"> done during the test and the test is conducted without any oil support.</w:t>
      </w:r>
    </w:p>
    <w:p w:rsidR="004214A2" w:rsidRDefault="00D85D30" w:rsidP="002A61F2">
      <w:pPr>
        <w:numPr>
          <w:ilvl w:val="0"/>
          <w:numId w:val="18"/>
        </w:numPr>
        <w:rPr>
          <w:sz w:val="22"/>
          <w:szCs w:val="26"/>
        </w:rPr>
      </w:pPr>
      <w:r>
        <w:rPr>
          <w:sz w:val="22"/>
          <w:szCs w:val="26"/>
        </w:rPr>
        <w:t>Economizer</w:t>
      </w:r>
      <w:r w:rsidR="004214A2">
        <w:rPr>
          <w:sz w:val="22"/>
          <w:szCs w:val="26"/>
        </w:rPr>
        <w:t xml:space="preserve"> hopper de-ashing </w:t>
      </w:r>
      <w:r w:rsidR="00C07D1C">
        <w:rPr>
          <w:sz w:val="22"/>
          <w:szCs w:val="26"/>
        </w:rPr>
        <w:t>was</w:t>
      </w:r>
      <w:r w:rsidR="004214A2">
        <w:rPr>
          <w:sz w:val="22"/>
          <w:szCs w:val="26"/>
        </w:rPr>
        <w:t xml:space="preserve"> not done during the test.</w:t>
      </w:r>
    </w:p>
    <w:p w:rsidR="00EC31FD" w:rsidRDefault="004214A2" w:rsidP="002A61F2">
      <w:pPr>
        <w:numPr>
          <w:ilvl w:val="0"/>
          <w:numId w:val="18"/>
        </w:numPr>
        <w:rPr>
          <w:sz w:val="22"/>
          <w:szCs w:val="26"/>
        </w:rPr>
      </w:pPr>
      <w:r>
        <w:rPr>
          <w:sz w:val="22"/>
          <w:szCs w:val="26"/>
        </w:rPr>
        <w:t xml:space="preserve">Bottom hopper de-ashing </w:t>
      </w:r>
      <w:r w:rsidR="00C07D1C">
        <w:rPr>
          <w:sz w:val="22"/>
          <w:szCs w:val="26"/>
        </w:rPr>
        <w:t>was</w:t>
      </w:r>
      <w:r>
        <w:rPr>
          <w:sz w:val="22"/>
          <w:szCs w:val="26"/>
        </w:rPr>
        <w:t xml:space="preserve"> done prior to the test stabilization period and thereafter immediately after the test.</w:t>
      </w:r>
      <w:r w:rsidR="003A5961">
        <w:rPr>
          <w:sz w:val="22"/>
          <w:szCs w:val="26"/>
        </w:rPr>
        <w:t xml:space="preserve"> </w:t>
      </w:r>
      <w:r w:rsidR="00380983">
        <w:rPr>
          <w:sz w:val="22"/>
          <w:szCs w:val="26"/>
        </w:rPr>
        <w:t xml:space="preserve"> </w:t>
      </w:r>
    </w:p>
    <w:p w:rsidR="00A10CC7" w:rsidRPr="00A10CC7" w:rsidRDefault="00A10CC7" w:rsidP="00A10CC7">
      <w:pPr>
        <w:ind w:left="360"/>
        <w:rPr>
          <w:sz w:val="10"/>
          <w:szCs w:val="26"/>
        </w:rPr>
      </w:pPr>
    </w:p>
    <w:p w:rsidR="00246F11" w:rsidRDefault="001679B6" w:rsidP="00904DE5">
      <w:pPr>
        <w:ind w:left="360" w:firstLine="360"/>
        <w:rPr>
          <w:sz w:val="22"/>
          <w:szCs w:val="26"/>
        </w:rPr>
      </w:pPr>
      <w:r>
        <w:rPr>
          <w:sz w:val="22"/>
          <w:szCs w:val="26"/>
        </w:rPr>
        <w:t xml:space="preserve">The </w:t>
      </w:r>
      <w:r w:rsidR="0003310C">
        <w:rPr>
          <w:sz w:val="22"/>
          <w:szCs w:val="26"/>
        </w:rPr>
        <w:t xml:space="preserve">achieved </w:t>
      </w:r>
      <w:r>
        <w:rPr>
          <w:sz w:val="22"/>
          <w:szCs w:val="26"/>
        </w:rPr>
        <w:t>unit heat rate is 3050</w:t>
      </w:r>
      <w:r w:rsidR="00EC3F56">
        <w:rPr>
          <w:sz w:val="22"/>
          <w:szCs w:val="26"/>
        </w:rPr>
        <w:t xml:space="preserve"> </w:t>
      </w:r>
      <w:r>
        <w:rPr>
          <w:sz w:val="22"/>
          <w:szCs w:val="26"/>
        </w:rPr>
        <w:t xml:space="preserve">kCal/kWh </w:t>
      </w:r>
      <w:r w:rsidR="0050560C">
        <w:rPr>
          <w:sz w:val="22"/>
          <w:szCs w:val="26"/>
        </w:rPr>
        <w:t>for Unit</w:t>
      </w:r>
      <w:r w:rsidR="00EC3F56">
        <w:rPr>
          <w:sz w:val="22"/>
          <w:szCs w:val="26"/>
        </w:rPr>
        <w:t>#</w:t>
      </w:r>
      <w:r w:rsidR="0050560C">
        <w:rPr>
          <w:sz w:val="22"/>
          <w:szCs w:val="26"/>
        </w:rPr>
        <w:t xml:space="preserve">1 </w:t>
      </w:r>
      <w:r>
        <w:rPr>
          <w:sz w:val="22"/>
          <w:szCs w:val="26"/>
        </w:rPr>
        <w:t>and 3220</w:t>
      </w:r>
      <w:r w:rsidR="002905D2">
        <w:rPr>
          <w:sz w:val="22"/>
          <w:szCs w:val="26"/>
        </w:rPr>
        <w:t xml:space="preserve"> </w:t>
      </w:r>
      <w:r>
        <w:rPr>
          <w:sz w:val="22"/>
          <w:szCs w:val="26"/>
        </w:rPr>
        <w:t xml:space="preserve">kCal/kWh </w:t>
      </w:r>
      <w:r w:rsidR="0050560C">
        <w:rPr>
          <w:sz w:val="22"/>
          <w:szCs w:val="26"/>
        </w:rPr>
        <w:t>for Unit</w:t>
      </w:r>
      <w:r w:rsidR="002905D2">
        <w:rPr>
          <w:sz w:val="22"/>
          <w:szCs w:val="26"/>
        </w:rPr>
        <w:t>#</w:t>
      </w:r>
      <w:r w:rsidR="0050560C">
        <w:rPr>
          <w:sz w:val="22"/>
          <w:szCs w:val="26"/>
        </w:rPr>
        <w:t xml:space="preserve">2 </w:t>
      </w:r>
      <w:r>
        <w:rPr>
          <w:sz w:val="22"/>
          <w:szCs w:val="26"/>
        </w:rPr>
        <w:t>under the above conditions.</w:t>
      </w:r>
      <w:r w:rsidR="00246F11">
        <w:rPr>
          <w:sz w:val="22"/>
          <w:szCs w:val="26"/>
        </w:rPr>
        <w:t xml:space="preserve"> The average station heat rate computes to 3135</w:t>
      </w:r>
      <w:r w:rsidR="002E5AB6">
        <w:rPr>
          <w:sz w:val="22"/>
          <w:szCs w:val="26"/>
        </w:rPr>
        <w:t xml:space="preserve"> </w:t>
      </w:r>
      <w:r w:rsidR="00246F11">
        <w:rPr>
          <w:sz w:val="22"/>
          <w:szCs w:val="26"/>
        </w:rPr>
        <w:t>kCal/kWh in the</w:t>
      </w:r>
      <w:r w:rsidR="001D16BD">
        <w:rPr>
          <w:sz w:val="22"/>
          <w:szCs w:val="26"/>
        </w:rPr>
        <w:t xml:space="preserve"> </w:t>
      </w:r>
      <w:r w:rsidR="00E84DDE">
        <w:rPr>
          <w:sz w:val="22"/>
          <w:szCs w:val="26"/>
        </w:rPr>
        <w:t>above conditions</w:t>
      </w:r>
      <w:r w:rsidR="00246F11">
        <w:rPr>
          <w:sz w:val="22"/>
          <w:szCs w:val="26"/>
        </w:rPr>
        <w:t xml:space="preserve">. </w:t>
      </w:r>
    </w:p>
    <w:p w:rsidR="001679B6" w:rsidRDefault="00D61F4A" w:rsidP="001679B6">
      <w:pPr>
        <w:ind w:left="360"/>
        <w:rPr>
          <w:sz w:val="22"/>
          <w:szCs w:val="26"/>
        </w:rPr>
      </w:pPr>
      <w:r>
        <w:rPr>
          <w:sz w:val="22"/>
          <w:szCs w:val="26"/>
        </w:rPr>
        <w:t xml:space="preserve"> It is mentioned in the report that the average Heat Rate for the units would be higher than the Test Heat rate on account of following conditions</w:t>
      </w:r>
      <w:r w:rsidR="00AB65C9">
        <w:rPr>
          <w:sz w:val="22"/>
          <w:szCs w:val="26"/>
        </w:rPr>
        <w:t>:</w:t>
      </w:r>
    </w:p>
    <w:p w:rsidR="00D61F4A" w:rsidRDefault="00D61F4A" w:rsidP="00D61F4A">
      <w:pPr>
        <w:numPr>
          <w:ilvl w:val="1"/>
          <w:numId w:val="18"/>
        </w:numPr>
        <w:rPr>
          <w:sz w:val="22"/>
          <w:szCs w:val="26"/>
        </w:rPr>
      </w:pPr>
      <w:r>
        <w:rPr>
          <w:sz w:val="22"/>
          <w:szCs w:val="26"/>
        </w:rPr>
        <w:t>Parametric deviations (e.g. steam pressure &amp; temperatures)</w:t>
      </w:r>
    </w:p>
    <w:p w:rsidR="00D61F4A" w:rsidRDefault="00D61F4A" w:rsidP="00D61F4A">
      <w:pPr>
        <w:numPr>
          <w:ilvl w:val="1"/>
          <w:numId w:val="18"/>
        </w:numPr>
        <w:rPr>
          <w:sz w:val="22"/>
          <w:szCs w:val="26"/>
        </w:rPr>
      </w:pPr>
      <w:r>
        <w:rPr>
          <w:sz w:val="22"/>
          <w:szCs w:val="26"/>
        </w:rPr>
        <w:t>Variation in coal quality</w:t>
      </w:r>
    </w:p>
    <w:p w:rsidR="00D61F4A" w:rsidRDefault="00D61F4A" w:rsidP="00D61F4A">
      <w:pPr>
        <w:numPr>
          <w:ilvl w:val="1"/>
          <w:numId w:val="18"/>
        </w:numPr>
        <w:rPr>
          <w:sz w:val="22"/>
          <w:szCs w:val="26"/>
        </w:rPr>
      </w:pPr>
      <w:r>
        <w:rPr>
          <w:sz w:val="22"/>
          <w:szCs w:val="26"/>
        </w:rPr>
        <w:t>Operation of soot blowers, Water/steam leakages, CBD/IBD operation</w:t>
      </w:r>
    </w:p>
    <w:p w:rsidR="00D61F4A" w:rsidRDefault="00D61F4A" w:rsidP="00D61F4A">
      <w:pPr>
        <w:numPr>
          <w:ilvl w:val="1"/>
          <w:numId w:val="18"/>
        </w:numPr>
        <w:rPr>
          <w:sz w:val="22"/>
          <w:szCs w:val="26"/>
        </w:rPr>
      </w:pPr>
      <w:r>
        <w:rPr>
          <w:sz w:val="22"/>
          <w:szCs w:val="26"/>
        </w:rPr>
        <w:t>Partial loading, unit startups/ shutdowns</w:t>
      </w:r>
    </w:p>
    <w:p w:rsidR="00D61F4A" w:rsidRDefault="00D61F4A" w:rsidP="00D61F4A">
      <w:pPr>
        <w:numPr>
          <w:ilvl w:val="1"/>
          <w:numId w:val="18"/>
        </w:numPr>
        <w:rPr>
          <w:sz w:val="22"/>
          <w:szCs w:val="26"/>
        </w:rPr>
      </w:pPr>
      <w:r>
        <w:rPr>
          <w:sz w:val="22"/>
          <w:szCs w:val="26"/>
        </w:rPr>
        <w:t>Changes in ambient operating conditions (Ambient temp</w:t>
      </w:r>
      <w:r w:rsidR="002E5AB6">
        <w:rPr>
          <w:sz w:val="22"/>
          <w:szCs w:val="26"/>
        </w:rPr>
        <w:t>.</w:t>
      </w:r>
      <w:r>
        <w:rPr>
          <w:sz w:val="22"/>
          <w:szCs w:val="26"/>
        </w:rPr>
        <w:t xml:space="preserve"> &amp; CW inlet temp</w:t>
      </w:r>
      <w:r w:rsidR="002E5AB6">
        <w:rPr>
          <w:sz w:val="22"/>
          <w:szCs w:val="26"/>
        </w:rPr>
        <w:t>.</w:t>
      </w:r>
      <w:r>
        <w:rPr>
          <w:sz w:val="22"/>
          <w:szCs w:val="26"/>
        </w:rPr>
        <w:t>)</w:t>
      </w:r>
    </w:p>
    <w:p w:rsidR="00C305A3" w:rsidRDefault="00D61F4A" w:rsidP="00D61F4A">
      <w:pPr>
        <w:numPr>
          <w:ilvl w:val="1"/>
          <w:numId w:val="18"/>
        </w:numPr>
        <w:rPr>
          <w:sz w:val="22"/>
          <w:szCs w:val="26"/>
        </w:rPr>
      </w:pPr>
      <w:r>
        <w:rPr>
          <w:sz w:val="22"/>
          <w:szCs w:val="26"/>
        </w:rPr>
        <w:t xml:space="preserve">Deterioration in equipment performance </w:t>
      </w:r>
      <w:r w:rsidR="00C07D1C">
        <w:rPr>
          <w:sz w:val="22"/>
          <w:szCs w:val="26"/>
        </w:rPr>
        <w:t>between</w:t>
      </w:r>
      <w:r>
        <w:rPr>
          <w:sz w:val="22"/>
          <w:szCs w:val="26"/>
        </w:rPr>
        <w:t xml:space="preserve"> an overhaul to next</w:t>
      </w:r>
      <w:r w:rsidR="00252B11">
        <w:rPr>
          <w:sz w:val="22"/>
          <w:szCs w:val="26"/>
        </w:rPr>
        <w:t xml:space="preserve"> overhaul</w:t>
      </w:r>
    </w:p>
    <w:p w:rsidR="00DC5FF4" w:rsidRPr="001D3234" w:rsidRDefault="006F5685" w:rsidP="002E5AB6">
      <w:pPr>
        <w:ind w:firstLine="720"/>
      </w:pPr>
      <w:r>
        <w:rPr>
          <w:sz w:val="22"/>
          <w:szCs w:val="26"/>
        </w:rPr>
        <w:t xml:space="preserve">The copy of CenPEEP report </w:t>
      </w:r>
      <w:r w:rsidR="007924A6">
        <w:rPr>
          <w:sz w:val="22"/>
          <w:szCs w:val="26"/>
        </w:rPr>
        <w:t>has already been submitted to Hon’ble Commission during true up of previous MYT period.</w:t>
      </w:r>
      <w:r w:rsidR="003D0B22">
        <w:rPr>
          <w:sz w:val="22"/>
          <w:szCs w:val="26"/>
        </w:rPr>
        <w:t xml:space="preserve">   </w:t>
      </w:r>
      <w:r w:rsidR="00DC5FF4">
        <w:t xml:space="preserve">The </w:t>
      </w:r>
      <w:r w:rsidR="00DC5FF4" w:rsidRPr="001D3234">
        <w:t>Hon'ble Commission</w:t>
      </w:r>
      <w:r w:rsidR="00DC5FF4">
        <w:t xml:space="preserve"> in its Order dated 26.08.2011</w:t>
      </w:r>
      <w:r w:rsidR="00DC5FF4" w:rsidRPr="001D3234">
        <w:t xml:space="preserve"> has </w:t>
      </w:r>
      <w:r w:rsidR="0003310C">
        <w:t>analyzed</w:t>
      </w:r>
      <w:r w:rsidR="00104CD6">
        <w:t xml:space="preserve"> the report prepared by NTPC-CenPEEP for performance test of the</w:t>
      </w:r>
      <w:r w:rsidR="00F26701">
        <w:t xml:space="preserve"> units of RPH. </w:t>
      </w:r>
      <w:r w:rsidR="00104CD6">
        <w:t xml:space="preserve"> </w:t>
      </w:r>
      <w:r w:rsidR="00907133">
        <w:t>T</w:t>
      </w:r>
      <w:r w:rsidR="00DC5FF4" w:rsidRPr="001D3234">
        <w:t xml:space="preserve">he station heat rate achieved by the </w:t>
      </w:r>
      <w:r w:rsidR="00DC5FF4">
        <w:t xml:space="preserve">Unit 1 and Unit 2 of the Rajghat Power House </w:t>
      </w:r>
      <w:r w:rsidR="0033495C">
        <w:t>was</w:t>
      </w:r>
      <w:r w:rsidR="00DC5FF4">
        <w:t xml:space="preserve"> 3049.8 kCal/kWh and 3220.1 kCal/kWh</w:t>
      </w:r>
      <w:r w:rsidR="00DC5FF4" w:rsidRPr="001D3234">
        <w:t>.</w:t>
      </w:r>
      <w:r w:rsidR="00DC5FF4">
        <w:t xml:space="preserve"> </w:t>
      </w:r>
      <w:r w:rsidR="00907133">
        <w:t>The Hon’ble Commission has observed from the report that boiler efficiency of Un</w:t>
      </w:r>
      <w:r w:rsidR="00DB12C8">
        <w:t>i</w:t>
      </w:r>
      <w:r w:rsidR="00907133">
        <w:t xml:space="preserve">t No.2 was low on account of high moisture in fuel and loss due to carbon mono oxide, which are temporary phenomena due to improper burning of coal. Therefore, </w:t>
      </w:r>
      <w:r w:rsidR="00DC5FF4">
        <w:t xml:space="preserve">the </w:t>
      </w:r>
      <w:r w:rsidR="00DC5FF4">
        <w:lastRenderedPageBreak/>
        <w:t xml:space="preserve">performance of the Unit No. 2 has </w:t>
      </w:r>
      <w:r w:rsidR="00907133">
        <w:t xml:space="preserve">been </w:t>
      </w:r>
      <w:r w:rsidR="00DC5FF4">
        <w:t xml:space="preserve">considered </w:t>
      </w:r>
      <w:r w:rsidR="00907133">
        <w:t>at the same level of Unit No.1</w:t>
      </w:r>
      <w:r w:rsidR="00DB12C8">
        <w:t xml:space="preserve"> </w:t>
      </w:r>
      <w:r w:rsidR="00907133">
        <w:t xml:space="preserve">i.e </w:t>
      </w:r>
      <w:r w:rsidR="0033495C">
        <w:t xml:space="preserve">3049.8 </w:t>
      </w:r>
      <w:r w:rsidR="00DC5FF4">
        <w:t xml:space="preserve">kCal/kWh. </w:t>
      </w:r>
      <w:r w:rsidR="0033495C">
        <w:t>T</w:t>
      </w:r>
      <w:r w:rsidR="00DC5FF4">
        <w:t>he Hon'ble Commission has applied a margin of 5% only on site operating conditions</w:t>
      </w:r>
      <w:r w:rsidR="0033495C">
        <w:t xml:space="preserve"> on 3049.8 kCal/kWh</w:t>
      </w:r>
      <w:r w:rsidR="00DC5FF4">
        <w:t xml:space="preserve"> </w:t>
      </w:r>
      <w:r w:rsidR="0033495C">
        <w:t>and</w:t>
      </w:r>
      <w:r w:rsidR="00DC5FF4">
        <w:t xml:space="preserve"> the station heat rate for the RPH </w:t>
      </w:r>
      <w:r w:rsidR="0033495C">
        <w:t xml:space="preserve">was </w:t>
      </w:r>
      <w:r w:rsidR="00DC5FF4">
        <w:t>worked out to 3202 kCal/kWh. The Hon'ble Commission has accordingly restricted the station heat rate to 3200 kCal/kWh.</w:t>
      </w:r>
    </w:p>
    <w:p w:rsidR="00C529A7" w:rsidRDefault="00DC5FF4" w:rsidP="00DC5FF4">
      <w:pPr>
        <w:spacing w:before="240"/>
      </w:pPr>
      <w:r>
        <w:t xml:space="preserve">It is submitted that the Hon'ble Commission has </w:t>
      </w:r>
      <w:r w:rsidR="003B5DF3">
        <w:t>consider</w:t>
      </w:r>
      <w:r w:rsidR="00714240">
        <w:t>ed</w:t>
      </w:r>
      <w:r w:rsidR="003B5DF3">
        <w:t xml:space="preserve"> the margin of 5% </w:t>
      </w:r>
      <w:r w:rsidR="00C529A7">
        <w:t>only.  However, actual heat rate during FY 2012-13, 2013-14 has been more than as allowed by Hon’ble Commission due to following reasons:</w:t>
      </w:r>
    </w:p>
    <w:p w:rsidR="00C529A7" w:rsidRPr="00C529A7" w:rsidRDefault="00C529A7" w:rsidP="00C529A7">
      <w:pPr>
        <w:pStyle w:val="ListParagraph"/>
        <w:numPr>
          <w:ilvl w:val="0"/>
          <w:numId w:val="40"/>
        </w:numPr>
        <w:spacing w:before="240"/>
        <w:rPr>
          <w:rFonts w:ascii="Century Gothic" w:hAnsi="Century Gothic"/>
        </w:rPr>
      </w:pPr>
      <w:r w:rsidRPr="00C529A7">
        <w:rPr>
          <w:rFonts w:ascii="Century Gothic" w:hAnsi="Century Gothic"/>
        </w:rPr>
        <w:t>Variation in percentage of make</w:t>
      </w:r>
      <w:r w:rsidR="00FC724F">
        <w:rPr>
          <w:rFonts w:ascii="Century Gothic" w:hAnsi="Century Gothic"/>
        </w:rPr>
        <w:t>-</w:t>
      </w:r>
      <w:r w:rsidRPr="00C529A7">
        <w:rPr>
          <w:rFonts w:ascii="Century Gothic" w:hAnsi="Century Gothic"/>
        </w:rPr>
        <w:t>up water due to frequent stop and start on account of backing down.</w:t>
      </w:r>
    </w:p>
    <w:p w:rsidR="00C529A7" w:rsidRPr="00C529A7" w:rsidRDefault="00C529A7" w:rsidP="00C529A7">
      <w:pPr>
        <w:pStyle w:val="ListParagraph"/>
        <w:numPr>
          <w:ilvl w:val="0"/>
          <w:numId w:val="40"/>
        </w:numPr>
        <w:spacing w:before="240"/>
        <w:rPr>
          <w:rFonts w:ascii="Century Gothic" w:hAnsi="Century Gothic"/>
        </w:rPr>
      </w:pPr>
      <w:r w:rsidRPr="00C529A7">
        <w:rPr>
          <w:rFonts w:ascii="Century Gothic" w:hAnsi="Century Gothic"/>
        </w:rPr>
        <w:t>Variation in quality of coal.</w:t>
      </w:r>
    </w:p>
    <w:p w:rsidR="00C529A7" w:rsidRPr="00C529A7" w:rsidRDefault="00C529A7" w:rsidP="00C529A7">
      <w:pPr>
        <w:pStyle w:val="ListParagraph"/>
        <w:numPr>
          <w:ilvl w:val="0"/>
          <w:numId w:val="40"/>
        </w:numPr>
        <w:spacing w:before="240"/>
        <w:rPr>
          <w:rFonts w:ascii="Century Gothic" w:hAnsi="Century Gothic"/>
        </w:rPr>
      </w:pPr>
      <w:r w:rsidRPr="00C529A7">
        <w:rPr>
          <w:rFonts w:ascii="Century Gothic" w:hAnsi="Century Gothic"/>
        </w:rPr>
        <w:t>Variation in cooling water temperature.</w:t>
      </w:r>
    </w:p>
    <w:p w:rsidR="00C529A7" w:rsidRDefault="00C529A7" w:rsidP="00C529A7">
      <w:pPr>
        <w:pStyle w:val="ListParagraph"/>
        <w:numPr>
          <w:ilvl w:val="0"/>
          <w:numId w:val="40"/>
        </w:numPr>
        <w:spacing w:before="240"/>
        <w:rPr>
          <w:rFonts w:ascii="Century Gothic" w:hAnsi="Century Gothic"/>
        </w:rPr>
      </w:pPr>
      <w:r>
        <w:rPr>
          <w:rFonts w:ascii="Century Gothic" w:hAnsi="Century Gothic"/>
        </w:rPr>
        <w:t>Variation in back pressure of steam turbine.</w:t>
      </w:r>
    </w:p>
    <w:p w:rsidR="00C529A7" w:rsidRDefault="00AC791F" w:rsidP="00C529A7">
      <w:pPr>
        <w:pStyle w:val="ListParagraph"/>
        <w:numPr>
          <w:ilvl w:val="0"/>
          <w:numId w:val="40"/>
        </w:numPr>
        <w:spacing w:before="240"/>
        <w:rPr>
          <w:rFonts w:ascii="Century Gothic" w:hAnsi="Century Gothic"/>
        </w:rPr>
      </w:pPr>
      <w:r>
        <w:rPr>
          <w:rFonts w:ascii="Century Gothic" w:hAnsi="Century Gothic"/>
        </w:rPr>
        <w:t>Frequent bottom ash cooling due to high ash content in the coal.</w:t>
      </w:r>
    </w:p>
    <w:p w:rsidR="00AC791F" w:rsidRDefault="002F0C67" w:rsidP="00C529A7">
      <w:pPr>
        <w:pStyle w:val="ListParagraph"/>
        <w:numPr>
          <w:ilvl w:val="0"/>
          <w:numId w:val="40"/>
        </w:numPr>
        <w:spacing w:before="240"/>
        <w:rPr>
          <w:rFonts w:ascii="Century Gothic" w:hAnsi="Century Gothic"/>
        </w:rPr>
      </w:pPr>
      <w:r>
        <w:rPr>
          <w:rFonts w:ascii="Century Gothic" w:hAnsi="Century Gothic"/>
        </w:rPr>
        <w:t>Increased frequency of</w:t>
      </w:r>
      <w:r w:rsidR="00255037">
        <w:rPr>
          <w:rFonts w:ascii="Century Gothic" w:hAnsi="Century Gothic"/>
        </w:rPr>
        <w:t xml:space="preserve"> boiler</w:t>
      </w:r>
      <w:r>
        <w:rPr>
          <w:rFonts w:ascii="Century Gothic" w:hAnsi="Century Gothic"/>
        </w:rPr>
        <w:t xml:space="preserve"> blow downs due to </w:t>
      </w:r>
      <w:r w:rsidR="009D611D">
        <w:rPr>
          <w:rFonts w:ascii="Century Gothic" w:hAnsi="Century Gothic"/>
        </w:rPr>
        <w:t>poor</w:t>
      </w:r>
      <w:r>
        <w:rPr>
          <w:rFonts w:ascii="Century Gothic" w:hAnsi="Century Gothic"/>
        </w:rPr>
        <w:t xml:space="preserve"> raw water quality.</w:t>
      </w:r>
    </w:p>
    <w:p w:rsidR="002F0C67" w:rsidRDefault="0040721B" w:rsidP="00C529A7">
      <w:pPr>
        <w:pStyle w:val="ListParagraph"/>
        <w:numPr>
          <w:ilvl w:val="0"/>
          <w:numId w:val="40"/>
        </w:numPr>
        <w:spacing w:before="240"/>
        <w:rPr>
          <w:rFonts w:ascii="Century Gothic" w:hAnsi="Century Gothic"/>
        </w:rPr>
      </w:pPr>
      <w:r>
        <w:rPr>
          <w:rFonts w:ascii="Century Gothic" w:hAnsi="Century Gothic"/>
        </w:rPr>
        <w:t>Frequent changeover of mills due to poor conditions of mills.</w:t>
      </w:r>
    </w:p>
    <w:p w:rsidR="0040721B" w:rsidRDefault="0040721B" w:rsidP="00C529A7">
      <w:pPr>
        <w:pStyle w:val="ListParagraph"/>
        <w:numPr>
          <w:ilvl w:val="0"/>
          <w:numId w:val="40"/>
        </w:numPr>
        <w:spacing w:before="240"/>
        <w:rPr>
          <w:rFonts w:ascii="Century Gothic" w:hAnsi="Century Gothic"/>
        </w:rPr>
      </w:pPr>
      <w:r>
        <w:rPr>
          <w:rFonts w:ascii="Century Gothic" w:hAnsi="Century Gothic"/>
        </w:rPr>
        <w:t>Operation of soot blowers.</w:t>
      </w:r>
    </w:p>
    <w:p w:rsidR="0040721B" w:rsidRDefault="0040721B" w:rsidP="00C529A7">
      <w:pPr>
        <w:pStyle w:val="ListParagraph"/>
        <w:numPr>
          <w:ilvl w:val="0"/>
          <w:numId w:val="40"/>
        </w:numPr>
        <w:spacing w:before="240"/>
        <w:rPr>
          <w:rFonts w:ascii="Century Gothic" w:hAnsi="Century Gothic"/>
        </w:rPr>
      </w:pPr>
      <w:r>
        <w:rPr>
          <w:rFonts w:ascii="Century Gothic" w:hAnsi="Century Gothic"/>
        </w:rPr>
        <w:t xml:space="preserve">Leakage of water and steam due to ageing </w:t>
      </w:r>
      <w:r w:rsidR="009D611D">
        <w:rPr>
          <w:rFonts w:ascii="Century Gothic" w:hAnsi="Century Gothic"/>
        </w:rPr>
        <w:t xml:space="preserve">of </w:t>
      </w:r>
      <w:r>
        <w:rPr>
          <w:rFonts w:ascii="Century Gothic" w:hAnsi="Century Gothic"/>
        </w:rPr>
        <w:t>pipes.</w:t>
      </w:r>
    </w:p>
    <w:p w:rsidR="0040721B" w:rsidRDefault="0040721B" w:rsidP="00C43BF7">
      <w:pPr>
        <w:rPr>
          <w:b/>
          <w:bCs/>
          <w:sz w:val="22"/>
          <w:szCs w:val="22"/>
        </w:rPr>
      </w:pPr>
    </w:p>
    <w:p w:rsidR="0034284E" w:rsidRDefault="0040721B" w:rsidP="00C43BF7">
      <w:pPr>
        <w:rPr>
          <w:b/>
          <w:sz w:val="22"/>
          <w:szCs w:val="22"/>
        </w:rPr>
      </w:pPr>
      <w:r>
        <w:rPr>
          <w:b/>
          <w:bCs/>
          <w:sz w:val="22"/>
          <w:szCs w:val="22"/>
        </w:rPr>
        <w:t>T</w:t>
      </w:r>
      <w:r w:rsidR="0034284E" w:rsidRPr="00246F8E">
        <w:rPr>
          <w:b/>
          <w:bCs/>
          <w:sz w:val="22"/>
          <w:szCs w:val="22"/>
        </w:rPr>
        <w:t xml:space="preserve">he petitioner requests the </w:t>
      </w:r>
      <w:r w:rsidR="003561B8" w:rsidRPr="00246F8E">
        <w:rPr>
          <w:b/>
          <w:bCs/>
          <w:sz w:val="22"/>
          <w:szCs w:val="22"/>
        </w:rPr>
        <w:t xml:space="preserve">Hon’ble </w:t>
      </w:r>
      <w:r w:rsidR="0034284E" w:rsidRPr="00246F8E">
        <w:rPr>
          <w:b/>
          <w:bCs/>
          <w:sz w:val="22"/>
          <w:szCs w:val="22"/>
        </w:rPr>
        <w:t>Commission to</w:t>
      </w:r>
      <w:r w:rsidR="0034284E" w:rsidRPr="005A0615">
        <w:rPr>
          <w:b/>
          <w:sz w:val="22"/>
          <w:szCs w:val="22"/>
        </w:rPr>
        <w:t xml:space="preserve"> </w:t>
      </w:r>
      <w:r w:rsidR="0034284E">
        <w:rPr>
          <w:b/>
          <w:sz w:val="22"/>
          <w:szCs w:val="22"/>
        </w:rPr>
        <w:t xml:space="preserve">true- up and allow the actual heat rate </w:t>
      </w:r>
      <w:r w:rsidR="00AF2AF6">
        <w:rPr>
          <w:b/>
          <w:sz w:val="22"/>
          <w:szCs w:val="22"/>
        </w:rPr>
        <w:t xml:space="preserve">for Rajghat Power House </w:t>
      </w:r>
      <w:r w:rsidR="0034284E">
        <w:rPr>
          <w:b/>
          <w:sz w:val="22"/>
          <w:szCs w:val="22"/>
        </w:rPr>
        <w:t xml:space="preserve">for FY </w:t>
      </w:r>
      <w:r w:rsidR="003D0B22">
        <w:rPr>
          <w:b/>
          <w:sz w:val="22"/>
          <w:szCs w:val="22"/>
        </w:rPr>
        <w:t>2012-13 to 2014-15</w:t>
      </w:r>
      <w:r w:rsidR="0034284E">
        <w:rPr>
          <w:b/>
          <w:sz w:val="22"/>
          <w:szCs w:val="22"/>
        </w:rPr>
        <w:t xml:space="preserve"> and the proposed heat rate of 32</w:t>
      </w:r>
      <w:r w:rsidR="00BD1C13">
        <w:rPr>
          <w:b/>
          <w:sz w:val="22"/>
          <w:szCs w:val="22"/>
        </w:rPr>
        <w:t>48</w:t>
      </w:r>
      <w:r w:rsidR="0034284E">
        <w:rPr>
          <w:b/>
          <w:sz w:val="22"/>
          <w:szCs w:val="22"/>
        </w:rPr>
        <w:t xml:space="preserve">kCal/kWh for </w:t>
      </w:r>
      <w:r w:rsidR="003D0B22">
        <w:rPr>
          <w:b/>
          <w:sz w:val="22"/>
          <w:szCs w:val="22"/>
        </w:rPr>
        <w:t>FY 2015-16</w:t>
      </w:r>
      <w:r w:rsidR="00BD1C13">
        <w:rPr>
          <w:b/>
          <w:sz w:val="22"/>
          <w:szCs w:val="22"/>
        </w:rPr>
        <w:t>.</w:t>
      </w:r>
      <w:r w:rsidR="007F072A">
        <w:rPr>
          <w:b/>
          <w:sz w:val="22"/>
          <w:szCs w:val="22"/>
        </w:rPr>
        <w:t xml:space="preserve"> </w:t>
      </w:r>
    </w:p>
    <w:p w:rsidR="00A66A54" w:rsidRDefault="00A66A54" w:rsidP="008A406D">
      <w:pPr>
        <w:spacing w:line="240" w:lineRule="auto"/>
        <w:rPr>
          <w:b/>
          <w:sz w:val="22"/>
          <w:szCs w:val="22"/>
        </w:rPr>
      </w:pPr>
    </w:p>
    <w:p w:rsidR="00D929C5" w:rsidRDefault="00D929C5" w:rsidP="00C43BF7">
      <w:pPr>
        <w:rPr>
          <w:b/>
          <w:sz w:val="22"/>
          <w:szCs w:val="22"/>
        </w:rPr>
      </w:pPr>
      <w:r>
        <w:rPr>
          <w:b/>
          <w:sz w:val="22"/>
          <w:szCs w:val="22"/>
        </w:rPr>
        <w:t>Gas Turbine Power Station</w:t>
      </w:r>
    </w:p>
    <w:p w:rsidR="00DE42C4" w:rsidRDefault="00D929C5" w:rsidP="000B1A22">
      <w:pPr>
        <w:rPr>
          <w:sz w:val="22"/>
          <w:szCs w:val="22"/>
        </w:rPr>
      </w:pPr>
      <w:r w:rsidRPr="00D929C5">
        <w:rPr>
          <w:sz w:val="22"/>
          <w:szCs w:val="22"/>
        </w:rPr>
        <w:t xml:space="preserve">The Hon’ble Commission has approved the station heat rate </w:t>
      </w:r>
      <w:r w:rsidR="007E31E8">
        <w:rPr>
          <w:sz w:val="22"/>
          <w:szCs w:val="22"/>
        </w:rPr>
        <w:t xml:space="preserve">of 2450 kCal/kWh in combined cycle operation and 3125kCal/kWh in open cycle mode </w:t>
      </w:r>
      <w:r w:rsidRPr="00D929C5">
        <w:rPr>
          <w:sz w:val="22"/>
          <w:szCs w:val="22"/>
        </w:rPr>
        <w:t xml:space="preserve">for the Gas Turbine Power Station which </w:t>
      </w:r>
      <w:r w:rsidR="00C654E2" w:rsidRPr="00D929C5">
        <w:rPr>
          <w:sz w:val="22"/>
          <w:szCs w:val="22"/>
        </w:rPr>
        <w:t>is</w:t>
      </w:r>
      <w:r w:rsidRPr="00D929C5">
        <w:rPr>
          <w:sz w:val="22"/>
          <w:szCs w:val="22"/>
        </w:rPr>
        <w:t xml:space="preserve"> below the </w:t>
      </w:r>
      <w:r w:rsidR="00CA6DCF">
        <w:rPr>
          <w:sz w:val="22"/>
          <w:szCs w:val="22"/>
        </w:rPr>
        <w:t xml:space="preserve">level </w:t>
      </w:r>
      <w:r w:rsidRPr="00D929C5">
        <w:rPr>
          <w:sz w:val="22"/>
          <w:szCs w:val="22"/>
        </w:rPr>
        <w:t>achievable by the station.</w:t>
      </w:r>
      <w:r w:rsidR="00DE42C4" w:rsidRPr="00DE42C4">
        <w:rPr>
          <w:sz w:val="22"/>
          <w:szCs w:val="22"/>
        </w:rPr>
        <w:t xml:space="preserve"> </w:t>
      </w:r>
      <w:r w:rsidR="00DE42C4" w:rsidRPr="00D929C5">
        <w:rPr>
          <w:sz w:val="22"/>
          <w:szCs w:val="22"/>
        </w:rPr>
        <w:t xml:space="preserve">The heat </w:t>
      </w:r>
      <w:r w:rsidR="00DE42C4" w:rsidRPr="00D929C5">
        <w:rPr>
          <w:sz w:val="22"/>
          <w:szCs w:val="22"/>
        </w:rPr>
        <w:lastRenderedPageBreak/>
        <w:t xml:space="preserve">rate achieved </w:t>
      </w:r>
      <w:r w:rsidR="005B2661">
        <w:rPr>
          <w:sz w:val="22"/>
          <w:szCs w:val="22"/>
        </w:rPr>
        <w:t>during FY 2</w:t>
      </w:r>
      <w:r w:rsidR="00933DFA">
        <w:rPr>
          <w:sz w:val="22"/>
          <w:szCs w:val="22"/>
        </w:rPr>
        <w:t>012-13 to 2014-15</w:t>
      </w:r>
      <w:r w:rsidR="005B2661">
        <w:rPr>
          <w:sz w:val="22"/>
          <w:szCs w:val="22"/>
        </w:rPr>
        <w:t xml:space="preserve"> </w:t>
      </w:r>
      <w:r w:rsidR="00461411">
        <w:rPr>
          <w:sz w:val="22"/>
          <w:szCs w:val="22"/>
        </w:rPr>
        <w:t xml:space="preserve">and proposed </w:t>
      </w:r>
      <w:r w:rsidR="00DE42C4" w:rsidRPr="00D929C5">
        <w:rPr>
          <w:sz w:val="22"/>
          <w:szCs w:val="22"/>
        </w:rPr>
        <w:t xml:space="preserve">by the Station during </w:t>
      </w:r>
      <w:r w:rsidR="005B2661">
        <w:rPr>
          <w:sz w:val="22"/>
          <w:szCs w:val="22"/>
        </w:rPr>
        <w:t xml:space="preserve">FY </w:t>
      </w:r>
      <w:r w:rsidR="00933DFA">
        <w:rPr>
          <w:sz w:val="22"/>
          <w:szCs w:val="22"/>
        </w:rPr>
        <w:t>2015-16</w:t>
      </w:r>
      <w:r w:rsidR="005B2661">
        <w:rPr>
          <w:sz w:val="22"/>
          <w:szCs w:val="22"/>
        </w:rPr>
        <w:t xml:space="preserve"> </w:t>
      </w:r>
      <w:r w:rsidR="00DE42C4" w:rsidRPr="00D929C5">
        <w:rPr>
          <w:sz w:val="22"/>
          <w:szCs w:val="22"/>
        </w:rPr>
        <w:t>is as under:</w:t>
      </w:r>
    </w:p>
    <w:p w:rsidR="00CB2A59" w:rsidRPr="00CB2A59" w:rsidRDefault="00EB412A" w:rsidP="003A50B7">
      <w:pPr>
        <w:pStyle w:val="Caption"/>
        <w:spacing w:line="240" w:lineRule="auto"/>
        <w:jc w:val="center"/>
        <w:rPr>
          <w:b w:val="0"/>
          <w:bCs w:val="0"/>
          <w:sz w:val="22"/>
          <w:szCs w:val="22"/>
        </w:rPr>
      </w:pPr>
      <w:bookmarkStart w:id="25" w:name="_Toc411603982"/>
      <w:r>
        <w:t xml:space="preserve">Table </w:t>
      </w:r>
      <w:fldSimple w:instr=" SEQ Table \* ARABIC ">
        <w:r w:rsidR="002326CE">
          <w:rPr>
            <w:noProof/>
          </w:rPr>
          <w:t>5</w:t>
        </w:r>
      </w:fldSimple>
      <w:r>
        <w:t xml:space="preserve"> : </w:t>
      </w:r>
      <w:r w:rsidR="00CB2A59" w:rsidRPr="007B7441">
        <w:t>Heat Rate of Gas Turbine Power Station</w:t>
      </w:r>
      <w:bookmarkEnd w:id="25"/>
    </w:p>
    <w:tbl>
      <w:tblPr>
        <w:tblW w:w="91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0"/>
        <w:gridCol w:w="1350"/>
        <w:gridCol w:w="1440"/>
        <w:gridCol w:w="1620"/>
        <w:gridCol w:w="2127"/>
      </w:tblGrid>
      <w:tr w:rsidR="00CE6AD8" w:rsidRPr="00D929C5" w:rsidTr="007D5380">
        <w:trPr>
          <w:trHeight w:val="275"/>
        </w:trPr>
        <w:tc>
          <w:tcPr>
            <w:tcW w:w="2610" w:type="dxa"/>
            <w:shd w:val="solid" w:color="000080" w:fill="auto"/>
          </w:tcPr>
          <w:p w:rsidR="00CE6AD8" w:rsidRPr="00D929C5" w:rsidRDefault="00CE6AD8" w:rsidP="003A50B7">
            <w:pPr>
              <w:spacing w:line="240" w:lineRule="auto"/>
              <w:jc w:val="center"/>
              <w:rPr>
                <w:b/>
                <w:sz w:val="22"/>
                <w:szCs w:val="22"/>
              </w:rPr>
            </w:pPr>
            <w:r w:rsidRPr="00D929C5">
              <w:rPr>
                <w:b/>
                <w:sz w:val="22"/>
                <w:szCs w:val="22"/>
              </w:rPr>
              <w:t>Mode</w:t>
            </w:r>
          </w:p>
        </w:tc>
        <w:tc>
          <w:tcPr>
            <w:tcW w:w="1350" w:type="dxa"/>
            <w:shd w:val="solid" w:color="000080" w:fill="auto"/>
          </w:tcPr>
          <w:p w:rsidR="00CE6AD8" w:rsidRDefault="00CE6AD8" w:rsidP="003A50B7">
            <w:pPr>
              <w:spacing w:line="240" w:lineRule="auto"/>
              <w:jc w:val="center"/>
              <w:rPr>
                <w:b/>
                <w:sz w:val="22"/>
                <w:szCs w:val="22"/>
              </w:rPr>
            </w:pPr>
            <w:r>
              <w:rPr>
                <w:b/>
                <w:sz w:val="22"/>
                <w:szCs w:val="22"/>
              </w:rPr>
              <w:t>12-13</w:t>
            </w:r>
          </w:p>
        </w:tc>
        <w:tc>
          <w:tcPr>
            <w:tcW w:w="1440" w:type="dxa"/>
            <w:shd w:val="solid" w:color="000080" w:fill="auto"/>
          </w:tcPr>
          <w:p w:rsidR="00CE6AD8" w:rsidRDefault="00CE6AD8" w:rsidP="003A50B7">
            <w:pPr>
              <w:spacing w:line="240" w:lineRule="auto"/>
              <w:jc w:val="center"/>
              <w:rPr>
                <w:b/>
                <w:sz w:val="22"/>
                <w:szCs w:val="22"/>
              </w:rPr>
            </w:pPr>
            <w:r>
              <w:rPr>
                <w:b/>
                <w:sz w:val="22"/>
                <w:szCs w:val="22"/>
              </w:rPr>
              <w:t>13-14</w:t>
            </w:r>
          </w:p>
        </w:tc>
        <w:tc>
          <w:tcPr>
            <w:tcW w:w="1620" w:type="dxa"/>
            <w:shd w:val="solid" w:color="000080" w:fill="auto"/>
          </w:tcPr>
          <w:p w:rsidR="007D5380" w:rsidRDefault="00CE6AD8" w:rsidP="00CB2D80">
            <w:pPr>
              <w:spacing w:line="240" w:lineRule="auto"/>
              <w:jc w:val="center"/>
              <w:rPr>
                <w:b/>
                <w:sz w:val="22"/>
                <w:szCs w:val="22"/>
              </w:rPr>
            </w:pPr>
            <w:r>
              <w:rPr>
                <w:b/>
                <w:sz w:val="22"/>
                <w:szCs w:val="22"/>
              </w:rPr>
              <w:t>14-15</w:t>
            </w:r>
          </w:p>
          <w:p w:rsidR="00CE6AD8" w:rsidRDefault="00EC7047" w:rsidP="00CB2D80">
            <w:pPr>
              <w:spacing w:line="240" w:lineRule="auto"/>
              <w:jc w:val="center"/>
              <w:rPr>
                <w:b/>
                <w:sz w:val="22"/>
                <w:szCs w:val="22"/>
              </w:rPr>
            </w:pPr>
            <w:r>
              <w:rPr>
                <w:b/>
                <w:sz w:val="22"/>
                <w:szCs w:val="22"/>
              </w:rPr>
              <w:t xml:space="preserve">( up to </w:t>
            </w:r>
            <w:r w:rsidR="00CB2D80">
              <w:rPr>
                <w:b/>
                <w:sz w:val="22"/>
                <w:szCs w:val="22"/>
              </w:rPr>
              <w:t>Dec</w:t>
            </w:r>
            <w:r>
              <w:rPr>
                <w:b/>
                <w:sz w:val="22"/>
                <w:szCs w:val="22"/>
              </w:rPr>
              <w:t>)</w:t>
            </w:r>
          </w:p>
        </w:tc>
        <w:tc>
          <w:tcPr>
            <w:tcW w:w="2127" w:type="dxa"/>
            <w:shd w:val="solid" w:color="000080" w:fill="auto"/>
          </w:tcPr>
          <w:p w:rsidR="007D5380" w:rsidRDefault="00CE6AD8" w:rsidP="003A50B7">
            <w:pPr>
              <w:spacing w:line="240" w:lineRule="auto"/>
              <w:jc w:val="center"/>
              <w:rPr>
                <w:b/>
                <w:sz w:val="22"/>
                <w:szCs w:val="22"/>
              </w:rPr>
            </w:pPr>
            <w:r>
              <w:rPr>
                <w:b/>
                <w:sz w:val="22"/>
                <w:szCs w:val="22"/>
              </w:rPr>
              <w:t>15-16</w:t>
            </w:r>
          </w:p>
          <w:p w:rsidR="00CE6AD8" w:rsidRDefault="00CD396E" w:rsidP="003A50B7">
            <w:pPr>
              <w:spacing w:line="240" w:lineRule="auto"/>
              <w:jc w:val="center"/>
              <w:rPr>
                <w:b/>
                <w:sz w:val="22"/>
                <w:szCs w:val="22"/>
              </w:rPr>
            </w:pPr>
            <w:r>
              <w:rPr>
                <w:b/>
                <w:sz w:val="22"/>
                <w:szCs w:val="22"/>
              </w:rPr>
              <w:t>(Estimated)</w:t>
            </w:r>
          </w:p>
        </w:tc>
      </w:tr>
      <w:tr w:rsidR="00EC7047" w:rsidRPr="00D929C5" w:rsidTr="007D5380">
        <w:trPr>
          <w:trHeight w:val="870"/>
        </w:trPr>
        <w:tc>
          <w:tcPr>
            <w:tcW w:w="2610" w:type="dxa"/>
          </w:tcPr>
          <w:p w:rsidR="00EC7047" w:rsidRPr="00D929C5" w:rsidRDefault="00EC7047" w:rsidP="001A5F43">
            <w:pPr>
              <w:spacing w:line="240" w:lineRule="auto"/>
              <w:jc w:val="center"/>
              <w:rPr>
                <w:sz w:val="22"/>
                <w:szCs w:val="22"/>
              </w:rPr>
            </w:pPr>
            <w:r w:rsidRPr="00D929C5">
              <w:rPr>
                <w:sz w:val="22"/>
                <w:szCs w:val="22"/>
              </w:rPr>
              <w:t>Combined Cycle mode (kCal/kWh)</w:t>
            </w:r>
          </w:p>
        </w:tc>
        <w:tc>
          <w:tcPr>
            <w:tcW w:w="1350" w:type="dxa"/>
            <w:vAlign w:val="center"/>
          </w:tcPr>
          <w:p w:rsidR="00EC7047" w:rsidRPr="00826385" w:rsidRDefault="00EC7047" w:rsidP="00EC7047">
            <w:pPr>
              <w:jc w:val="center"/>
              <w:rPr>
                <w:rFonts w:ascii="Arial" w:hAnsi="Arial" w:cs="Arial"/>
                <w:sz w:val="20"/>
                <w:szCs w:val="20"/>
              </w:rPr>
            </w:pPr>
            <w:r w:rsidRPr="00826385">
              <w:rPr>
                <w:rFonts w:ascii="Arial" w:hAnsi="Arial" w:cs="Arial"/>
                <w:sz w:val="20"/>
                <w:szCs w:val="20"/>
              </w:rPr>
              <w:t>2439</w:t>
            </w:r>
          </w:p>
        </w:tc>
        <w:tc>
          <w:tcPr>
            <w:tcW w:w="1440" w:type="dxa"/>
            <w:vAlign w:val="center"/>
          </w:tcPr>
          <w:p w:rsidR="00EC7047" w:rsidRPr="00826385" w:rsidRDefault="00EC7047" w:rsidP="00EC7047">
            <w:pPr>
              <w:jc w:val="center"/>
              <w:rPr>
                <w:rFonts w:ascii="Arial" w:hAnsi="Arial" w:cs="Arial"/>
                <w:sz w:val="20"/>
                <w:szCs w:val="20"/>
              </w:rPr>
            </w:pPr>
            <w:r w:rsidRPr="00826385">
              <w:rPr>
                <w:rFonts w:ascii="Arial" w:hAnsi="Arial" w:cs="Arial"/>
                <w:sz w:val="20"/>
                <w:szCs w:val="20"/>
              </w:rPr>
              <w:t>2416</w:t>
            </w:r>
          </w:p>
        </w:tc>
        <w:tc>
          <w:tcPr>
            <w:tcW w:w="1620" w:type="dxa"/>
            <w:vAlign w:val="center"/>
          </w:tcPr>
          <w:p w:rsidR="00EC7047" w:rsidRPr="00826385" w:rsidRDefault="00CB2D80" w:rsidP="00EC7047">
            <w:pPr>
              <w:jc w:val="center"/>
              <w:rPr>
                <w:rFonts w:ascii="Arial" w:hAnsi="Arial" w:cs="Arial"/>
                <w:sz w:val="20"/>
                <w:szCs w:val="20"/>
              </w:rPr>
            </w:pPr>
            <w:r w:rsidRPr="00826385">
              <w:rPr>
                <w:rFonts w:ascii="Arial" w:hAnsi="Arial" w:cs="Arial"/>
                <w:sz w:val="20"/>
                <w:szCs w:val="20"/>
              </w:rPr>
              <w:t>2515</w:t>
            </w:r>
          </w:p>
        </w:tc>
        <w:tc>
          <w:tcPr>
            <w:tcW w:w="2127" w:type="dxa"/>
          </w:tcPr>
          <w:p w:rsidR="00CB2D80" w:rsidRPr="00826385" w:rsidRDefault="00CB2D80" w:rsidP="001A5F43">
            <w:pPr>
              <w:spacing w:line="240" w:lineRule="auto"/>
              <w:jc w:val="center"/>
              <w:rPr>
                <w:sz w:val="22"/>
                <w:szCs w:val="22"/>
              </w:rPr>
            </w:pPr>
          </w:p>
          <w:p w:rsidR="00EC7047" w:rsidRPr="00826385" w:rsidRDefault="00CB2D80" w:rsidP="00CD396E">
            <w:pPr>
              <w:spacing w:line="240" w:lineRule="auto"/>
              <w:jc w:val="center"/>
              <w:rPr>
                <w:sz w:val="22"/>
                <w:szCs w:val="22"/>
              </w:rPr>
            </w:pPr>
            <w:r w:rsidRPr="00826385">
              <w:rPr>
                <w:sz w:val="22"/>
                <w:szCs w:val="22"/>
              </w:rPr>
              <w:t>2</w:t>
            </w:r>
            <w:r w:rsidR="00CD396E" w:rsidRPr="00826385">
              <w:rPr>
                <w:sz w:val="22"/>
                <w:szCs w:val="22"/>
              </w:rPr>
              <w:t>500</w:t>
            </w:r>
          </w:p>
        </w:tc>
      </w:tr>
      <w:tr w:rsidR="00EC7047" w:rsidRPr="00D929C5" w:rsidTr="007D5380">
        <w:trPr>
          <w:trHeight w:val="870"/>
        </w:trPr>
        <w:tc>
          <w:tcPr>
            <w:tcW w:w="2610" w:type="dxa"/>
          </w:tcPr>
          <w:p w:rsidR="00EC7047" w:rsidRPr="00D929C5" w:rsidRDefault="00EC7047" w:rsidP="001A5F43">
            <w:pPr>
              <w:spacing w:line="240" w:lineRule="auto"/>
              <w:jc w:val="center"/>
              <w:rPr>
                <w:sz w:val="22"/>
                <w:szCs w:val="22"/>
              </w:rPr>
            </w:pPr>
            <w:r w:rsidRPr="00D929C5">
              <w:rPr>
                <w:sz w:val="22"/>
                <w:szCs w:val="22"/>
              </w:rPr>
              <w:t>Open Cycle mode</w:t>
            </w:r>
          </w:p>
          <w:p w:rsidR="00EC7047" w:rsidRPr="00D929C5" w:rsidRDefault="00EC7047" w:rsidP="001A5F43">
            <w:pPr>
              <w:spacing w:line="240" w:lineRule="auto"/>
              <w:jc w:val="center"/>
              <w:rPr>
                <w:sz w:val="22"/>
                <w:szCs w:val="22"/>
              </w:rPr>
            </w:pPr>
            <w:r w:rsidRPr="00D929C5">
              <w:rPr>
                <w:sz w:val="22"/>
                <w:szCs w:val="22"/>
              </w:rPr>
              <w:t>(kCal/kWh)</w:t>
            </w:r>
          </w:p>
        </w:tc>
        <w:tc>
          <w:tcPr>
            <w:tcW w:w="1350" w:type="dxa"/>
            <w:vAlign w:val="center"/>
          </w:tcPr>
          <w:p w:rsidR="00EC7047" w:rsidRPr="00826385" w:rsidRDefault="00EC7047" w:rsidP="00EC7047">
            <w:pPr>
              <w:jc w:val="center"/>
              <w:rPr>
                <w:rFonts w:ascii="Arial" w:hAnsi="Arial" w:cs="Arial"/>
                <w:sz w:val="20"/>
                <w:szCs w:val="20"/>
              </w:rPr>
            </w:pPr>
            <w:r w:rsidRPr="00826385">
              <w:rPr>
                <w:rFonts w:ascii="Arial" w:hAnsi="Arial" w:cs="Arial"/>
                <w:sz w:val="20"/>
                <w:szCs w:val="20"/>
              </w:rPr>
              <w:t>3449</w:t>
            </w:r>
          </w:p>
        </w:tc>
        <w:tc>
          <w:tcPr>
            <w:tcW w:w="1440" w:type="dxa"/>
            <w:vAlign w:val="center"/>
          </w:tcPr>
          <w:p w:rsidR="00EC7047" w:rsidRPr="00826385" w:rsidRDefault="00EC7047" w:rsidP="00EC7047">
            <w:pPr>
              <w:jc w:val="center"/>
              <w:rPr>
                <w:rFonts w:ascii="Arial" w:hAnsi="Arial" w:cs="Arial"/>
                <w:sz w:val="20"/>
                <w:szCs w:val="20"/>
              </w:rPr>
            </w:pPr>
            <w:r w:rsidRPr="00826385">
              <w:rPr>
                <w:rFonts w:ascii="Arial" w:hAnsi="Arial" w:cs="Arial"/>
                <w:sz w:val="20"/>
                <w:szCs w:val="20"/>
              </w:rPr>
              <w:t>3442</w:t>
            </w:r>
          </w:p>
        </w:tc>
        <w:tc>
          <w:tcPr>
            <w:tcW w:w="1620" w:type="dxa"/>
            <w:vAlign w:val="center"/>
          </w:tcPr>
          <w:p w:rsidR="00EC7047" w:rsidRPr="00826385" w:rsidRDefault="00CB2D80" w:rsidP="00EC7047">
            <w:pPr>
              <w:jc w:val="center"/>
              <w:rPr>
                <w:rFonts w:ascii="Arial" w:hAnsi="Arial" w:cs="Arial"/>
                <w:sz w:val="20"/>
                <w:szCs w:val="20"/>
              </w:rPr>
            </w:pPr>
            <w:r w:rsidRPr="00826385">
              <w:rPr>
                <w:rFonts w:ascii="Arial" w:hAnsi="Arial" w:cs="Arial"/>
                <w:sz w:val="20"/>
                <w:szCs w:val="20"/>
              </w:rPr>
              <w:t>3507</w:t>
            </w:r>
          </w:p>
        </w:tc>
        <w:tc>
          <w:tcPr>
            <w:tcW w:w="2127" w:type="dxa"/>
          </w:tcPr>
          <w:p w:rsidR="00CB2D80" w:rsidRPr="00826385" w:rsidRDefault="00CB2D80" w:rsidP="001A5F43">
            <w:pPr>
              <w:spacing w:line="240" w:lineRule="auto"/>
              <w:jc w:val="center"/>
              <w:rPr>
                <w:sz w:val="22"/>
                <w:szCs w:val="22"/>
              </w:rPr>
            </w:pPr>
          </w:p>
          <w:p w:rsidR="00EC7047" w:rsidRPr="00826385" w:rsidRDefault="00CB2D80" w:rsidP="001A5F43">
            <w:pPr>
              <w:spacing w:line="240" w:lineRule="auto"/>
              <w:jc w:val="center"/>
              <w:rPr>
                <w:sz w:val="22"/>
                <w:szCs w:val="22"/>
              </w:rPr>
            </w:pPr>
            <w:r w:rsidRPr="00826385">
              <w:rPr>
                <w:sz w:val="22"/>
                <w:szCs w:val="22"/>
              </w:rPr>
              <w:t>3440</w:t>
            </w:r>
          </w:p>
        </w:tc>
      </w:tr>
    </w:tbl>
    <w:p w:rsidR="001A5F43" w:rsidRPr="00D929C5" w:rsidRDefault="001A5F43" w:rsidP="000B1A22">
      <w:pPr>
        <w:ind w:left="1440"/>
        <w:jc w:val="center"/>
        <w:rPr>
          <w:sz w:val="22"/>
          <w:szCs w:val="22"/>
        </w:rPr>
      </w:pPr>
    </w:p>
    <w:p w:rsidR="002A5D86" w:rsidRDefault="00CE7797" w:rsidP="00D929C5">
      <w:pPr>
        <w:rPr>
          <w:sz w:val="22"/>
          <w:szCs w:val="22"/>
        </w:rPr>
      </w:pPr>
      <w:r>
        <w:rPr>
          <w:sz w:val="22"/>
          <w:szCs w:val="22"/>
        </w:rPr>
        <w:t>It is submitted that t</w:t>
      </w:r>
      <w:r w:rsidR="00D929C5" w:rsidRPr="00D929C5">
        <w:rPr>
          <w:sz w:val="22"/>
          <w:szCs w:val="22"/>
        </w:rPr>
        <w:t xml:space="preserve">he turbines of the station are of 30 MW size and more </w:t>
      </w:r>
      <w:r w:rsidR="0080510D" w:rsidRPr="00D929C5">
        <w:rPr>
          <w:sz w:val="22"/>
          <w:szCs w:val="22"/>
        </w:rPr>
        <w:t>than 2</w:t>
      </w:r>
      <w:r>
        <w:rPr>
          <w:sz w:val="22"/>
          <w:szCs w:val="22"/>
        </w:rPr>
        <w:t>5</w:t>
      </w:r>
      <w:r w:rsidR="00D929C5" w:rsidRPr="00D929C5">
        <w:rPr>
          <w:sz w:val="22"/>
          <w:szCs w:val="22"/>
        </w:rPr>
        <w:t xml:space="preserve"> years old.</w:t>
      </w:r>
      <w:r w:rsidR="00E0389F">
        <w:rPr>
          <w:sz w:val="22"/>
          <w:szCs w:val="22"/>
        </w:rPr>
        <w:t xml:space="preserve"> The </w:t>
      </w:r>
      <w:r w:rsidR="004E7DC5">
        <w:rPr>
          <w:sz w:val="22"/>
          <w:szCs w:val="22"/>
        </w:rPr>
        <w:t>STGs of</w:t>
      </w:r>
      <w:r w:rsidR="00E0389F">
        <w:rPr>
          <w:sz w:val="22"/>
          <w:szCs w:val="22"/>
        </w:rPr>
        <w:t xml:space="preserve"> IPGTPS w</w:t>
      </w:r>
      <w:r w:rsidR="00C07D1C">
        <w:rPr>
          <w:sz w:val="22"/>
          <w:szCs w:val="22"/>
        </w:rPr>
        <w:t>ere</w:t>
      </w:r>
      <w:r w:rsidR="00E0389F">
        <w:rPr>
          <w:sz w:val="22"/>
          <w:szCs w:val="22"/>
        </w:rPr>
        <w:t xml:space="preserve"> installed after retrofitting of waste Heat Recovery modules</w:t>
      </w:r>
      <w:r w:rsidR="00075537">
        <w:rPr>
          <w:sz w:val="22"/>
          <w:szCs w:val="22"/>
        </w:rPr>
        <w:t xml:space="preserve"> by</w:t>
      </w:r>
      <w:r w:rsidR="00E0389F">
        <w:rPr>
          <w:sz w:val="22"/>
          <w:szCs w:val="22"/>
        </w:rPr>
        <w:t xml:space="preserve"> M/s BHEL</w:t>
      </w:r>
      <w:r w:rsidR="00075537">
        <w:rPr>
          <w:sz w:val="22"/>
          <w:szCs w:val="22"/>
        </w:rPr>
        <w:t>,</w:t>
      </w:r>
      <w:r w:rsidR="00E0389F">
        <w:rPr>
          <w:sz w:val="22"/>
          <w:szCs w:val="22"/>
        </w:rPr>
        <w:t xml:space="preserve"> </w:t>
      </w:r>
      <w:r w:rsidR="00C07D1C">
        <w:rPr>
          <w:sz w:val="22"/>
          <w:szCs w:val="22"/>
        </w:rPr>
        <w:t xml:space="preserve">after </w:t>
      </w:r>
      <w:r w:rsidR="00075537">
        <w:rPr>
          <w:sz w:val="22"/>
          <w:szCs w:val="22"/>
        </w:rPr>
        <w:t xml:space="preserve">operation </w:t>
      </w:r>
      <w:r w:rsidR="00E0389F">
        <w:rPr>
          <w:sz w:val="22"/>
          <w:szCs w:val="22"/>
        </w:rPr>
        <w:t>of GT</w:t>
      </w:r>
      <w:r w:rsidR="00C07D1C">
        <w:rPr>
          <w:sz w:val="22"/>
          <w:szCs w:val="22"/>
        </w:rPr>
        <w:t>s</w:t>
      </w:r>
      <w:r w:rsidR="00E0389F">
        <w:rPr>
          <w:sz w:val="22"/>
          <w:szCs w:val="22"/>
        </w:rPr>
        <w:t xml:space="preserve"> in open</w:t>
      </w:r>
      <w:r w:rsidR="00075537">
        <w:rPr>
          <w:sz w:val="22"/>
          <w:szCs w:val="22"/>
        </w:rPr>
        <w:t xml:space="preserve"> </w:t>
      </w:r>
      <w:r w:rsidR="00E0389F">
        <w:rPr>
          <w:sz w:val="22"/>
          <w:szCs w:val="22"/>
        </w:rPr>
        <w:t>cycle mode</w:t>
      </w:r>
      <w:r w:rsidR="002C445E">
        <w:rPr>
          <w:sz w:val="22"/>
          <w:szCs w:val="22"/>
        </w:rPr>
        <w:t xml:space="preserve"> for around 10 Years</w:t>
      </w:r>
      <w:r w:rsidR="00E0389F">
        <w:rPr>
          <w:sz w:val="22"/>
          <w:szCs w:val="22"/>
        </w:rPr>
        <w:t>.</w:t>
      </w:r>
      <w:r w:rsidR="00D929C5" w:rsidRPr="00D929C5">
        <w:rPr>
          <w:sz w:val="22"/>
          <w:szCs w:val="22"/>
        </w:rPr>
        <w:t xml:space="preserve"> </w:t>
      </w:r>
      <w:r w:rsidR="00075537">
        <w:rPr>
          <w:sz w:val="22"/>
          <w:szCs w:val="22"/>
        </w:rPr>
        <w:t xml:space="preserve"> It may </w:t>
      </w:r>
      <w:r w:rsidR="00460A45">
        <w:rPr>
          <w:sz w:val="22"/>
          <w:szCs w:val="22"/>
        </w:rPr>
        <w:t xml:space="preserve">be </w:t>
      </w:r>
      <w:r w:rsidR="00075537">
        <w:rPr>
          <w:sz w:val="22"/>
          <w:szCs w:val="22"/>
        </w:rPr>
        <w:t xml:space="preserve">appreciated that retrofitting of </w:t>
      </w:r>
      <w:r w:rsidR="00ED1FAE">
        <w:rPr>
          <w:sz w:val="22"/>
          <w:szCs w:val="22"/>
        </w:rPr>
        <w:t>the machines</w:t>
      </w:r>
      <w:r w:rsidR="00075537">
        <w:rPr>
          <w:sz w:val="22"/>
          <w:szCs w:val="22"/>
        </w:rPr>
        <w:t xml:space="preserve"> by any supplier other </w:t>
      </w:r>
      <w:r w:rsidR="00ED1FAE">
        <w:rPr>
          <w:sz w:val="22"/>
          <w:szCs w:val="22"/>
        </w:rPr>
        <w:t>than by</w:t>
      </w:r>
      <w:r w:rsidR="00075537">
        <w:rPr>
          <w:sz w:val="22"/>
          <w:szCs w:val="22"/>
        </w:rPr>
        <w:t xml:space="preserve"> the supplier of GTs </w:t>
      </w:r>
      <w:r w:rsidR="00732984">
        <w:rPr>
          <w:sz w:val="22"/>
          <w:szCs w:val="22"/>
        </w:rPr>
        <w:t xml:space="preserve">will </w:t>
      </w:r>
      <w:r w:rsidR="00075537">
        <w:rPr>
          <w:sz w:val="22"/>
          <w:szCs w:val="22"/>
        </w:rPr>
        <w:t xml:space="preserve">have inherent </w:t>
      </w:r>
      <w:r w:rsidR="00ED1FAE">
        <w:rPr>
          <w:sz w:val="22"/>
          <w:szCs w:val="22"/>
        </w:rPr>
        <w:t>problems.</w:t>
      </w:r>
    </w:p>
    <w:p w:rsidR="00F57792" w:rsidRDefault="00F57792" w:rsidP="007A78CB">
      <w:pPr>
        <w:spacing w:line="240" w:lineRule="auto"/>
        <w:rPr>
          <w:sz w:val="22"/>
          <w:szCs w:val="22"/>
        </w:rPr>
      </w:pPr>
    </w:p>
    <w:p w:rsidR="00D929C5" w:rsidRPr="00D929C5" w:rsidRDefault="00ED1FAE" w:rsidP="00D929C5">
      <w:pPr>
        <w:rPr>
          <w:sz w:val="22"/>
          <w:szCs w:val="22"/>
        </w:rPr>
      </w:pPr>
      <w:r w:rsidRPr="00D929C5">
        <w:rPr>
          <w:sz w:val="22"/>
          <w:szCs w:val="22"/>
        </w:rPr>
        <w:t>The</w:t>
      </w:r>
      <w:r w:rsidR="00D929C5" w:rsidRPr="00D929C5">
        <w:rPr>
          <w:sz w:val="22"/>
          <w:szCs w:val="22"/>
        </w:rPr>
        <w:t xml:space="preserve"> </w:t>
      </w:r>
      <w:r w:rsidR="000D0CE8">
        <w:rPr>
          <w:sz w:val="22"/>
          <w:szCs w:val="22"/>
        </w:rPr>
        <w:t>guaranteed</w:t>
      </w:r>
      <w:r w:rsidR="00D929C5" w:rsidRPr="00D929C5">
        <w:rPr>
          <w:sz w:val="22"/>
          <w:szCs w:val="22"/>
        </w:rPr>
        <w:t xml:space="preserve"> heat rate in simple cycle mode is 11</w:t>
      </w:r>
      <w:r w:rsidR="000D0CE8">
        <w:rPr>
          <w:sz w:val="22"/>
          <w:szCs w:val="22"/>
        </w:rPr>
        <w:t>688</w:t>
      </w:r>
      <w:r w:rsidR="00D929C5" w:rsidRPr="00D929C5">
        <w:rPr>
          <w:sz w:val="22"/>
          <w:szCs w:val="22"/>
        </w:rPr>
        <w:t xml:space="preserve"> </w:t>
      </w:r>
      <w:r w:rsidR="000D0CE8">
        <w:rPr>
          <w:sz w:val="22"/>
          <w:szCs w:val="22"/>
        </w:rPr>
        <w:t>k</w:t>
      </w:r>
      <w:r w:rsidR="00D929C5" w:rsidRPr="00D929C5">
        <w:rPr>
          <w:sz w:val="22"/>
          <w:szCs w:val="22"/>
        </w:rPr>
        <w:t>J/</w:t>
      </w:r>
      <w:r w:rsidR="000D0CE8">
        <w:rPr>
          <w:sz w:val="22"/>
          <w:szCs w:val="22"/>
        </w:rPr>
        <w:t>kW</w:t>
      </w:r>
      <w:r w:rsidR="00D929C5" w:rsidRPr="00D929C5">
        <w:rPr>
          <w:sz w:val="22"/>
          <w:szCs w:val="22"/>
        </w:rPr>
        <w:t xml:space="preserve">h on NCV at compressor inlet temperature of </w:t>
      </w:r>
      <w:smartTag w:uri="urn:schemas-microsoft-com:office:smarttags" w:element="metricconverter">
        <w:smartTagPr>
          <w:attr w:name="ProductID" w:val="15ﾰC"/>
        </w:smartTagPr>
        <w:r w:rsidR="00D929C5" w:rsidRPr="00D929C5">
          <w:rPr>
            <w:sz w:val="22"/>
            <w:szCs w:val="22"/>
          </w:rPr>
          <w:t>15°C</w:t>
        </w:r>
      </w:smartTag>
      <w:r w:rsidR="00D929C5" w:rsidRPr="00D929C5">
        <w:rPr>
          <w:sz w:val="22"/>
          <w:szCs w:val="22"/>
        </w:rPr>
        <w:t xml:space="preserve"> and atmospheric pressure of 1.019 BAR. </w:t>
      </w:r>
      <w:r w:rsidR="00086F9C">
        <w:rPr>
          <w:sz w:val="22"/>
          <w:szCs w:val="22"/>
        </w:rPr>
        <w:t>T</w:t>
      </w:r>
      <w:r w:rsidR="00D929C5" w:rsidRPr="00D929C5">
        <w:rPr>
          <w:sz w:val="22"/>
          <w:szCs w:val="22"/>
        </w:rPr>
        <w:t xml:space="preserve">he guaranteed heat rate at site conditions of </w:t>
      </w:r>
      <w:smartTag w:uri="urn:schemas-microsoft-com:office:smarttags" w:element="metricconverter">
        <w:smartTagPr>
          <w:attr w:name="ProductID" w:val="31.5ﾰC"/>
        </w:smartTagPr>
        <w:r w:rsidR="00D929C5" w:rsidRPr="00D929C5">
          <w:rPr>
            <w:sz w:val="22"/>
            <w:szCs w:val="22"/>
          </w:rPr>
          <w:t>31.5°C</w:t>
        </w:r>
      </w:smartTag>
      <w:r w:rsidR="00D929C5" w:rsidRPr="00D929C5">
        <w:rPr>
          <w:sz w:val="22"/>
          <w:szCs w:val="22"/>
        </w:rPr>
        <w:t xml:space="preserve"> is approximately 31</w:t>
      </w:r>
      <w:r w:rsidR="00086F9C">
        <w:rPr>
          <w:sz w:val="22"/>
          <w:szCs w:val="22"/>
        </w:rPr>
        <w:t>88</w:t>
      </w:r>
      <w:r w:rsidR="0048186C">
        <w:rPr>
          <w:sz w:val="22"/>
          <w:szCs w:val="22"/>
        </w:rPr>
        <w:t xml:space="preserve"> </w:t>
      </w:r>
      <w:r w:rsidR="00D929C5" w:rsidRPr="00D929C5">
        <w:rPr>
          <w:sz w:val="22"/>
          <w:szCs w:val="22"/>
        </w:rPr>
        <w:t>Kcal/Kwh. Further, taking into account the correction factor of 5.70% on the guaranteed heat rate as recommended by the CEA, the corrected heat rate for simple cycle mode works out to 33</w:t>
      </w:r>
      <w:r w:rsidR="00086F9C">
        <w:rPr>
          <w:sz w:val="22"/>
          <w:szCs w:val="22"/>
        </w:rPr>
        <w:t>70</w:t>
      </w:r>
      <w:r w:rsidR="00D929C5" w:rsidRPr="00D929C5">
        <w:rPr>
          <w:sz w:val="22"/>
          <w:szCs w:val="22"/>
        </w:rPr>
        <w:t xml:space="preserve"> </w:t>
      </w:r>
      <w:r w:rsidR="00086F9C">
        <w:rPr>
          <w:sz w:val="22"/>
          <w:szCs w:val="22"/>
        </w:rPr>
        <w:t>kC</w:t>
      </w:r>
      <w:r w:rsidR="00D929C5" w:rsidRPr="00D929C5">
        <w:rPr>
          <w:sz w:val="22"/>
          <w:szCs w:val="22"/>
        </w:rPr>
        <w:t>al/</w:t>
      </w:r>
      <w:r w:rsidR="00086F9C">
        <w:rPr>
          <w:sz w:val="22"/>
          <w:szCs w:val="22"/>
        </w:rPr>
        <w:t>kW</w:t>
      </w:r>
      <w:r w:rsidR="00D929C5" w:rsidRPr="00D929C5">
        <w:rPr>
          <w:sz w:val="22"/>
          <w:szCs w:val="22"/>
        </w:rPr>
        <w:t>h.</w:t>
      </w:r>
      <w:r w:rsidR="00DF082F">
        <w:rPr>
          <w:sz w:val="22"/>
          <w:szCs w:val="22"/>
        </w:rPr>
        <w:t xml:space="preserve"> </w:t>
      </w:r>
    </w:p>
    <w:p w:rsidR="00D929C5" w:rsidRDefault="00D929C5" w:rsidP="00D929C5">
      <w:pPr>
        <w:spacing w:before="240"/>
        <w:rPr>
          <w:sz w:val="22"/>
          <w:szCs w:val="22"/>
        </w:rPr>
      </w:pPr>
      <w:r w:rsidRPr="00D929C5">
        <w:rPr>
          <w:sz w:val="22"/>
          <w:szCs w:val="22"/>
        </w:rPr>
        <w:t xml:space="preserve">It is </w:t>
      </w:r>
      <w:r w:rsidR="005964B3">
        <w:rPr>
          <w:sz w:val="22"/>
          <w:szCs w:val="22"/>
        </w:rPr>
        <w:t xml:space="preserve">further </w:t>
      </w:r>
      <w:r w:rsidRPr="00D929C5">
        <w:rPr>
          <w:sz w:val="22"/>
          <w:szCs w:val="22"/>
        </w:rPr>
        <w:t xml:space="preserve">submitted that CEA has also recommended technical standards on operational norms on Gas Turbine stations in their report of December, 2004. As per the recommendations, following simple cycle heat rate has been prescribed in reference to capacity of Gas Turbine applicable to </w:t>
      </w:r>
      <w:r w:rsidR="00B551BD">
        <w:rPr>
          <w:sz w:val="22"/>
          <w:szCs w:val="22"/>
        </w:rPr>
        <w:t>IPGTPS</w:t>
      </w:r>
      <w:r w:rsidRPr="00D929C5">
        <w:rPr>
          <w:sz w:val="22"/>
          <w:szCs w:val="22"/>
        </w:rPr>
        <w:t xml:space="preserve">. </w:t>
      </w:r>
    </w:p>
    <w:p w:rsidR="00D929C5" w:rsidRPr="00826385" w:rsidRDefault="008F4D8C" w:rsidP="008F4D8C">
      <w:pPr>
        <w:pStyle w:val="Caption"/>
        <w:jc w:val="center"/>
      </w:pPr>
      <w:bookmarkStart w:id="26" w:name="_Toc411603983"/>
      <w:r w:rsidRPr="00826385">
        <w:t xml:space="preserve">Table </w:t>
      </w:r>
      <w:r w:rsidR="001D1793" w:rsidRPr="00826385">
        <w:fldChar w:fldCharType="begin"/>
      </w:r>
      <w:r w:rsidRPr="00826385">
        <w:instrText xml:space="preserve"> SEQ Table \* ARABIC </w:instrText>
      </w:r>
      <w:r w:rsidR="001D1793" w:rsidRPr="00826385">
        <w:fldChar w:fldCharType="separate"/>
      </w:r>
      <w:r w:rsidR="002326CE">
        <w:rPr>
          <w:noProof/>
        </w:rPr>
        <w:t>6</w:t>
      </w:r>
      <w:r w:rsidR="001D1793" w:rsidRPr="00826385">
        <w:fldChar w:fldCharType="end"/>
      </w:r>
      <w:r w:rsidRPr="00826385">
        <w:t xml:space="preserve"> : </w:t>
      </w:r>
      <w:r w:rsidR="00E13239" w:rsidRPr="00826385">
        <w:t>Recommendation of Heat Rate by CEA in 2004</w:t>
      </w:r>
      <w:bookmarkEnd w:id="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1"/>
        <w:gridCol w:w="2305"/>
        <w:gridCol w:w="2562"/>
      </w:tblGrid>
      <w:tr w:rsidR="00D929C5" w:rsidRPr="00D929C5">
        <w:trPr>
          <w:trHeight w:val="361"/>
        </w:trPr>
        <w:tc>
          <w:tcPr>
            <w:tcW w:w="3961" w:type="dxa"/>
            <w:vMerge w:val="restart"/>
            <w:shd w:val="solid" w:color="000080" w:fill="auto"/>
            <w:vAlign w:val="center"/>
          </w:tcPr>
          <w:p w:rsidR="00D929C5" w:rsidRPr="00D929C5" w:rsidRDefault="00D929C5" w:rsidP="00D929C5">
            <w:pPr>
              <w:ind w:left="720"/>
              <w:rPr>
                <w:b/>
                <w:bCs/>
                <w:sz w:val="22"/>
                <w:szCs w:val="22"/>
              </w:rPr>
            </w:pPr>
            <w:r w:rsidRPr="00D929C5">
              <w:rPr>
                <w:b/>
                <w:bCs/>
                <w:sz w:val="22"/>
                <w:szCs w:val="22"/>
              </w:rPr>
              <w:t>Capacity of GTs</w:t>
            </w:r>
          </w:p>
        </w:tc>
        <w:tc>
          <w:tcPr>
            <w:tcW w:w="4866" w:type="dxa"/>
            <w:gridSpan w:val="2"/>
            <w:shd w:val="solid" w:color="000080" w:fill="auto"/>
          </w:tcPr>
          <w:p w:rsidR="00D929C5" w:rsidRPr="00D929C5" w:rsidRDefault="00D929C5" w:rsidP="00D929C5">
            <w:pPr>
              <w:rPr>
                <w:b/>
                <w:bCs/>
                <w:sz w:val="22"/>
                <w:szCs w:val="22"/>
              </w:rPr>
            </w:pPr>
            <w:r w:rsidRPr="00D929C5">
              <w:rPr>
                <w:b/>
                <w:bCs/>
                <w:sz w:val="22"/>
                <w:szCs w:val="22"/>
              </w:rPr>
              <w:t>Simple Cycle Heat rate (Kcal/Kwh)</w:t>
            </w:r>
          </w:p>
        </w:tc>
      </w:tr>
      <w:tr w:rsidR="00D929C5" w:rsidRPr="00D929C5">
        <w:trPr>
          <w:trHeight w:val="130"/>
        </w:trPr>
        <w:tc>
          <w:tcPr>
            <w:tcW w:w="3961" w:type="dxa"/>
            <w:vMerge/>
            <w:shd w:val="solid" w:color="000080" w:fill="auto"/>
          </w:tcPr>
          <w:p w:rsidR="00D929C5" w:rsidRPr="00D929C5" w:rsidRDefault="00D929C5" w:rsidP="00D929C5">
            <w:pPr>
              <w:ind w:left="720"/>
              <w:rPr>
                <w:b/>
                <w:bCs/>
                <w:sz w:val="22"/>
                <w:szCs w:val="22"/>
              </w:rPr>
            </w:pPr>
          </w:p>
        </w:tc>
        <w:tc>
          <w:tcPr>
            <w:tcW w:w="2305" w:type="dxa"/>
            <w:shd w:val="solid" w:color="000080" w:fill="auto"/>
          </w:tcPr>
          <w:p w:rsidR="00653927" w:rsidRDefault="00D929C5" w:rsidP="00653927">
            <w:pPr>
              <w:spacing w:line="240" w:lineRule="auto"/>
              <w:jc w:val="center"/>
              <w:rPr>
                <w:b/>
                <w:bCs/>
                <w:sz w:val="22"/>
                <w:szCs w:val="22"/>
              </w:rPr>
            </w:pPr>
            <w:r w:rsidRPr="00D929C5">
              <w:rPr>
                <w:b/>
                <w:bCs/>
                <w:sz w:val="22"/>
                <w:szCs w:val="22"/>
              </w:rPr>
              <w:t>Age less than</w:t>
            </w:r>
          </w:p>
          <w:p w:rsidR="00D929C5" w:rsidRPr="00D929C5" w:rsidRDefault="00D929C5" w:rsidP="00653927">
            <w:pPr>
              <w:spacing w:line="240" w:lineRule="auto"/>
              <w:jc w:val="center"/>
              <w:rPr>
                <w:b/>
                <w:bCs/>
                <w:sz w:val="22"/>
                <w:szCs w:val="22"/>
              </w:rPr>
            </w:pPr>
            <w:r w:rsidRPr="00D929C5">
              <w:rPr>
                <w:b/>
                <w:bCs/>
                <w:sz w:val="22"/>
                <w:szCs w:val="22"/>
              </w:rPr>
              <w:t>10 years</w:t>
            </w:r>
          </w:p>
        </w:tc>
        <w:tc>
          <w:tcPr>
            <w:tcW w:w="2562" w:type="dxa"/>
            <w:shd w:val="solid" w:color="000080" w:fill="auto"/>
          </w:tcPr>
          <w:p w:rsidR="00653927" w:rsidRDefault="00D929C5" w:rsidP="00653927">
            <w:pPr>
              <w:spacing w:line="240" w:lineRule="auto"/>
              <w:jc w:val="center"/>
              <w:rPr>
                <w:b/>
                <w:bCs/>
                <w:sz w:val="22"/>
                <w:szCs w:val="22"/>
              </w:rPr>
            </w:pPr>
            <w:r w:rsidRPr="00D929C5">
              <w:rPr>
                <w:b/>
                <w:bCs/>
                <w:sz w:val="22"/>
                <w:szCs w:val="22"/>
              </w:rPr>
              <w:t>Age more than</w:t>
            </w:r>
          </w:p>
          <w:p w:rsidR="00D929C5" w:rsidRPr="00D929C5" w:rsidRDefault="00D929C5" w:rsidP="00653927">
            <w:pPr>
              <w:spacing w:line="240" w:lineRule="auto"/>
              <w:jc w:val="center"/>
              <w:rPr>
                <w:b/>
                <w:bCs/>
                <w:sz w:val="22"/>
                <w:szCs w:val="22"/>
              </w:rPr>
            </w:pPr>
            <w:r w:rsidRPr="00D929C5">
              <w:rPr>
                <w:b/>
                <w:bCs/>
                <w:sz w:val="22"/>
                <w:szCs w:val="22"/>
              </w:rPr>
              <w:t>10 years</w:t>
            </w:r>
          </w:p>
        </w:tc>
      </w:tr>
      <w:tr w:rsidR="00D929C5" w:rsidRPr="00D929C5">
        <w:trPr>
          <w:trHeight w:val="406"/>
        </w:trPr>
        <w:tc>
          <w:tcPr>
            <w:tcW w:w="3961" w:type="dxa"/>
          </w:tcPr>
          <w:p w:rsidR="00D929C5" w:rsidRPr="00D929C5" w:rsidRDefault="00D929C5" w:rsidP="0098009A">
            <w:pPr>
              <w:spacing w:line="240" w:lineRule="auto"/>
              <w:rPr>
                <w:sz w:val="22"/>
                <w:szCs w:val="22"/>
              </w:rPr>
            </w:pPr>
            <w:r w:rsidRPr="00D929C5">
              <w:rPr>
                <w:sz w:val="22"/>
                <w:szCs w:val="22"/>
              </w:rPr>
              <w:t>Gas Turbines with Capacity less than 30 MW</w:t>
            </w:r>
          </w:p>
        </w:tc>
        <w:tc>
          <w:tcPr>
            <w:tcW w:w="2305" w:type="dxa"/>
            <w:vAlign w:val="center"/>
          </w:tcPr>
          <w:p w:rsidR="00D929C5" w:rsidRPr="00D929C5" w:rsidRDefault="00D929C5" w:rsidP="0098009A">
            <w:pPr>
              <w:ind w:left="720"/>
              <w:rPr>
                <w:sz w:val="22"/>
                <w:szCs w:val="22"/>
              </w:rPr>
            </w:pPr>
            <w:r w:rsidRPr="00D929C5">
              <w:rPr>
                <w:sz w:val="22"/>
                <w:szCs w:val="22"/>
              </w:rPr>
              <w:t>3500</w:t>
            </w:r>
          </w:p>
        </w:tc>
        <w:tc>
          <w:tcPr>
            <w:tcW w:w="2562" w:type="dxa"/>
            <w:vAlign w:val="center"/>
          </w:tcPr>
          <w:p w:rsidR="00D929C5" w:rsidRPr="00D929C5" w:rsidRDefault="00D929C5" w:rsidP="0098009A">
            <w:pPr>
              <w:ind w:left="720"/>
              <w:rPr>
                <w:sz w:val="22"/>
                <w:szCs w:val="22"/>
              </w:rPr>
            </w:pPr>
            <w:r w:rsidRPr="00D929C5">
              <w:rPr>
                <w:sz w:val="22"/>
                <w:szCs w:val="22"/>
              </w:rPr>
              <w:t>3550</w:t>
            </w:r>
          </w:p>
        </w:tc>
      </w:tr>
      <w:tr w:rsidR="00D929C5" w:rsidRPr="00D929C5">
        <w:trPr>
          <w:trHeight w:val="397"/>
        </w:trPr>
        <w:tc>
          <w:tcPr>
            <w:tcW w:w="3961" w:type="dxa"/>
          </w:tcPr>
          <w:p w:rsidR="00D929C5" w:rsidRPr="00D929C5" w:rsidRDefault="00D929C5" w:rsidP="0098009A">
            <w:pPr>
              <w:spacing w:line="240" w:lineRule="auto"/>
              <w:rPr>
                <w:sz w:val="22"/>
                <w:szCs w:val="22"/>
              </w:rPr>
            </w:pPr>
            <w:r w:rsidRPr="00D929C5">
              <w:rPr>
                <w:sz w:val="22"/>
                <w:szCs w:val="22"/>
              </w:rPr>
              <w:t>Gas Turbines with capacity 30 MW or more but less than 100 MW</w:t>
            </w:r>
          </w:p>
        </w:tc>
        <w:tc>
          <w:tcPr>
            <w:tcW w:w="2305" w:type="dxa"/>
            <w:vAlign w:val="center"/>
          </w:tcPr>
          <w:p w:rsidR="00D929C5" w:rsidRPr="00D929C5" w:rsidRDefault="00D929C5" w:rsidP="0098009A">
            <w:pPr>
              <w:ind w:left="720"/>
              <w:rPr>
                <w:sz w:val="22"/>
                <w:szCs w:val="22"/>
              </w:rPr>
            </w:pPr>
            <w:r w:rsidRPr="00D929C5">
              <w:rPr>
                <w:sz w:val="22"/>
                <w:szCs w:val="22"/>
              </w:rPr>
              <w:t>3200</w:t>
            </w:r>
          </w:p>
        </w:tc>
        <w:tc>
          <w:tcPr>
            <w:tcW w:w="2562" w:type="dxa"/>
            <w:vAlign w:val="center"/>
          </w:tcPr>
          <w:p w:rsidR="00D929C5" w:rsidRPr="00D929C5" w:rsidRDefault="00D929C5" w:rsidP="0098009A">
            <w:pPr>
              <w:ind w:left="720"/>
              <w:rPr>
                <w:sz w:val="22"/>
                <w:szCs w:val="22"/>
              </w:rPr>
            </w:pPr>
            <w:r w:rsidRPr="00D929C5">
              <w:rPr>
                <w:sz w:val="22"/>
                <w:szCs w:val="22"/>
              </w:rPr>
              <w:t>3250</w:t>
            </w:r>
          </w:p>
        </w:tc>
      </w:tr>
    </w:tbl>
    <w:p w:rsidR="00D929C5" w:rsidRPr="00D929C5" w:rsidRDefault="00D929C5" w:rsidP="00D929C5">
      <w:pPr>
        <w:ind w:left="1440"/>
        <w:rPr>
          <w:sz w:val="22"/>
          <w:szCs w:val="22"/>
        </w:rPr>
      </w:pPr>
    </w:p>
    <w:p w:rsidR="008E2B1C" w:rsidRPr="002B7440" w:rsidRDefault="008E2B1C" w:rsidP="008E2B1C">
      <w:pPr>
        <w:pStyle w:val="BodyText"/>
        <w:rPr>
          <w:rFonts w:ascii="Century Gothic" w:hAnsi="Century Gothic"/>
          <w:sz w:val="24"/>
          <w:szCs w:val="24"/>
        </w:rPr>
      </w:pPr>
      <w:r w:rsidRPr="002B7440">
        <w:rPr>
          <w:rFonts w:ascii="Century Gothic" w:hAnsi="Century Gothic"/>
          <w:sz w:val="24"/>
          <w:szCs w:val="24"/>
        </w:rPr>
        <w:lastRenderedPageBreak/>
        <w:t xml:space="preserve">CEA  has </w:t>
      </w:r>
      <w:r>
        <w:rPr>
          <w:rFonts w:ascii="Century Gothic" w:hAnsi="Century Gothic"/>
          <w:sz w:val="24"/>
          <w:szCs w:val="24"/>
        </w:rPr>
        <w:t xml:space="preserve">also </w:t>
      </w:r>
      <w:r w:rsidRPr="002B7440">
        <w:rPr>
          <w:rFonts w:ascii="Century Gothic" w:hAnsi="Century Gothic"/>
          <w:sz w:val="24"/>
          <w:szCs w:val="24"/>
        </w:rPr>
        <w:t>recognized that the operation  efficiency  or heat rate and other performance parameters of a Thermal Power Station  depends on a number of factors which can be broadly classified as under:-</w:t>
      </w:r>
    </w:p>
    <w:p w:rsidR="008E2B1C" w:rsidRPr="002B7440" w:rsidRDefault="008E2B1C" w:rsidP="00AD4899">
      <w:pPr>
        <w:numPr>
          <w:ilvl w:val="0"/>
          <w:numId w:val="24"/>
        </w:numPr>
      </w:pPr>
      <w:r w:rsidRPr="002B7440">
        <w:t>Technology  and equipment</w:t>
      </w:r>
    </w:p>
    <w:p w:rsidR="008E2B1C" w:rsidRPr="002B7440" w:rsidRDefault="008E2B1C" w:rsidP="008E2B1C">
      <w:pPr>
        <w:numPr>
          <w:ilvl w:val="0"/>
          <w:numId w:val="24"/>
        </w:numPr>
      </w:pPr>
      <w:r w:rsidRPr="002B7440">
        <w:t xml:space="preserve">Ambient Conditions </w:t>
      </w:r>
    </w:p>
    <w:p w:rsidR="008E2B1C" w:rsidRPr="002B7440" w:rsidRDefault="008E2B1C" w:rsidP="008E2B1C">
      <w:pPr>
        <w:numPr>
          <w:ilvl w:val="0"/>
          <w:numId w:val="24"/>
        </w:numPr>
      </w:pPr>
      <w:r w:rsidRPr="002B7440">
        <w:t xml:space="preserve">Fuel Quality </w:t>
      </w:r>
    </w:p>
    <w:p w:rsidR="008E2B1C" w:rsidRPr="002B7440" w:rsidRDefault="008E2B1C" w:rsidP="008E2B1C">
      <w:pPr>
        <w:numPr>
          <w:ilvl w:val="0"/>
          <w:numId w:val="24"/>
        </w:numPr>
      </w:pPr>
      <w:r w:rsidRPr="002B7440">
        <w:t xml:space="preserve">Plant operation and maintenance practices. </w:t>
      </w:r>
    </w:p>
    <w:p w:rsidR="008E2B1C" w:rsidRPr="002B7440" w:rsidRDefault="008E2B1C" w:rsidP="008E2B1C">
      <w:pPr>
        <w:numPr>
          <w:ilvl w:val="0"/>
          <w:numId w:val="24"/>
        </w:numPr>
      </w:pPr>
      <w:r w:rsidRPr="002B7440">
        <w:t xml:space="preserve">Unit Sizes </w:t>
      </w:r>
    </w:p>
    <w:p w:rsidR="00C67F47" w:rsidRPr="00C67F47" w:rsidRDefault="00D929C5" w:rsidP="00C67F47">
      <w:pPr>
        <w:rPr>
          <w:sz w:val="22"/>
          <w:szCs w:val="22"/>
        </w:rPr>
      </w:pPr>
      <w:r w:rsidRPr="00D929C5">
        <w:rPr>
          <w:sz w:val="22"/>
          <w:szCs w:val="22"/>
        </w:rPr>
        <w:t>Further,</w:t>
      </w:r>
      <w:r w:rsidR="00C35891">
        <w:rPr>
          <w:sz w:val="22"/>
          <w:szCs w:val="22"/>
        </w:rPr>
        <w:t xml:space="preserve"> </w:t>
      </w:r>
      <w:r w:rsidRPr="00D929C5">
        <w:rPr>
          <w:sz w:val="22"/>
          <w:szCs w:val="22"/>
        </w:rPr>
        <w:t xml:space="preserve">the Central Electricity Regulatory Commission in its latest tariff regulation for FY </w:t>
      </w:r>
      <w:r w:rsidR="00E34C57">
        <w:rPr>
          <w:sz w:val="22"/>
          <w:szCs w:val="22"/>
        </w:rPr>
        <w:t>2014-19</w:t>
      </w:r>
      <w:r w:rsidRPr="00D929C5">
        <w:rPr>
          <w:sz w:val="22"/>
          <w:szCs w:val="22"/>
        </w:rPr>
        <w:t xml:space="preserve"> has fixed a heat rate of 3440 Kcal/Kwh in simple cycle mode for similar Assam gas station of NEEPCO having capacity of 291 MW (6 Gas Turbines of 33.5 MW and 3 STG of 30 MW), even though the station </w:t>
      </w:r>
      <w:r w:rsidR="00053962">
        <w:rPr>
          <w:sz w:val="22"/>
          <w:szCs w:val="22"/>
        </w:rPr>
        <w:t>wa</w:t>
      </w:r>
      <w:r w:rsidRPr="00D929C5">
        <w:rPr>
          <w:sz w:val="22"/>
          <w:szCs w:val="22"/>
        </w:rPr>
        <w:t xml:space="preserve">s commissioned in 1995-98. Even under the </w:t>
      </w:r>
      <w:r w:rsidR="00465D8C">
        <w:rPr>
          <w:sz w:val="22"/>
          <w:szCs w:val="22"/>
        </w:rPr>
        <w:t xml:space="preserve">CERC </w:t>
      </w:r>
      <w:r w:rsidRPr="00D929C5">
        <w:rPr>
          <w:sz w:val="22"/>
          <w:szCs w:val="22"/>
        </w:rPr>
        <w:t xml:space="preserve">Tariff Regulations, 2004, the heat rate allowed for this station was at a higher level than as allowed by </w:t>
      </w:r>
      <w:r w:rsidR="002C1375">
        <w:rPr>
          <w:sz w:val="22"/>
          <w:szCs w:val="22"/>
        </w:rPr>
        <w:t>DERC</w:t>
      </w:r>
      <w:r w:rsidRPr="00D929C5">
        <w:rPr>
          <w:sz w:val="22"/>
          <w:szCs w:val="22"/>
        </w:rPr>
        <w:t>.</w:t>
      </w:r>
      <w:r w:rsidR="00FB1079">
        <w:rPr>
          <w:sz w:val="22"/>
          <w:szCs w:val="22"/>
        </w:rPr>
        <w:t xml:space="preserve">  Further, t</w:t>
      </w:r>
      <w:r w:rsidR="00C67F47" w:rsidRPr="00C67F47">
        <w:rPr>
          <w:sz w:val="22"/>
          <w:szCs w:val="22"/>
        </w:rPr>
        <w:t xml:space="preserve">he Hon’ble Commission in the tariff Order </w:t>
      </w:r>
      <w:r w:rsidR="00AE5553">
        <w:rPr>
          <w:sz w:val="22"/>
          <w:szCs w:val="22"/>
        </w:rPr>
        <w:t xml:space="preserve">dated 26.08.2011 </w:t>
      </w:r>
      <w:r w:rsidR="00C67F47" w:rsidRPr="00C67F47">
        <w:rPr>
          <w:sz w:val="22"/>
          <w:szCs w:val="22"/>
        </w:rPr>
        <w:t>for determination of aggregate Revenue Requirement for FY 2011-</w:t>
      </w:r>
      <w:smartTag w:uri="urn:schemas-microsoft-com:office:smarttags" w:element="metricconverter">
        <w:smartTagPr>
          <w:attr w:name="ProductID" w:val="12 in"/>
        </w:smartTagPr>
        <w:r w:rsidR="00C67F47" w:rsidRPr="00C67F47">
          <w:rPr>
            <w:sz w:val="22"/>
            <w:szCs w:val="22"/>
          </w:rPr>
          <w:t>12 in</w:t>
        </w:r>
      </w:smartTag>
      <w:r w:rsidR="00C67F47" w:rsidRPr="00C67F47">
        <w:rPr>
          <w:sz w:val="22"/>
          <w:szCs w:val="22"/>
        </w:rPr>
        <w:t xml:space="preserve"> respect of GTPS has</w:t>
      </w:r>
      <w:r w:rsidR="00FB1079">
        <w:rPr>
          <w:sz w:val="22"/>
          <w:szCs w:val="22"/>
        </w:rPr>
        <w:t xml:space="preserve"> also</w:t>
      </w:r>
      <w:r w:rsidR="00C67F47" w:rsidRPr="00C67F47">
        <w:rPr>
          <w:sz w:val="22"/>
          <w:szCs w:val="22"/>
        </w:rPr>
        <w:t xml:space="preserve"> observed that CERC has provided a heat rate of 3440kCal/kWh for Assam Kathal Guri gas based station. However, the Hon’ble Commission has </w:t>
      </w:r>
      <w:r w:rsidR="00177CE3">
        <w:rPr>
          <w:sz w:val="22"/>
          <w:szCs w:val="22"/>
        </w:rPr>
        <w:t>not admitted</w:t>
      </w:r>
      <w:r w:rsidR="00C67F47" w:rsidRPr="00C67F47">
        <w:rPr>
          <w:sz w:val="22"/>
          <w:szCs w:val="22"/>
        </w:rPr>
        <w:t xml:space="preserve"> the contention of </w:t>
      </w:r>
      <w:r w:rsidR="00C07D1C">
        <w:rPr>
          <w:sz w:val="22"/>
          <w:szCs w:val="22"/>
        </w:rPr>
        <w:t xml:space="preserve">the </w:t>
      </w:r>
      <w:r w:rsidR="00FB1079">
        <w:rPr>
          <w:sz w:val="22"/>
          <w:szCs w:val="22"/>
        </w:rPr>
        <w:t>petitioner</w:t>
      </w:r>
      <w:r w:rsidR="00C67F47" w:rsidRPr="00C67F47">
        <w:rPr>
          <w:sz w:val="22"/>
          <w:szCs w:val="22"/>
        </w:rPr>
        <w:t xml:space="preserve"> on the basis that the station is expected to run in combined cycle mode most of the time and open cycle operation is rare. It is submitted that the station runs in open cycle mode only as and when requisitioned by SLDC, Delhi.</w:t>
      </w:r>
      <w:r w:rsidR="00670090">
        <w:rPr>
          <w:sz w:val="22"/>
          <w:szCs w:val="22"/>
        </w:rPr>
        <w:t xml:space="preserve"> Further, CERC in its tariff regulation dt. 21.02.2014 had allowed 3440 kCal/Kwh for Assam GPS for FY 2014-15 to 2018-19.  </w:t>
      </w:r>
      <w:r w:rsidR="00C67F47" w:rsidRPr="00C67F47">
        <w:rPr>
          <w:sz w:val="22"/>
          <w:szCs w:val="22"/>
        </w:rPr>
        <w:t xml:space="preserve"> The operation of IPGTPS in open cycle mode </w:t>
      </w:r>
      <w:r w:rsidR="00C84C3E">
        <w:rPr>
          <w:sz w:val="22"/>
          <w:szCs w:val="22"/>
        </w:rPr>
        <w:t xml:space="preserve">during the </w:t>
      </w:r>
      <w:r w:rsidR="00C67F47" w:rsidRPr="00C67F47">
        <w:rPr>
          <w:sz w:val="22"/>
          <w:szCs w:val="22"/>
        </w:rPr>
        <w:t xml:space="preserve">last four years is as under:- </w:t>
      </w:r>
    </w:p>
    <w:p w:rsidR="00982A93" w:rsidRPr="0092181F" w:rsidRDefault="00653927" w:rsidP="00653927">
      <w:pPr>
        <w:pStyle w:val="Caption"/>
        <w:jc w:val="center"/>
      </w:pPr>
      <w:bookmarkStart w:id="27" w:name="_Toc411603984"/>
      <w:r w:rsidRPr="0092181F">
        <w:t xml:space="preserve">Table </w:t>
      </w:r>
      <w:r w:rsidR="001D1793" w:rsidRPr="0092181F">
        <w:fldChar w:fldCharType="begin"/>
      </w:r>
      <w:r w:rsidRPr="0092181F">
        <w:instrText xml:space="preserve"> SEQ Table \* ARABIC </w:instrText>
      </w:r>
      <w:r w:rsidR="001D1793" w:rsidRPr="0092181F">
        <w:fldChar w:fldCharType="separate"/>
      </w:r>
      <w:r w:rsidR="002326CE">
        <w:rPr>
          <w:noProof/>
        </w:rPr>
        <w:t>7</w:t>
      </w:r>
      <w:r w:rsidR="001D1793" w:rsidRPr="0092181F">
        <w:fldChar w:fldCharType="end"/>
      </w:r>
      <w:r w:rsidRPr="0092181F">
        <w:t xml:space="preserve"> : </w:t>
      </w:r>
      <w:r w:rsidR="00FC4556" w:rsidRPr="0092181F">
        <w:t>O</w:t>
      </w:r>
      <w:r w:rsidR="00982A93" w:rsidRPr="0092181F">
        <w:t>pen cycle</w:t>
      </w:r>
      <w:r w:rsidR="00FC4556" w:rsidRPr="0092181F">
        <w:t xml:space="preserve"> (%)</w:t>
      </w:r>
      <w:r w:rsidR="00982A93" w:rsidRPr="0092181F">
        <w:t xml:space="preserve"> certified by SLDC</w:t>
      </w:r>
      <w:bookmarkEnd w:id="2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1980"/>
        <w:gridCol w:w="1980"/>
        <w:gridCol w:w="1980"/>
      </w:tblGrid>
      <w:tr w:rsidR="00C67F47" w:rsidRPr="008E3DA3" w:rsidTr="008E3DA3">
        <w:tc>
          <w:tcPr>
            <w:tcW w:w="2880" w:type="dxa"/>
            <w:shd w:val="clear" w:color="auto" w:fill="000080"/>
          </w:tcPr>
          <w:p w:rsidR="00C67F47" w:rsidRPr="008E3DA3" w:rsidRDefault="00C67F47" w:rsidP="00822D04">
            <w:pPr>
              <w:rPr>
                <w:b/>
                <w:bCs/>
                <w:sz w:val="22"/>
                <w:szCs w:val="22"/>
              </w:rPr>
            </w:pPr>
            <w:r w:rsidRPr="008E3DA3">
              <w:rPr>
                <w:b/>
                <w:bCs/>
                <w:sz w:val="22"/>
                <w:szCs w:val="22"/>
              </w:rPr>
              <w:t xml:space="preserve">Year </w:t>
            </w:r>
          </w:p>
        </w:tc>
        <w:tc>
          <w:tcPr>
            <w:tcW w:w="1980" w:type="dxa"/>
            <w:shd w:val="clear" w:color="auto" w:fill="000080"/>
          </w:tcPr>
          <w:p w:rsidR="00C67F47" w:rsidRPr="008E3DA3" w:rsidRDefault="00C67F47" w:rsidP="008E3DA3">
            <w:pPr>
              <w:spacing w:line="240" w:lineRule="auto"/>
              <w:jc w:val="center"/>
              <w:rPr>
                <w:b/>
                <w:bCs/>
                <w:sz w:val="22"/>
                <w:szCs w:val="22"/>
              </w:rPr>
            </w:pPr>
            <w:r w:rsidRPr="008E3DA3">
              <w:rPr>
                <w:b/>
                <w:bCs/>
                <w:sz w:val="22"/>
                <w:szCs w:val="22"/>
              </w:rPr>
              <w:t>Net Generation (MU)</w:t>
            </w:r>
          </w:p>
        </w:tc>
        <w:tc>
          <w:tcPr>
            <w:tcW w:w="1980" w:type="dxa"/>
            <w:shd w:val="clear" w:color="auto" w:fill="000080"/>
          </w:tcPr>
          <w:p w:rsidR="00C67F47" w:rsidRPr="008E3DA3" w:rsidRDefault="00C67F47" w:rsidP="008E3DA3">
            <w:pPr>
              <w:spacing w:line="240" w:lineRule="auto"/>
              <w:jc w:val="center"/>
              <w:rPr>
                <w:b/>
                <w:bCs/>
                <w:sz w:val="22"/>
                <w:szCs w:val="22"/>
              </w:rPr>
            </w:pPr>
            <w:r w:rsidRPr="008E3DA3">
              <w:rPr>
                <w:b/>
                <w:bCs/>
                <w:sz w:val="22"/>
                <w:szCs w:val="22"/>
              </w:rPr>
              <w:t xml:space="preserve">Open cycle </w:t>
            </w:r>
            <w:r w:rsidR="00C07D1C" w:rsidRPr="008E3DA3">
              <w:rPr>
                <w:b/>
                <w:bCs/>
                <w:sz w:val="22"/>
                <w:szCs w:val="22"/>
              </w:rPr>
              <w:t xml:space="preserve">generation </w:t>
            </w:r>
            <w:r w:rsidRPr="008E3DA3">
              <w:rPr>
                <w:b/>
                <w:bCs/>
                <w:sz w:val="22"/>
                <w:szCs w:val="22"/>
              </w:rPr>
              <w:t>certified</w:t>
            </w:r>
            <w:r w:rsidR="00C07D1C" w:rsidRPr="008E3DA3">
              <w:rPr>
                <w:b/>
                <w:bCs/>
                <w:sz w:val="22"/>
                <w:szCs w:val="22"/>
              </w:rPr>
              <w:t xml:space="preserve"> by SLDC </w:t>
            </w:r>
            <w:r w:rsidRPr="008E3DA3">
              <w:rPr>
                <w:b/>
                <w:bCs/>
                <w:sz w:val="22"/>
                <w:szCs w:val="22"/>
              </w:rPr>
              <w:t>(MU)</w:t>
            </w:r>
          </w:p>
        </w:tc>
        <w:tc>
          <w:tcPr>
            <w:tcW w:w="1980" w:type="dxa"/>
            <w:shd w:val="clear" w:color="auto" w:fill="000080"/>
          </w:tcPr>
          <w:p w:rsidR="00C67F47" w:rsidRPr="008E3DA3" w:rsidRDefault="00C67F47" w:rsidP="008E3DA3">
            <w:pPr>
              <w:jc w:val="center"/>
              <w:rPr>
                <w:b/>
                <w:bCs/>
                <w:sz w:val="22"/>
                <w:szCs w:val="22"/>
              </w:rPr>
            </w:pPr>
            <w:r w:rsidRPr="008E3DA3">
              <w:rPr>
                <w:b/>
                <w:bCs/>
                <w:sz w:val="22"/>
                <w:szCs w:val="22"/>
              </w:rPr>
              <w:t>% O</w:t>
            </w:r>
            <w:r w:rsidR="00C07D1C" w:rsidRPr="008E3DA3">
              <w:rPr>
                <w:b/>
                <w:bCs/>
                <w:sz w:val="22"/>
                <w:szCs w:val="22"/>
              </w:rPr>
              <w:t xml:space="preserve">pen </w:t>
            </w:r>
            <w:r w:rsidRPr="008E3DA3">
              <w:rPr>
                <w:b/>
                <w:bCs/>
                <w:sz w:val="22"/>
                <w:szCs w:val="22"/>
              </w:rPr>
              <w:t>C</w:t>
            </w:r>
            <w:r w:rsidR="00C07D1C" w:rsidRPr="008E3DA3">
              <w:rPr>
                <w:b/>
                <w:bCs/>
                <w:sz w:val="22"/>
                <w:szCs w:val="22"/>
              </w:rPr>
              <w:t>ycle</w:t>
            </w:r>
          </w:p>
        </w:tc>
      </w:tr>
      <w:tr w:rsidR="002133CA" w:rsidRPr="008E3DA3" w:rsidTr="001C21A3">
        <w:tc>
          <w:tcPr>
            <w:tcW w:w="2880" w:type="dxa"/>
          </w:tcPr>
          <w:p w:rsidR="002133CA" w:rsidRPr="008E3DA3" w:rsidRDefault="002133CA" w:rsidP="002133CA">
            <w:pPr>
              <w:rPr>
                <w:b/>
                <w:bCs/>
                <w:sz w:val="22"/>
                <w:szCs w:val="22"/>
              </w:rPr>
            </w:pPr>
            <w:r w:rsidRPr="008E3DA3">
              <w:rPr>
                <w:b/>
                <w:bCs/>
                <w:sz w:val="22"/>
                <w:szCs w:val="22"/>
              </w:rPr>
              <w:t>20</w:t>
            </w:r>
            <w:r>
              <w:rPr>
                <w:b/>
                <w:bCs/>
                <w:sz w:val="22"/>
                <w:szCs w:val="22"/>
              </w:rPr>
              <w:t>12</w:t>
            </w:r>
            <w:r w:rsidRPr="008E3DA3">
              <w:rPr>
                <w:b/>
                <w:bCs/>
                <w:sz w:val="22"/>
                <w:szCs w:val="22"/>
              </w:rPr>
              <w:t>-1</w:t>
            </w:r>
            <w:r>
              <w:rPr>
                <w:b/>
                <w:bCs/>
                <w:sz w:val="22"/>
                <w:szCs w:val="22"/>
              </w:rPr>
              <w:t>3</w:t>
            </w:r>
          </w:p>
        </w:tc>
        <w:tc>
          <w:tcPr>
            <w:tcW w:w="1980" w:type="dxa"/>
            <w:vAlign w:val="center"/>
          </w:tcPr>
          <w:p w:rsidR="002133CA" w:rsidRPr="0092181F" w:rsidRDefault="001C21A3" w:rsidP="001C21A3">
            <w:pPr>
              <w:rPr>
                <w:rFonts w:ascii="Arial" w:hAnsi="Arial" w:cs="Arial"/>
                <w:bCs/>
                <w:sz w:val="20"/>
                <w:szCs w:val="20"/>
              </w:rPr>
            </w:pPr>
            <w:r w:rsidRPr="0092181F">
              <w:rPr>
                <w:rFonts w:ascii="Arial" w:hAnsi="Arial" w:cs="Arial"/>
                <w:bCs/>
                <w:sz w:val="20"/>
                <w:szCs w:val="20"/>
              </w:rPr>
              <w:t xml:space="preserve">   </w:t>
            </w:r>
            <w:r w:rsidR="002133CA" w:rsidRPr="0092181F">
              <w:rPr>
                <w:rFonts w:ascii="Arial" w:hAnsi="Arial" w:cs="Arial"/>
                <w:bCs/>
                <w:sz w:val="20"/>
                <w:szCs w:val="20"/>
              </w:rPr>
              <w:t>1268.422</w:t>
            </w:r>
          </w:p>
        </w:tc>
        <w:tc>
          <w:tcPr>
            <w:tcW w:w="1980" w:type="dxa"/>
          </w:tcPr>
          <w:p w:rsidR="002133CA" w:rsidRPr="0092181F" w:rsidRDefault="001941EA" w:rsidP="001941EA">
            <w:pPr>
              <w:tabs>
                <w:tab w:val="left" w:pos="72"/>
                <w:tab w:val="left" w:pos="162"/>
              </w:tabs>
              <w:rPr>
                <w:rFonts w:ascii="Arial" w:hAnsi="Arial" w:cs="Arial"/>
                <w:bCs/>
                <w:sz w:val="20"/>
                <w:szCs w:val="20"/>
              </w:rPr>
            </w:pPr>
            <w:r w:rsidRPr="0092181F">
              <w:rPr>
                <w:rFonts w:ascii="Arial" w:hAnsi="Arial" w:cs="Arial"/>
                <w:bCs/>
                <w:sz w:val="20"/>
                <w:szCs w:val="20"/>
              </w:rPr>
              <w:t xml:space="preserve">  7.111766</w:t>
            </w:r>
          </w:p>
        </w:tc>
        <w:tc>
          <w:tcPr>
            <w:tcW w:w="1980" w:type="dxa"/>
          </w:tcPr>
          <w:p w:rsidR="002133CA" w:rsidRPr="0092181F" w:rsidRDefault="001941EA" w:rsidP="001941EA">
            <w:pPr>
              <w:jc w:val="center"/>
              <w:rPr>
                <w:rFonts w:ascii="Arial" w:hAnsi="Arial" w:cs="Arial"/>
                <w:bCs/>
                <w:sz w:val="20"/>
                <w:szCs w:val="20"/>
              </w:rPr>
            </w:pPr>
            <w:r w:rsidRPr="0092181F">
              <w:rPr>
                <w:rFonts w:ascii="Arial" w:hAnsi="Arial" w:cs="Arial"/>
                <w:bCs/>
                <w:sz w:val="20"/>
                <w:szCs w:val="20"/>
              </w:rPr>
              <w:t>0.56</w:t>
            </w:r>
          </w:p>
        </w:tc>
      </w:tr>
      <w:tr w:rsidR="002133CA" w:rsidRPr="008E3DA3" w:rsidTr="001C21A3">
        <w:tc>
          <w:tcPr>
            <w:tcW w:w="2880" w:type="dxa"/>
          </w:tcPr>
          <w:p w:rsidR="002133CA" w:rsidRPr="008E3DA3" w:rsidRDefault="002133CA" w:rsidP="002133CA">
            <w:pPr>
              <w:rPr>
                <w:b/>
                <w:bCs/>
                <w:sz w:val="22"/>
                <w:szCs w:val="22"/>
              </w:rPr>
            </w:pPr>
            <w:r w:rsidRPr="008E3DA3">
              <w:rPr>
                <w:b/>
                <w:bCs/>
                <w:sz w:val="22"/>
                <w:szCs w:val="22"/>
              </w:rPr>
              <w:t>201</w:t>
            </w:r>
            <w:r>
              <w:rPr>
                <w:b/>
                <w:bCs/>
                <w:sz w:val="22"/>
                <w:szCs w:val="22"/>
              </w:rPr>
              <w:t>3</w:t>
            </w:r>
            <w:r w:rsidRPr="008E3DA3">
              <w:rPr>
                <w:b/>
                <w:bCs/>
                <w:sz w:val="22"/>
                <w:szCs w:val="22"/>
              </w:rPr>
              <w:t>-1</w:t>
            </w:r>
            <w:r>
              <w:rPr>
                <w:b/>
                <w:bCs/>
                <w:sz w:val="22"/>
                <w:szCs w:val="22"/>
              </w:rPr>
              <w:t>4</w:t>
            </w:r>
          </w:p>
        </w:tc>
        <w:tc>
          <w:tcPr>
            <w:tcW w:w="1980" w:type="dxa"/>
            <w:vAlign w:val="center"/>
          </w:tcPr>
          <w:p w:rsidR="002133CA" w:rsidRPr="0092181F" w:rsidRDefault="002133CA" w:rsidP="001C21A3">
            <w:pPr>
              <w:ind w:right="552"/>
              <w:jc w:val="center"/>
              <w:rPr>
                <w:sz w:val="22"/>
                <w:szCs w:val="22"/>
              </w:rPr>
            </w:pPr>
            <w:r w:rsidRPr="0092181F">
              <w:rPr>
                <w:rFonts w:ascii="Arial" w:hAnsi="Arial" w:cs="Arial"/>
                <w:bCs/>
                <w:sz w:val="20"/>
                <w:szCs w:val="20"/>
              </w:rPr>
              <w:t>1006.792</w:t>
            </w:r>
          </w:p>
        </w:tc>
        <w:tc>
          <w:tcPr>
            <w:tcW w:w="1980" w:type="dxa"/>
          </w:tcPr>
          <w:p w:rsidR="002133CA" w:rsidRPr="0092181F" w:rsidRDefault="001941EA" w:rsidP="001941EA">
            <w:pPr>
              <w:ind w:right="552"/>
              <w:jc w:val="center"/>
              <w:rPr>
                <w:sz w:val="22"/>
                <w:szCs w:val="22"/>
              </w:rPr>
            </w:pPr>
            <w:r w:rsidRPr="0092181F">
              <w:rPr>
                <w:sz w:val="22"/>
                <w:szCs w:val="22"/>
              </w:rPr>
              <w:t>5.140309</w:t>
            </w:r>
          </w:p>
        </w:tc>
        <w:tc>
          <w:tcPr>
            <w:tcW w:w="1980" w:type="dxa"/>
          </w:tcPr>
          <w:p w:rsidR="002133CA" w:rsidRPr="0092181F" w:rsidRDefault="001941EA" w:rsidP="008E3DA3">
            <w:pPr>
              <w:ind w:right="612"/>
              <w:jc w:val="right"/>
              <w:rPr>
                <w:sz w:val="22"/>
                <w:szCs w:val="22"/>
              </w:rPr>
            </w:pPr>
            <w:r w:rsidRPr="0092181F">
              <w:rPr>
                <w:sz w:val="22"/>
                <w:szCs w:val="22"/>
              </w:rPr>
              <w:t>0.51</w:t>
            </w:r>
          </w:p>
        </w:tc>
      </w:tr>
      <w:tr w:rsidR="002133CA" w:rsidRPr="008E3DA3" w:rsidTr="001C21A3">
        <w:tc>
          <w:tcPr>
            <w:tcW w:w="2880" w:type="dxa"/>
          </w:tcPr>
          <w:p w:rsidR="002133CA" w:rsidRPr="008E3DA3" w:rsidRDefault="002133CA" w:rsidP="001941EA">
            <w:pPr>
              <w:rPr>
                <w:b/>
                <w:bCs/>
                <w:sz w:val="22"/>
                <w:szCs w:val="22"/>
              </w:rPr>
            </w:pPr>
            <w:r w:rsidRPr="008E3DA3">
              <w:rPr>
                <w:b/>
                <w:bCs/>
                <w:sz w:val="22"/>
                <w:szCs w:val="22"/>
              </w:rPr>
              <w:t>201</w:t>
            </w:r>
            <w:r>
              <w:rPr>
                <w:b/>
                <w:bCs/>
                <w:sz w:val="22"/>
                <w:szCs w:val="22"/>
              </w:rPr>
              <w:t>4</w:t>
            </w:r>
            <w:r w:rsidRPr="008E3DA3">
              <w:rPr>
                <w:b/>
                <w:bCs/>
                <w:sz w:val="22"/>
                <w:szCs w:val="22"/>
              </w:rPr>
              <w:t>-1</w:t>
            </w:r>
            <w:r>
              <w:rPr>
                <w:b/>
                <w:bCs/>
                <w:sz w:val="22"/>
                <w:szCs w:val="22"/>
              </w:rPr>
              <w:t>5</w:t>
            </w:r>
            <w:r w:rsidRPr="008E3DA3">
              <w:rPr>
                <w:b/>
                <w:bCs/>
                <w:sz w:val="22"/>
                <w:szCs w:val="22"/>
              </w:rPr>
              <w:t xml:space="preserve"> (up to </w:t>
            </w:r>
            <w:r w:rsidR="001941EA">
              <w:rPr>
                <w:b/>
                <w:bCs/>
                <w:sz w:val="22"/>
                <w:szCs w:val="22"/>
              </w:rPr>
              <w:t>Dec</w:t>
            </w:r>
            <w:r>
              <w:rPr>
                <w:b/>
                <w:bCs/>
                <w:sz w:val="22"/>
                <w:szCs w:val="22"/>
              </w:rPr>
              <w:t>.14</w:t>
            </w:r>
            <w:r w:rsidRPr="008E3DA3">
              <w:rPr>
                <w:b/>
                <w:bCs/>
                <w:sz w:val="22"/>
                <w:szCs w:val="22"/>
              </w:rPr>
              <w:t>)</w:t>
            </w:r>
          </w:p>
        </w:tc>
        <w:tc>
          <w:tcPr>
            <w:tcW w:w="1980" w:type="dxa"/>
            <w:vAlign w:val="center"/>
          </w:tcPr>
          <w:p w:rsidR="002133CA" w:rsidRPr="0092181F" w:rsidRDefault="001941EA" w:rsidP="001C21A3">
            <w:pPr>
              <w:ind w:right="552"/>
              <w:jc w:val="center"/>
              <w:rPr>
                <w:sz w:val="22"/>
                <w:szCs w:val="22"/>
              </w:rPr>
            </w:pPr>
            <w:r w:rsidRPr="0092181F">
              <w:rPr>
                <w:rFonts w:ascii="Arial" w:hAnsi="Arial" w:cs="Arial"/>
                <w:bCs/>
                <w:sz w:val="20"/>
                <w:szCs w:val="20"/>
              </w:rPr>
              <w:t>695.562</w:t>
            </w:r>
          </w:p>
        </w:tc>
        <w:tc>
          <w:tcPr>
            <w:tcW w:w="1980" w:type="dxa"/>
          </w:tcPr>
          <w:p w:rsidR="002133CA" w:rsidRPr="0092181F" w:rsidRDefault="001941EA" w:rsidP="001941EA">
            <w:pPr>
              <w:ind w:right="552"/>
              <w:jc w:val="center"/>
              <w:rPr>
                <w:sz w:val="22"/>
                <w:szCs w:val="22"/>
              </w:rPr>
            </w:pPr>
            <w:r w:rsidRPr="0092181F">
              <w:rPr>
                <w:sz w:val="22"/>
                <w:szCs w:val="22"/>
              </w:rPr>
              <w:t>10.906382</w:t>
            </w:r>
          </w:p>
        </w:tc>
        <w:tc>
          <w:tcPr>
            <w:tcW w:w="1980" w:type="dxa"/>
          </w:tcPr>
          <w:p w:rsidR="002133CA" w:rsidRPr="0092181F" w:rsidRDefault="001941EA" w:rsidP="008E3DA3">
            <w:pPr>
              <w:ind w:right="612"/>
              <w:jc w:val="right"/>
              <w:rPr>
                <w:sz w:val="22"/>
                <w:szCs w:val="22"/>
              </w:rPr>
            </w:pPr>
            <w:r w:rsidRPr="0092181F">
              <w:rPr>
                <w:sz w:val="22"/>
                <w:szCs w:val="22"/>
              </w:rPr>
              <w:t>1.56</w:t>
            </w:r>
          </w:p>
        </w:tc>
      </w:tr>
    </w:tbl>
    <w:p w:rsidR="00C67F47" w:rsidRPr="00C67F47" w:rsidRDefault="00C67F47" w:rsidP="00C67F47">
      <w:pPr>
        <w:ind w:left="720"/>
        <w:rPr>
          <w:sz w:val="22"/>
          <w:szCs w:val="22"/>
        </w:rPr>
      </w:pPr>
    </w:p>
    <w:p w:rsidR="00C67F47" w:rsidRPr="00C67F47" w:rsidRDefault="00C67F47" w:rsidP="00C67F47">
      <w:pPr>
        <w:ind w:left="720"/>
        <w:rPr>
          <w:sz w:val="22"/>
          <w:szCs w:val="22"/>
        </w:rPr>
      </w:pPr>
      <w:r w:rsidRPr="00C67F47">
        <w:rPr>
          <w:sz w:val="22"/>
          <w:szCs w:val="22"/>
        </w:rPr>
        <w:lastRenderedPageBreak/>
        <w:t xml:space="preserve">There has been </w:t>
      </w:r>
      <w:r w:rsidR="00401CF7">
        <w:rPr>
          <w:sz w:val="22"/>
          <w:szCs w:val="22"/>
        </w:rPr>
        <w:t xml:space="preserve">considerable open cycle </w:t>
      </w:r>
      <w:r w:rsidR="0031013D">
        <w:rPr>
          <w:sz w:val="22"/>
          <w:szCs w:val="22"/>
        </w:rPr>
        <w:t>o</w:t>
      </w:r>
      <w:r w:rsidR="0031013D" w:rsidRPr="00C67F47">
        <w:rPr>
          <w:sz w:val="22"/>
          <w:szCs w:val="22"/>
        </w:rPr>
        <w:t>peration in</w:t>
      </w:r>
      <w:r w:rsidRPr="00C67F47">
        <w:rPr>
          <w:sz w:val="22"/>
          <w:szCs w:val="22"/>
        </w:rPr>
        <w:t xml:space="preserve"> </w:t>
      </w:r>
      <w:r w:rsidR="00CE7797">
        <w:rPr>
          <w:sz w:val="22"/>
          <w:szCs w:val="22"/>
        </w:rPr>
        <w:t xml:space="preserve">FY </w:t>
      </w:r>
      <w:r w:rsidRPr="00C67F47">
        <w:rPr>
          <w:sz w:val="22"/>
          <w:szCs w:val="22"/>
        </w:rPr>
        <w:t>2</w:t>
      </w:r>
      <w:r w:rsidR="00911793">
        <w:rPr>
          <w:sz w:val="22"/>
          <w:szCs w:val="22"/>
        </w:rPr>
        <w:t xml:space="preserve">012-13 to 2014-15.  </w:t>
      </w:r>
      <w:r w:rsidRPr="00C67F47">
        <w:rPr>
          <w:sz w:val="22"/>
          <w:szCs w:val="22"/>
        </w:rPr>
        <w:t xml:space="preserve"> Even though the operation of IPGTPS is less in open cycle mode, there is a direct loss of around 10% on recovery of fuel cost when operated in open cycle mode. This loss in absolute terms is on higher side. Station will endeavour to run in combined cycle mode but when operated in open cycle mode on the request of SLDC, the station may be allowed higher heat rate of 3440kCal/kWh. </w:t>
      </w:r>
    </w:p>
    <w:p w:rsidR="00C67F47" w:rsidRPr="00704B80" w:rsidRDefault="00C67F47" w:rsidP="00C67F47">
      <w:pPr>
        <w:rPr>
          <w:rFonts w:ascii="Antique Olive" w:eastAsia="Batang" w:hAnsi="Antique Olive"/>
          <w:b/>
          <w:sz w:val="14"/>
        </w:rPr>
      </w:pPr>
    </w:p>
    <w:p w:rsidR="0028047D" w:rsidRPr="002E3A37" w:rsidRDefault="00C27E59" w:rsidP="0028047D">
      <w:pPr>
        <w:rPr>
          <w:b/>
          <w:bCs/>
          <w:sz w:val="22"/>
          <w:szCs w:val="22"/>
        </w:rPr>
      </w:pPr>
      <w:r w:rsidRPr="00790F39">
        <w:rPr>
          <w:b/>
          <w:bCs/>
          <w:sz w:val="22"/>
          <w:szCs w:val="22"/>
        </w:rPr>
        <w:t>It is further submitted that t</w:t>
      </w:r>
      <w:r w:rsidR="00D218FB" w:rsidRPr="00790F39">
        <w:rPr>
          <w:b/>
          <w:bCs/>
          <w:sz w:val="22"/>
          <w:szCs w:val="22"/>
        </w:rPr>
        <w:t xml:space="preserve">wo number of Gas Turbines </w:t>
      </w:r>
      <w:r w:rsidR="008A628F" w:rsidRPr="00790F39">
        <w:rPr>
          <w:b/>
          <w:bCs/>
          <w:sz w:val="22"/>
          <w:szCs w:val="22"/>
        </w:rPr>
        <w:t>we</w:t>
      </w:r>
      <w:r w:rsidR="00D218FB" w:rsidRPr="00790F39">
        <w:rPr>
          <w:b/>
          <w:bCs/>
          <w:sz w:val="22"/>
          <w:szCs w:val="22"/>
        </w:rPr>
        <w:t xml:space="preserve">re converted on Liquid Fuel. The </w:t>
      </w:r>
      <w:r w:rsidR="0020363B">
        <w:rPr>
          <w:b/>
          <w:bCs/>
          <w:sz w:val="22"/>
          <w:szCs w:val="22"/>
        </w:rPr>
        <w:t>Hon’ble</w:t>
      </w:r>
      <w:r w:rsidR="00D218FB" w:rsidRPr="00790F39">
        <w:rPr>
          <w:b/>
          <w:bCs/>
          <w:sz w:val="22"/>
          <w:szCs w:val="22"/>
        </w:rPr>
        <w:t xml:space="preserve"> Commission has allowed 2% excess heat rate over the allowed operative heat rate for </w:t>
      </w:r>
      <w:r w:rsidR="00E02A0C">
        <w:rPr>
          <w:b/>
          <w:bCs/>
          <w:sz w:val="22"/>
          <w:szCs w:val="22"/>
        </w:rPr>
        <w:t>new</w:t>
      </w:r>
      <w:r w:rsidR="00814AEC">
        <w:rPr>
          <w:b/>
          <w:bCs/>
          <w:sz w:val="22"/>
          <w:szCs w:val="22"/>
        </w:rPr>
        <w:t xml:space="preserve">ly set up </w:t>
      </w:r>
      <w:r w:rsidR="00D218FB" w:rsidRPr="00790F39">
        <w:rPr>
          <w:b/>
          <w:bCs/>
          <w:sz w:val="22"/>
          <w:szCs w:val="22"/>
        </w:rPr>
        <w:t xml:space="preserve">gas turbine </w:t>
      </w:r>
      <w:r w:rsidR="00FD298E">
        <w:rPr>
          <w:b/>
          <w:bCs/>
          <w:sz w:val="22"/>
          <w:szCs w:val="22"/>
        </w:rPr>
        <w:t xml:space="preserve">stations </w:t>
      </w:r>
      <w:r w:rsidR="00D218FB" w:rsidRPr="00790F39">
        <w:rPr>
          <w:b/>
          <w:bCs/>
          <w:sz w:val="22"/>
          <w:szCs w:val="22"/>
        </w:rPr>
        <w:t xml:space="preserve">operating on </w:t>
      </w:r>
      <w:r w:rsidR="00D218FB" w:rsidRPr="00E02A0C">
        <w:rPr>
          <w:b/>
          <w:bCs/>
          <w:sz w:val="22"/>
          <w:szCs w:val="22"/>
        </w:rPr>
        <w:t>liquid fuel</w:t>
      </w:r>
      <w:r w:rsidR="00D218FB" w:rsidRPr="00790F39">
        <w:rPr>
          <w:b/>
          <w:bCs/>
          <w:sz w:val="22"/>
          <w:szCs w:val="22"/>
        </w:rPr>
        <w:t>.</w:t>
      </w:r>
      <w:r w:rsidR="0028047D" w:rsidRPr="00E02A0C">
        <w:rPr>
          <w:b/>
          <w:bCs/>
          <w:sz w:val="22"/>
          <w:szCs w:val="22"/>
        </w:rPr>
        <w:t xml:space="preserve"> </w:t>
      </w:r>
      <w:r w:rsidR="00E02A0C" w:rsidRPr="00E02A0C">
        <w:rPr>
          <w:b/>
          <w:bCs/>
          <w:sz w:val="22"/>
          <w:szCs w:val="22"/>
        </w:rPr>
        <w:t xml:space="preserve">It is </w:t>
      </w:r>
      <w:r w:rsidR="0028047D" w:rsidRPr="002E3A37">
        <w:rPr>
          <w:b/>
          <w:bCs/>
          <w:sz w:val="22"/>
          <w:szCs w:val="22"/>
        </w:rPr>
        <w:t>request</w:t>
      </w:r>
      <w:r w:rsidR="00E02A0C">
        <w:rPr>
          <w:b/>
          <w:bCs/>
          <w:sz w:val="22"/>
          <w:szCs w:val="22"/>
        </w:rPr>
        <w:t>ed</w:t>
      </w:r>
      <w:r w:rsidR="0028047D" w:rsidRPr="002E3A37">
        <w:rPr>
          <w:b/>
          <w:bCs/>
          <w:sz w:val="22"/>
          <w:szCs w:val="22"/>
        </w:rPr>
        <w:t xml:space="preserve"> the Hon'ble Commiss</w:t>
      </w:r>
      <w:r w:rsidR="00E02A0C">
        <w:rPr>
          <w:b/>
          <w:bCs/>
          <w:sz w:val="22"/>
          <w:szCs w:val="22"/>
        </w:rPr>
        <w:t>i</w:t>
      </w:r>
      <w:r w:rsidR="0028047D" w:rsidRPr="002E3A37">
        <w:rPr>
          <w:b/>
          <w:bCs/>
          <w:sz w:val="22"/>
          <w:szCs w:val="22"/>
        </w:rPr>
        <w:t xml:space="preserve">on </w:t>
      </w:r>
      <w:r w:rsidR="00111620">
        <w:rPr>
          <w:b/>
          <w:bCs/>
          <w:sz w:val="22"/>
          <w:szCs w:val="22"/>
        </w:rPr>
        <w:t xml:space="preserve">to </w:t>
      </w:r>
      <w:r w:rsidR="00286D80" w:rsidRPr="002E3A37">
        <w:rPr>
          <w:b/>
          <w:bCs/>
          <w:sz w:val="22"/>
          <w:szCs w:val="22"/>
        </w:rPr>
        <w:t>consider and allow</w:t>
      </w:r>
      <w:r w:rsidR="0028047D" w:rsidRPr="002E3A37">
        <w:rPr>
          <w:b/>
          <w:bCs/>
          <w:sz w:val="22"/>
          <w:szCs w:val="22"/>
        </w:rPr>
        <w:t xml:space="preserve"> 2% excess heat rate over the allowed heat rate for operation </w:t>
      </w:r>
      <w:r w:rsidR="001C4155" w:rsidRPr="002E3A37">
        <w:rPr>
          <w:b/>
          <w:bCs/>
          <w:sz w:val="22"/>
          <w:szCs w:val="22"/>
        </w:rPr>
        <w:t xml:space="preserve">on liquid fuel </w:t>
      </w:r>
      <w:r w:rsidR="00777C3C">
        <w:rPr>
          <w:b/>
          <w:bCs/>
          <w:sz w:val="22"/>
          <w:szCs w:val="22"/>
        </w:rPr>
        <w:t>for</w:t>
      </w:r>
      <w:r w:rsidR="0028047D" w:rsidRPr="002E3A37">
        <w:rPr>
          <w:b/>
          <w:bCs/>
          <w:sz w:val="22"/>
          <w:szCs w:val="22"/>
        </w:rPr>
        <w:t xml:space="preserve"> </w:t>
      </w:r>
      <w:r w:rsidR="00B32B20">
        <w:rPr>
          <w:b/>
          <w:bCs/>
          <w:sz w:val="22"/>
          <w:szCs w:val="22"/>
        </w:rPr>
        <w:t xml:space="preserve">even existing </w:t>
      </w:r>
      <w:r w:rsidR="00E02A0C">
        <w:rPr>
          <w:b/>
          <w:bCs/>
          <w:sz w:val="22"/>
          <w:szCs w:val="22"/>
        </w:rPr>
        <w:t>Gas Turbine Power Station</w:t>
      </w:r>
      <w:r w:rsidR="0028047D" w:rsidRPr="002E3A37">
        <w:rPr>
          <w:b/>
          <w:bCs/>
          <w:sz w:val="22"/>
          <w:szCs w:val="22"/>
        </w:rPr>
        <w:t>.</w:t>
      </w:r>
    </w:p>
    <w:p w:rsidR="00D218FB" w:rsidRPr="001525DC" w:rsidRDefault="00D218FB" w:rsidP="00D218FB">
      <w:pPr>
        <w:rPr>
          <w:sz w:val="14"/>
          <w:szCs w:val="22"/>
        </w:rPr>
      </w:pPr>
    </w:p>
    <w:p w:rsidR="00885A15" w:rsidRPr="00885A15" w:rsidRDefault="00885A15" w:rsidP="00885A15">
      <w:pPr>
        <w:rPr>
          <w:sz w:val="22"/>
          <w:szCs w:val="22"/>
        </w:rPr>
      </w:pPr>
      <w:r w:rsidRPr="00885A15">
        <w:rPr>
          <w:sz w:val="22"/>
          <w:szCs w:val="22"/>
        </w:rPr>
        <w:t>Station Heat Rate of IPGTPS is also on higher side due to frequent backing down during night time by SLDC, resulting in partial operation</w:t>
      </w:r>
      <w:r w:rsidR="003F057A">
        <w:rPr>
          <w:sz w:val="22"/>
          <w:szCs w:val="22"/>
        </w:rPr>
        <w:t>.</w:t>
      </w:r>
      <w:r w:rsidR="003F057A" w:rsidRPr="00A23CC1">
        <w:rPr>
          <w:sz w:val="22"/>
          <w:szCs w:val="22"/>
        </w:rPr>
        <w:t xml:space="preserve"> </w:t>
      </w:r>
      <w:r w:rsidR="003F057A">
        <w:rPr>
          <w:sz w:val="22"/>
          <w:szCs w:val="22"/>
        </w:rPr>
        <w:t xml:space="preserve">The </w:t>
      </w:r>
      <w:r w:rsidR="003F057A" w:rsidRPr="00A23CC1">
        <w:rPr>
          <w:sz w:val="22"/>
          <w:szCs w:val="22"/>
        </w:rPr>
        <w:t>back</w:t>
      </w:r>
      <w:r w:rsidR="003F057A">
        <w:rPr>
          <w:sz w:val="22"/>
          <w:szCs w:val="22"/>
        </w:rPr>
        <w:t xml:space="preserve">ing </w:t>
      </w:r>
      <w:r w:rsidR="003F057A" w:rsidRPr="00A23CC1">
        <w:rPr>
          <w:sz w:val="22"/>
          <w:szCs w:val="22"/>
        </w:rPr>
        <w:t>down</w:t>
      </w:r>
      <w:r w:rsidR="003F057A">
        <w:rPr>
          <w:sz w:val="22"/>
          <w:szCs w:val="22"/>
        </w:rPr>
        <w:t xml:space="preserve"> of the station </w:t>
      </w:r>
      <w:r w:rsidR="003F057A" w:rsidRPr="00A23CC1">
        <w:rPr>
          <w:sz w:val="22"/>
          <w:szCs w:val="22"/>
        </w:rPr>
        <w:t>result</w:t>
      </w:r>
      <w:r w:rsidR="003F057A">
        <w:rPr>
          <w:sz w:val="22"/>
          <w:szCs w:val="22"/>
        </w:rPr>
        <w:t>ed</w:t>
      </w:r>
      <w:r w:rsidR="003F057A" w:rsidRPr="00A23CC1">
        <w:rPr>
          <w:sz w:val="22"/>
          <w:szCs w:val="22"/>
        </w:rPr>
        <w:t xml:space="preserve"> in partial operation of the units. </w:t>
      </w:r>
      <w:r w:rsidR="00331CD3">
        <w:rPr>
          <w:sz w:val="22"/>
          <w:szCs w:val="22"/>
        </w:rPr>
        <w:t xml:space="preserve"> </w:t>
      </w:r>
      <w:r w:rsidRPr="00885A15">
        <w:rPr>
          <w:sz w:val="22"/>
          <w:szCs w:val="22"/>
        </w:rPr>
        <w:t>It is further submitted that there has been substantial gap between Availability and PLF of the station due to backing down. The lower PLF has adversely affected the heat rate of the station.</w:t>
      </w:r>
    </w:p>
    <w:p w:rsidR="00885A15" w:rsidRPr="0092181F" w:rsidRDefault="00A343E3" w:rsidP="001525DC">
      <w:pPr>
        <w:pStyle w:val="Caption"/>
        <w:spacing w:line="240" w:lineRule="auto"/>
        <w:jc w:val="center"/>
      </w:pPr>
      <w:bookmarkStart w:id="28" w:name="_Toc411603985"/>
      <w:r w:rsidRPr="0092181F">
        <w:t xml:space="preserve">Table </w:t>
      </w:r>
      <w:r w:rsidR="001D1793" w:rsidRPr="0092181F">
        <w:fldChar w:fldCharType="begin"/>
      </w:r>
      <w:r w:rsidR="00037E8D" w:rsidRPr="0092181F">
        <w:instrText xml:space="preserve"> SEQ Table \* ARABIC </w:instrText>
      </w:r>
      <w:r w:rsidR="001D1793" w:rsidRPr="0092181F">
        <w:fldChar w:fldCharType="separate"/>
      </w:r>
      <w:r w:rsidR="002326CE">
        <w:rPr>
          <w:noProof/>
        </w:rPr>
        <w:t>8</w:t>
      </w:r>
      <w:r w:rsidR="001D1793" w:rsidRPr="0092181F">
        <w:fldChar w:fldCharType="end"/>
      </w:r>
      <w:r w:rsidRPr="0092181F">
        <w:t xml:space="preserve"> : </w:t>
      </w:r>
      <w:r w:rsidR="00885A15" w:rsidRPr="0092181F">
        <w:t>Comparison of Availability &amp; PLF for GTPS</w:t>
      </w:r>
      <w:bookmarkEnd w:id="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1"/>
        <w:gridCol w:w="3034"/>
        <w:gridCol w:w="2970"/>
      </w:tblGrid>
      <w:tr w:rsidR="00885A15" w:rsidRPr="008E3DA3" w:rsidTr="008E3DA3">
        <w:trPr>
          <w:trHeight w:val="410"/>
        </w:trPr>
        <w:tc>
          <w:tcPr>
            <w:tcW w:w="2831" w:type="dxa"/>
            <w:shd w:val="clear" w:color="auto" w:fill="000080"/>
          </w:tcPr>
          <w:p w:rsidR="00885A15" w:rsidRPr="008E3DA3" w:rsidRDefault="001525DC" w:rsidP="008E3DA3">
            <w:pPr>
              <w:spacing w:line="240" w:lineRule="auto"/>
              <w:jc w:val="center"/>
              <w:rPr>
                <w:b/>
                <w:sz w:val="22"/>
                <w:szCs w:val="22"/>
              </w:rPr>
            </w:pPr>
            <w:r w:rsidRPr="008E3DA3">
              <w:rPr>
                <w:b/>
                <w:sz w:val="22"/>
                <w:szCs w:val="22"/>
              </w:rPr>
              <w:t>Year</w:t>
            </w:r>
          </w:p>
        </w:tc>
        <w:tc>
          <w:tcPr>
            <w:tcW w:w="3034" w:type="dxa"/>
            <w:shd w:val="clear" w:color="auto" w:fill="000080"/>
          </w:tcPr>
          <w:p w:rsidR="00885A15" w:rsidRPr="008E3DA3" w:rsidRDefault="001525DC" w:rsidP="008E3DA3">
            <w:pPr>
              <w:spacing w:line="240" w:lineRule="auto"/>
              <w:jc w:val="center"/>
              <w:rPr>
                <w:b/>
                <w:sz w:val="22"/>
                <w:szCs w:val="22"/>
              </w:rPr>
            </w:pPr>
            <w:r w:rsidRPr="008E3DA3">
              <w:rPr>
                <w:b/>
                <w:sz w:val="22"/>
                <w:szCs w:val="22"/>
              </w:rPr>
              <w:t>Availability (%)</w:t>
            </w:r>
          </w:p>
        </w:tc>
        <w:tc>
          <w:tcPr>
            <w:tcW w:w="2970" w:type="dxa"/>
            <w:shd w:val="clear" w:color="auto" w:fill="000080"/>
          </w:tcPr>
          <w:p w:rsidR="00885A15" w:rsidRPr="008E3DA3" w:rsidRDefault="001525DC" w:rsidP="008E3DA3">
            <w:pPr>
              <w:spacing w:line="240" w:lineRule="auto"/>
              <w:jc w:val="center"/>
              <w:rPr>
                <w:b/>
                <w:sz w:val="22"/>
                <w:szCs w:val="22"/>
              </w:rPr>
            </w:pPr>
            <w:r w:rsidRPr="008E3DA3">
              <w:rPr>
                <w:b/>
                <w:sz w:val="22"/>
                <w:szCs w:val="22"/>
              </w:rPr>
              <w:t>PLF (%)</w:t>
            </w:r>
          </w:p>
        </w:tc>
      </w:tr>
      <w:tr w:rsidR="001525DC" w:rsidRPr="008E3DA3" w:rsidTr="008E3DA3">
        <w:trPr>
          <w:trHeight w:val="410"/>
        </w:trPr>
        <w:tc>
          <w:tcPr>
            <w:tcW w:w="2831" w:type="dxa"/>
          </w:tcPr>
          <w:p w:rsidR="001525DC" w:rsidRPr="008E3DA3" w:rsidRDefault="001525DC" w:rsidP="00CD4458">
            <w:pPr>
              <w:jc w:val="center"/>
              <w:rPr>
                <w:b/>
                <w:sz w:val="22"/>
                <w:szCs w:val="22"/>
              </w:rPr>
            </w:pPr>
            <w:r w:rsidRPr="008E3DA3">
              <w:rPr>
                <w:b/>
                <w:sz w:val="22"/>
                <w:szCs w:val="22"/>
              </w:rPr>
              <w:t>20</w:t>
            </w:r>
            <w:r w:rsidR="00CD4458">
              <w:rPr>
                <w:b/>
                <w:sz w:val="22"/>
                <w:szCs w:val="22"/>
              </w:rPr>
              <w:t>12-13</w:t>
            </w:r>
          </w:p>
        </w:tc>
        <w:tc>
          <w:tcPr>
            <w:tcW w:w="3034" w:type="dxa"/>
          </w:tcPr>
          <w:p w:rsidR="001525DC" w:rsidRPr="0092181F" w:rsidRDefault="00CD4458" w:rsidP="00FC724F">
            <w:pPr>
              <w:jc w:val="center"/>
              <w:rPr>
                <w:sz w:val="22"/>
                <w:szCs w:val="22"/>
              </w:rPr>
            </w:pPr>
            <w:r w:rsidRPr="0092181F">
              <w:rPr>
                <w:sz w:val="22"/>
                <w:szCs w:val="22"/>
              </w:rPr>
              <w:t>84.22</w:t>
            </w:r>
          </w:p>
        </w:tc>
        <w:tc>
          <w:tcPr>
            <w:tcW w:w="2970" w:type="dxa"/>
          </w:tcPr>
          <w:p w:rsidR="001525DC" w:rsidRPr="0092181F" w:rsidRDefault="001525DC" w:rsidP="00FC724F">
            <w:pPr>
              <w:jc w:val="center"/>
              <w:rPr>
                <w:sz w:val="22"/>
                <w:szCs w:val="22"/>
              </w:rPr>
            </w:pPr>
            <w:r w:rsidRPr="0092181F">
              <w:rPr>
                <w:sz w:val="22"/>
                <w:szCs w:val="22"/>
              </w:rPr>
              <w:t>5</w:t>
            </w:r>
            <w:r w:rsidR="00CD4458" w:rsidRPr="0092181F">
              <w:rPr>
                <w:sz w:val="22"/>
                <w:szCs w:val="22"/>
              </w:rPr>
              <w:t>5</w:t>
            </w:r>
            <w:r w:rsidRPr="0092181F">
              <w:rPr>
                <w:sz w:val="22"/>
                <w:szCs w:val="22"/>
              </w:rPr>
              <w:t>.</w:t>
            </w:r>
            <w:r w:rsidR="00CD4458" w:rsidRPr="0092181F">
              <w:rPr>
                <w:sz w:val="22"/>
                <w:szCs w:val="22"/>
              </w:rPr>
              <w:t>29</w:t>
            </w:r>
          </w:p>
        </w:tc>
      </w:tr>
      <w:tr w:rsidR="00885A15" w:rsidRPr="008E3DA3" w:rsidTr="008E3DA3">
        <w:trPr>
          <w:trHeight w:val="395"/>
        </w:trPr>
        <w:tc>
          <w:tcPr>
            <w:tcW w:w="2831" w:type="dxa"/>
          </w:tcPr>
          <w:p w:rsidR="00885A15" w:rsidRPr="008E3DA3" w:rsidRDefault="00885A15" w:rsidP="00CD4458">
            <w:pPr>
              <w:jc w:val="center"/>
              <w:rPr>
                <w:b/>
                <w:sz w:val="22"/>
                <w:szCs w:val="22"/>
              </w:rPr>
            </w:pPr>
            <w:r w:rsidRPr="008E3DA3">
              <w:rPr>
                <w:b/>
                <w:sz w:val="22"/>
                <w:szCs w:val="22"/>
              </w:rPr>
              <w:t>20</w:t>
            </w:r>
            <w:r w:rsidR="00CD4458">
              <w:rPr>
                <w:b/>
                <w:sz w:val="22"/>
                <w:szCs w:val="22"/>
              </w:rPr>
              <w:t>13</w:t>
            </w:r>
            <w:r w:rsidRPr="008E3DA3">
              <w:rPr>
                <w:b/>
                <w:sz w:val="22"/>
                <w:szCs w:val="22"/>
              </w:rPr>
              <w:t>-</w:t>
            </w:r>
            <w:r w:rsidR="00CD4458">
              <w:rPr>
                <w:b/>
                <w:sz w:val="22"/>
                <w:szCs w:val="22"/>
              </w:rPr>
              <w:t>14</w:t>
            </w:r>
          </w:p>
        </w:tc>
        <w:tc>
          <w:tcPr>
            <w:tcW w:w="3034" w:type="dxa"/>
          </w:tcPr>
          <w:p w:rsidR="00885A15" w:rsidRPr="0092181F" w:rsidRDefault="00CD4458" w:rsidP="00FC724F">
            <w:pPr>
              <w:jc w:val="center"/>
              <w:rPr>
                <w:sz w:val="22"/>
                <w:szCs w:val="22"/>
              </w:rPr>
            </w:pPr>
            <w:r w:rsidRPr="0092181F">
              <w:rPr>
                <w:sz w:val="22"/>
                <w:szCs w:val="22"/>
              </w:rPr>
              <w:t>86.94</w:t>
            </w:r>
          </w:p>
        </w:tc>
        <w:tc>
          <w:tcPr>
            <w:tcW w:w="2970" w:type="dxa"/>
          </w:tcPr>
          <w:p w:rsidR="00885A15" w:rsidRPr="0092181F" w:rsidRDefault="00CD4458" w:rsidP="00FC724F">
            <w:pPr>
              <w:jc w:val="center"/>
              <w:rPr>
                <w:sz w:val="22"/>
                <w:szCs w:val="22"/>
              </w:rPr>
            </w:pPr>
            <w:r w:rsidRPr="0092181F">
              <w:rPr>
                <w:sz w:val="22"/>
                <w:szCs w:val="22"/>
              </w:rPr>
              <w:t>44.01</w:t>
            </w:r>
          </w:p>
        </w:tc>
      </w:tr>
      <w:tr w:rsidR="00885A15" w:rsidRPr="008E3DA3" w:rsidTr="008E3DA3">
        <w:trPr>
          <w:trHeight w:val="410"/>
        </w:trPr>
        <w:tc>
          <w:tcPr>
            <w:tcW w:w="2831" w:type="dxa"/>
          </w:tcPr>
          <w:p w:rsidR="00885A15" w:rsidRPr="008E3DA3" w:rsidRDefault="00885A15" w:rsidP="00C42E3D">
            <w:pPr>
              <w:jc w:val="center"/>
              <w:rPr>
                <w:b/>
                <w:sz w:val="22"/>
                <w:szCs w:val="22"/>
              </w:rPr>
            </w:pPr>
            <w:r w:rsidRPr="008E3DA3">
              <w:rPr>
                <w:b/>
                <w:sz w:val="22"/>
                <w:szCs w:val="22"/>
              </w:rPr>
              <w:t>20</w:t>
            </w:r>
            <w:r w:rsidR="00CD4458">
              <w:rPr>
                <w:b/>
                <w:sz w:val="22"/>
                <w:szCs w:val="22"/>
              </w:rPr>
              <w:t>14</w:t>
            </w:r>
            <w:r w:rsidRPr="008E3DA3">
              <w:rPr>
                <w:b/>
                <w:sz w:val="22"/>
                <w:szCs w:val="22"/>
              </w:rPr>
              <w:t>-1</w:t>
            </w:r>
            <w:r w:rsidR="00CD4458">
              <w:rPr>
                <w:b/>
                <w:sz w:val="22"/>
                <w:szCs w:val="22"/>
              </w:rPr>
              <w:t xml:space="preserve">5(up to </w:t>
            </w:r>
            <w:r w:rsidR="00C42E3D">
              <w:rPr>
                <w:b/>
                <w:sz w:val="22"/>
                <w:szCs w:val="22"/>
              </w:rPr>
              <w:t>Dec</w:t>
            </w:r>
            <w:r w:rsidR="00CD4458">
              <w:rPr>
                <w:b/>
                <w:sz w:val="22"/>
                <w:szCs w:val="22"/>
              </w:rPr>
              <w:t>)</w:t>
            </w:r>
          </w:p>
        </w:tc>
        <w:tc>
          <w:tcPr>
            <w:tcW w:w="3034" w:type="dxa"/>
          </w:tcPr>
          <w:p w:rsidR="00885A15" w:rsidRPr="0092181F" w:rsidRDefault="00C42E3D" w:rsidP="00FC724F">
            <w:pPr>
              <w:jc w:val="center"/>
              <w:rPr>
                <w:sz w:val="22"/>
                <w:szCs w:val="22"/>
              </w:rPr>
            </w:pPr>
            <w:r w:rsidRPr="0092181F">
              <w:rPr>
                <w:sz w:val="22"/>
                <w:szCs w:val="22"/>
              </w:rPr>
              <w:t>66.11</w:t>
            </w:r>
          </w:p>
        </w:tc>
        <w:tc>
          <w:tcPr>
            <w:tcW w:w="2970" w:type="dxa"/>
          </w:tcPr>
          <w:p w:rsidR="00885A15" w:rsidRPr="0092181F" w:rsidRDefault="00CD4458" w:rsidP="00FC724F">
            <w:pPr>
              <w:jc w:val="center"/>
              <w:rPr>
                <w:sz w:val="22"/>
                <w:szCs w:val="22"/>
              </w:rPr>
            </w:pPr>
            <w:r w:rsidRPr="0092181F">
              <w:rPr>
                <w:sz w:val="22"/>
                <w:szCs w:val="22"/>
              </w:rPr>
              <w:t>4</w:t>
            </w:r>
            <w:r w:rsidR="00C42E3D" w:rsidRPr="0092181F">
              <w:rPr>
                <w:sz w:val="22"/>
                <w:szCs w:val="22"/>
              </w:rPr>
              <w:t>0.48</w:t>
            </w:r>
          </w:p>
        </w:tc>
      </w:tr>
    </w:tbl>
    <w:p w:rsidR="00885A15" w:rsidRPr="00885A15" w:rsidRDefault="00885A15" w:rsidP="00885A15">
      <w:pPr>
        <w:rPr>
          <w:sz w:val="22"/>
          <w:szCs w:val="22"/>
        </w:rPr>
      </w:pPr>
    </w:p>
    <w:p w:rsidR="00885A15" w:rsidRPr="00885A15" w:rsidRDefault="00BC1429" w:rsidP="00885A15">
      <w:pPr>
        <w:rPr>
          <w:sz w:val="22"/>
          <w:szCs w:val="22"/>
        </w:rPr>
      </w:pPr>
      <w:r>
        <w:rPr>
          <w:sz w:val="22"/>
          <w:szCs w:val="22"/>
        </w:rPr>
        <w:t xml:space="preserve"> </w:t>
      </w:r>
      <w:r w:rsidR="00885A15" w:rsidRPr="00885A15">
        <w:rPr>
          <w:sz w:val="22"/>
          <w:szCs w:val="22"/>
        </w:rPr>
        <w:t xml:space="preserve">It is very much evident that PLF has been on lower </w:t>
      </w:r>
      <w:r w:rsidRPr="00885A15">
        <w:rPr>
          <w:sz w:val="22"/>
          <w:szCs w:val="22"/>
        </w:rPr>
        <w:t>side as</w:t>
      </w:r>
      <w:r w:rsidR="00885A15" w:rsidRPr="00885A15">
        <w:rPr>
          <w:sz w:val="22"/>
          <w:szCs w:val="22"/>
        </w:rPr>
        <w:t xml:space="preserve"> compared to availabilit</w:t>
      </w:r>
      <w:r w:rsidR="003B3A3F">
        <w:rPr>
          <w:sz w:val="22"/>
          <w:szCs w:val="22"/>
        </w:rPr>
        <w:t xml:space="preserve">y which further </w:t>
      </w:r>
      <w:r w:rsidR="00FE20D9">
        <w:rPr>
          <w:sz w:val="22"/>
          <w:szCs w:val="22"/>
        </w:rPr>
        <w:t xml:space="preserve">affects </w:t>
      </w:r>
      <w:r w:rsidR="003B3A3F">
        <w:rPr>
          <w:sz w:val="22"/>
          <w:szCs w:val="22"/>
        </w:rPr>
        <w:t xml:space="preserve">the </w:t>
      </w:r>
      <w:r w:rsidR="00885A15" w:rsidRPr="00885A15">
        <w:rPr>
          <w:sz w:val="22"/>
          <w:szCs w:val="22"/>
        </w:rPr>
        <w:t xml:space="preserve">station heat rate and auxiliary power consumption of the station.  </w:t>
      </w:r>
    </w:p>
    <w:p w:rsidR="00D929C5" w:rsidRPr="00A23CC1" w:rsidRDefault="00D929C5" w:rsidP="00D929C5">
      <w:pPr>
        <w:rPr>
          <w:sz w:val="22"/>
          <w:szCs w:val="22"/>
        </w:rPr>
      </w:pPr>
      <w:r w:rsidRPr="00A23CC1">
        <w:rPr>
          <w:sz w:val="22"/>
          <w:szCs w:val="22"/>
        </w:rPr>
        <w:t>It is submitted that since</w:t>
      </w:r>
      <w:r w:rsidR="00BC1429">
        <w:rPr>
          <w:sz w:val="22"/>
          <w:szCs w:val="22"/>
        </w:rPr>
        <w:t>,</w:t>
      </w:r>
      <w:r w:rsidRPr="00A23CC1">
        <w:rPr>
          <w:sz w:val="22"/>
          <w:szCs w:val="22"/>
        </w:rPr>
        <w:t xml:space="preserve"> heat input is same for de-rated capacity of STGs, the combined cycle heat rate will be impacted and need to be revised</w:t>
      </w:r>
      <w:r w:rsidR="0028047D" w:rsidRPr="00A23CC1">
        <w:rPr>
          <w:sz w:val="22"/>
          <w:szCs w:val="22"/>
        </w:rPr>
        <w:t xml:space="preserve"> accordingly.</w:t>
      </w:r>
    </w:p>
    <w:p w:rsidR="00163829" w:rsidRPr="001A6FAE" w:rsidRDefault="00163829" w:rsidP="00543BCE">
      <w:pPr>
        <w:rPr>
          <w:sz w:val="22"/>
          <w:szCs w:val="22"/>
        </w:rPr>
      </w:pPr>
      <w:r>
        <w:rPr>
          <w:rFonts w:cs="Arial"/>
          <w:sz w:val="22"/>
          <w:szCs w:val="22"/>
        </w:rPr>
        <w:t>The petitioner would like to mention that the Gas Turbines of the station are more than 2</w:t>
      </w:r>
      <w:r w:rsidR="006774A5">
        <w:rPr>
          <w:rFonts w:cs="Arial"/>
          <w:sz w:val="22"/>
          <w:szCs w:val="22"/>
        </w:rPr>
        <w:t>8</w:t>
      </w:r>
      <w:r w:rsidR="00C654E2">
        <w:rPr>
          <w:rFonts w:cs="Arial"/>
          <w:sz w:val="22"/>
          <w:szCs w:val="22"/>
        </w:rPr>
        <w:t xml:space="preserve"> </w:t>
      </w:r>
      <w:r>
        <w:rPr>
          <w:rFonts w:cs="Arial"/>
          <w:sz w:val="22"/>
          <w:szCs w:val="22"/>
        </w:rPr>
        <w:t>years old and no major Renovation and Modernization of the station has been undertaken so far</w:t>
      </w:r>
      <w:r w:rsidR="009D611D">
        <w:rPr>
          <w:rFonts w:cs="Arial"/>
          <w:sz w:val="22"/>
          <w:szCs w:val="22"/>
        </w:rPr>
        <w:t>.</w:t>
      </w:r>
    </w:p>
    <w:p w:rsidR="00D929C5" w:rsidRDefault="00D929C5" w:rsidP="00D929C5">
      <w:pPr>
        <w:rPr>
          <w:b/>
          <w:bCs/>
          <w:sz w:val="22"/>
          <w:szCs w:val="22"/>
        </w:rPr>
      </w:pPr>
      <w:r w:rsidRPr="00790F39">
        <w:rPr>
          <w:b/>
          <w:bCs/>
          <w:sz w:val="22"/>
          <w:szCs w:val="22"/>
        </w:rPr>
        <w:lastRenderedPageBreak/>
        <w:t xml:space="preserve">In view of the above, the Hon’ble Commission is requested to </w:t>
      </w:r>
      <w:r w:rsidR="00CE2613" w:rsidRPr="00790F39">
        <w:rPr>
          <w:b/>
          <w:bCs/>
          <w:sz w:val="22"/>
          <w:szCs w:val="22"/>
        </w:rPr>
        <w:t xml:space="preserve">relax and </w:t>
      </w:r>
      <w:r w:rsidR="005964B3" w:rsidRPr="00790F39">
        <w:rPr>
          <w:b/>
          <w:bCs/>
          <w:sz w:val="22"/>
          <w:szCs w:val="22"/>
        </w:rPr>
        <w:t xml:space="preserve">true- up </w:t>
      </w:r>
      <w:r w:rsidRPr="00790F39">
        <w:rPr>
          <w:b/>
          <w:bCs/>
          <w:sz w:val="22"/>
          <w:szCs w:val="22"/>
        </w:rPr>
        <w:t xml:space="preserve">the </w:t>
      </w:r>
      <w:r w:rsidR="002A1DB5">
        <w:rPr>
          <w:b/>
          <w:bCs/>
          <w:sz w:val="22"/>
          <w:szCs w:val="22"/>
        </w:rPr>
        <w:t xml:space="preserve">actual </w:t>
      </w:r>
      <w:r w:rsidRPr="00790F39">
        <w:rPr>
          <w:b/>
          <w:bCs/>
          <w:sz w:val="22"/>
          <w:szCs w:val="22"/>
        </w:rPr>
        <w:t xml:space="preserve">heat rate </w:t>
      </w:r>
      <w:r w:rsidR="002A1DB5">
        <w:rPr>
          <w:b/>
          <w:bCs/>
          <w:sz w:val="22"/>
          <w:szCs w:val="22"/>
        </w:rPr>
        <w:t xml:space="preserve">achieved by the Station </w:t>
      </w:r>
      <w:r w:rsidRPr="00790F39">
        <w:rPr>
          <w:b/>
          <w:bCs/>
          <w:sz w:val="22"/>
          <w:szCs w:val="22"/>
        </w:rPr>
        <w:t xml:space="preserve">in </w:t>
      </w:r>
      <w:r w:rsidR="002A1DB5" w:rsidRPr="00790F39">
        <w:rPr>
          <w:b/>
          <w:bCs/>
          <w:sz w:val="22"/>
          <w:szCs w:val="22"/>
        </w:rPr>
        <w:t xml:space="preserve">Combined Cycle mode </w:t>
      </w:r>
      <w:r w:rsidR="002A1DB5">
        <w:rPr>
          <w:b/>
          <w:bCs/>
          <w:sz w:val="22"/>
          <w:szCs w:val="22"/>
        </w:rPr>
        <w:t xml:space="preserve">and </w:t>
      </w:r>
      <w:r w:rsidRPr="00790F39">
        <w:rPr>
          <w:b/>
          <w:bCs/>
          <w:sz w:val="22"/>
          <w:szCs w:val="22"/>
        </w:rPr>
        <w:t xml:space="preserve">Open cycle mode for the MYT period </w:t>
      </w:r>
      <w:r w:rsidR="00805268">
        <w:rPr>
          <w:b/>
          <w:bCs/>
          <w:sz w:val="22"/>
          <w:szCs w:val="22"/>
        </w:rPr>
        <w:t>2012-13 to 2014-15</w:t>
      </w:r>
      <w:r w:rsidRPr="00790F39">
        <w:rPr>
          <w:b/>
          <w:bCs/>
          <w:sz w:val="22"/>
          <w:szCs w:val="22"/>
        </w:rPr>
        <w:t>.</w:t>
      </w:r>
      <w:r w:rsidR="005964B3" w:rsidRPr="00790F39">
        <w:rPr>
          <w:b/>
          <w:bCs/>
          <w:sz w:val="22"/>
          <w:szCs w:val="22"/>
        </w:rPr>
        <w:t xml:space="preserve"> It is </w:t>
      </w:r>
      <w:r w:rsidR="00747762" w:rsidRPr="00790F39">
        <w:rPr>
          <w:b/>
          <w:bCs/>
          <w:sz w:val="22"/>
          <w:szCs w:val="22"/>
        </w:rPr>
        <w:t xml:space="preserve">further </w:t>
      </w:r>
      <w:r w:rsidR="002A1DB5">
        <w:rPr>
          <w:b/>
          <w:bCs/>
          <w:sz w:val="22"/>
          <w:szCs w:val="22"/>
        </w:rPr>
        <w:t xml:space="preserve">requested </w:t>
      </w:r>
      <w:r w:rsidR="005964B3" w:rsidRPr="00790F39">
        <w:rPr>
          <w:b/>
          <w:bCs/>
          <w:sz w:val="22"/>
          <w:szCs w:val="22"/>
        </w:rPr>
        <w:t>to allow the heat rates of 25</w:t>
      </w:r>
      <w:r w:rsidR="00F63A1E">
        <w:rPr>
          <w:b/>
          <w:bCs/>
          <w:sz w:val="22"/>
          <w:szCs w:val="22"/>
        </w:rPr>
        <w:t>0</w:t>
      </w:r>
      <w:r w:rsidR="005964B3" w:rsidRPr="00790F39">
        <w:rPr>
          <w:b/>
          <w:bCs/>
          <w:sz w:val="22"/>
          <w:szCs w:val="22"/>
        </w:rPr>
        <w:t>0</w:t>
      </w:r>
      <w:r w:rsidR="00DF514C">
        <w:rPr>
          <w:b/>
          <w:bCs/>
          <w:sz w:val="22"/>
          <w:szCs w:val="22"/>
        </w:rPr>
        <w:t xml:space="preserve"> </w:t>
      </w:r>
      <w:r w:rsidR="005964B3" w:rsidRPr="00790F39">
        <w:rPr>
          <w:b/>
          <w:bCs/>
          <w:sz w:val="22"/>
          <w:szCs w:val="22"/>
        </w:rPr>
        <w:t xml:space="preserve">kCal/kWh </w:t>
      </w:r>
      <w:r w:rsidR="000F381B" w:rsidRPr="00790F39">
        <w:rPr>
          <w:b/>
          <w:bCs/>
          <w:sz w:val="22"/>
          <w:szCs w:val="22"/>
        </w:rPr>
        <w:t xml:space="preserve">in combined cycle mode </w:t>
      </w:r>
      <w:r w:rsidR="005964B3" w:rsidRPr="00790F39">
        <w:rPr>
          <w:b/>
          <w:bCs/>
          <w:sz w:val="22"/>
          <w:szCs w:val="22"/>
        </w:rPr>
        <w:t>&amp; 3440</w:t>
      </w:r>
      <w:r w:rsidR="00DF514C">
        <w:rPr>
          <w:b/>
          <w:bCs/>
          <w:sz w:val="22"/>
          <w:szCs w:val="22"/>
        </w:rPr>
        <w:t xml:space="preserve"> </w:t>
      </w:r>
      <w:r w:rsidR="005964B3" w:rsidRPr="00790F39">
        <w:rPr>
          <w:b/>
          <w:bCs/>
          <w:sz w:val="22"/>
          <w:szCs w:val="22"/>
        </w:rPr>
        <w:t>kCal/kWh</w:t>
      </w:r>
      <w:r w:rsidR="000F381B" w:rsidRPr="00790F39">
        <w:rPr>
          <w:b/>
          <w:bCs/>
          <w:sz w:val="22"/>
          <w:szCs w:val="22"/>
        </w:rPr>
        <w:t xml:space="preserve"> in open cycle mode</w:t>
      </w:r>
      <w:r w:rsidR="005964B3" w:rsidRPr="00790F39">
        <w:rPr>
          <w:b/>
          <w:bCs/>
          <w:sz w:val="22"/>
          <w:szCs w:val="22"/>
        </w:rPr>
        <w:t xml:space="preserve"> for FY </w:t>
      </w:r>
      <w:r w:rsidR="00805268">
        <w:rPr>
          <w:b/>
          <w:bCs/>
          <w:sz w:val="22"/>
          <w:szCs w:val="22"/>
        </w:rPr>
        <w:t>2015-16</w:t>
      </w:r>
      <w:r w:rsidR="005964B3" w:rsidRPr="00790F39">
        <w:rPr>
          <w:b/>
          <w:bCs/>
          <w:sz w:val="22"/>
          <w:szCs w:val="22"/>
        </w:rPr>
        <w:t>.</w:t>
      </w:r>
    </w:p>
    <w:p w:rsidR="00CC4398" w:rsidRDefault="00CC4398" w:rsidP="00D929C5">
      <w:pPr>
        <w:rPr>
          <w:b/>
          <w:bCs/>
          <w:sz w:val="22"/>
          <w:szCs w:val="22"/>
        </w:rPr>
      </w:pPr>
    </w:p>
    <w:p w:rsidR="00FB30FE" w:rsidRDefault="003F057A" w:rsidP="00D929C5">
      <w:pPr>
        <w:rPr>
          <w:b/>
          <w:bCs/>
          <w:sz w:val="22"/>
          <w:szCs w:val="22"/>
          <w:u w:val="single"/>
        </w:rPr>
      </w:pPr>
      <w:r>
        <w:rPr>
          <w:b/>
          <w:bCs/>
          <w:sz w:val="22"/>
          <w:szCs w:val="22"/>
          <w:u w:val="single"/>
        </w:rPr>
        <w:t xml:space="preserve">Prayer in respect of Partial </w:t>
      </w:r>
      <w:r w:rsidR="005F73AF" w:rsidRPr="00CC4398">
        <w:rPr>
          <w:b/>
          <w:bCs/>
          <w:sz w:val="22"/>
          <w:szCs w:val="22"/>
          <w:u w:val="single"/>
        </w:rPr>
        <w:t>Backing Down</w:t>
      </w:r>
      <w:r>
        <w:rPr>
          <w:b/>
          <w:bCs/>
          <w:sz w:val="22"/>
          <w:szCs w:val="22"/>
          <w:u w:val="single"/>
        </w:rPr>
        <w:t xml:space="preserve"> of GTPS </w:t>
      </w:r>
    </w:p>
    <w:p w:rsidR="003F057A" w:rsidRPr="00CC4398" w:rsidRDefault="003F057A" w:rsidP="00D929C5">
      <w:pPr>
        <w:rPr>
          <w:b/>
          <w:bCs/>
          <w:sz w:val="22"/>
          <w:szCs w:val="22"/>
          <w:u w:val="single"/>
        </w:rPr>
      </w:pPr>
    </w:p>
    <w:p w:rsidR="00FB30FE" w:rsidRPr="00FB30FE" w:rsidRDefault="00232F0C" w:rsidP="00FB30FE">
      <w:pPr>
        <w:rPr>
          <w:sz w:val="22"/>
          <w:szCs w:val="22"/>
        </w:rPr>
      </w:pPr>
      <w:r>
        <w:rPr>
          <w:sz w:val="22"/>
          <w:szCs w:val="22"/>
        </w:rPr>
        <w:t xml:space="preserve">It is submitted that </w:t>
      </w:r>
      <w:r w:rsidR="00FB30FE" w:rsidRPr="00FB30FE">
        <w:rPr>
          <w:sz w:val="22"/>
          <w:szCs w:val="22"/>
        </w:rPr>
        <w:t xml:space="preserve">SLDC Delhi has been backing down the generation of the stations depending on the requirement of power in </w:t>
      </w:r>
      <w:smartTag w:uri="urn:schemas-microsoft-com:office:smarttags" w:element="place">
        <w:smartTag w:uri="urn:schemas-microsoft-com:office:smarttags" w:element="City">
          <w:r w:rsidR="00FB30FE" w:rsidRPr="00FB30FE">
            <w:rPr>
              <w:sz w:val="22"/>
              <w:szCs w:val="22"/>
            </w:rPr>
            <w:t>Delhi</w:t>
          </w:r>
        </w:smartTag>
      </w:smartTag>
      <w:r w:rsidR="00FB30FE" w:rsidRPr="00FB30FE">
        <w:rPr>
          <w:sz w:val="22"/>
          <w:szCs w:val="22"/>
        </w:rPr>
        <w:t xml:space="preserve">. IPGTPS consist of three blocks; each block consists of two Gas Turbines and one steam turbine. The capacity of each gas turbine is 30 MW and de </w:t>
      </w:r>
      <w:r w:rsidR="001C1A35">
        <w:rPr>
          <w:sz w:val="22"/>
          <w:szCs w:val="22"/>
        </w:rPr>
        <w:t>-</w:t>
      </w:r>
      <w:r w:rsidR="00FB30FE" w:rsidRPr="00FB30FE">
        <w:rPr>
          <w:sz w:val="22"/>
          <w:szCs w:val="22"/>
        </w:rPr>
        <w:t xml:space="preserve">rated capacity of </w:t>
      </w:r>
      <w:r w:rsidR="001C1A35">
        <w:rPr>
          <w:sz w:val="22"/>
          <w:szCs w:val="22"/>
        </w:rPr>
        <w:t xml:space="preserve">each </w:t>
      </w:r>
      <w:r w:rsidR="00FB30FE" w:rsidRPr="00FB30FE">
        <w:rPr>
          <w:sz w:val="22"/>
          <w:szCs w:val="22"/>
        </w:rPr>
        <w:t xml:space="preserve">steam </w:t>
      </w:r>
      <w:r w:rsidR="00DF514C" w:rsidRPr="00FB30FE">
        <w:rPr>
          <w:sz w:val="22"/>
          <w:szCs w:val="22"/>
        </w:rPr>
        <w:t>turbine is also</w:t>
      </w:r>
      <w:r w:rsidR="00FB30FE" w:rsidRPr="00FB30FE">
        <w:rPr>
          <w:sz w:val="22"/>
          <w:szCs w:val="22"/>
        </w:rPr>
        <w:t xml:space="preserve"> 30 MW. IPGTPS </w:t>
      </w:r>
      <w:r w:rsidR="003B3A3F">
        <w:rPr>
          <w:sz w:val="22"/>
          <w:szCs w:val="22"/>
        </w:rPr>
        <w:t xml:space="preserve">has been </w:t>
      </w:r>
      <w:r w:rsidR="00FB30FE" w:rsidRPr="00FB30FE">
        <w:rPr>
          <w:sz w:val="22"/>
          <w:szCs w:val="22"/>
        </w:rPr>
        <w:t>serv</w:t>
      </w:r>
      <w:r w:rsidR="003B3A3F">
        <w:rPr>
          <w:sz w:val="22"/>
          <w:szCs w:val="22"/>
        </w:rPr>
        <w:t>ing</w:t>
      </w:r>
      <w:r w:rsidR="00FB30FE" w:rsidRPr="00FB30FE">
        <w:rPr>
          <w:sz w:val="22"/>
          <w:szCs w:val="22"/>
        </w:rPr>
        <w:t xml:space="preserve"> the dual purpose of base load as well as peaking load. Many times</w:t>
      </w:r>
      <w:r w:rsidR="001C1A35">
        <w:rPr>
          <w:sz w:val="22"/>
          <w:szCs w:val="22"/>
        </w:rPr>
        <w:t>,</w:t>
      </w:r>
      <w:r w:rsidR="00FB30FE" w:rsidRPr="00FB30FE">
        <w:rPr>
          <w:sz w:val="22"/>
          <w:szCs w:val="22"/>
        </w:rPr>
        <w:t xml:space="preserve"> SLDC Delhi has been giving instructions to back down the blocks partially, thus resulting in non optimization of fuel consumption. The variation of backing down is enormous depending upon the load curve during the day, change in weather conditions. This partial backing down of the blocks further increases the heat rate and auxiliary power consumption. </w:t>
      </w:r>
    </w:p>
    <w:p w:rsidR="008D4190" w:rsidRDefault="008D4190" w:rsidP="00FB30FE">
      <w:pPr>
        <w:rPr>
          <w:sz w:val="22"/>
          <w:szCs w:val="22"/>
        </w:rPr>
      </w:pPr>
    </w:p>
    <w:p w:rsidR="00FB30FE" w:rsidRPr="008D4190" w:rsidRDefault="00FB30FE" w:rsidP="00FB30FE">
      <w:pPr>
        <w:rPr>
          <w:b/>
          <w:bCs/>
          <w:sz w:val="22"/>
          <w:szCs w:val="22"/>
        </w:rPr>
      </w:pPr>
      <w:r w:rsidRPr="008D4190">
        <w:rPr>
          <w:b/>
          <w:bCs/>
          <w:sz w:val="22"/>
          <w:szCs w:val="22"/>
        </w:rPr>
        <w:t xml:space="preserve">Therefore, Hon’ble Commission is requested to </w:t>
      </w:r>
      <w:r w:rsidR="005C077C">
        <w:rPr>
          <w:b/>
          <w:bCs/>
          <w:sz w:val="22"/>
          <w:szCs w:val="22"/>
        </w:rPr>
        <w:t xml:space="preserve">direct SLDC </w:t>
      </w:r>
      <w:smartTag w:uri="urn:schemas-microsoft-com:office:smarttags" w:element="place">
        <w:smartTag w:uri="urn:schemas-microsoft-com:office:smarttags" w:element="City">
          <w:r w:rsidR="005C077C">
            <w:rPr>
              <w:b/>
              <w:bCs/>
              <w:sz w:val="22"/>
              <w:szCs w:val="22"/>
            </w:rPr>
            <w:t>Delhi</w:t>
          </w:r>
        </w:smartTag>
      </w:smartTag>
      <w:r w:rsidR="005C077C">
        <w:rPr>
          <w:b/>
          <w:bCs/>
          <w:sz w:val="22"/>
          <w:szCs w:val="22"/>
        </w:rPr>
        <w:t xml:space="preserve"> to </w:t>
      </w:r>
      <w:r w:rsidRPr="008D4190">
        <w:rPr>
          <w:b/>
          <w:bCs/>
          <w:sz w:val="22"/>
          <w:szCs w:val="22"/>
        </w:rPr>
        <w:t xml:space="preserve">back down complete block </w:t>
      </w:r>
      <w:r w:rsidR="005C077C">
        <w:rPr>
          <w:b/>
          <w:bCs/>
          <w:sz w:val="22"/>
          <w:szCs w:val="22"/>
        </w:rPr>
        <w:t>of</w:t>
      </w:r>
      <w:r w:rsidR="005C077C" w:rsidRPr="008D4190">
        <w:rPr>
          <w:b/>
          <w:bCs/>
          <w:sz w:val="22"/>
          <w:szCs w:val="22"/>
        </w:rPr>
        <w:t xml:space="preserve"> the </w:t>
      </w:r>
      <w:r w:rsidR="005C077C">
        <w:rPr>
          <w:b/>
          <w:bCs/>
          <w:sz w:val="22"/>
          <w:szCs w:val="22"/>
        </w:rPr>
        <w:t xml:space="preserve">station </w:t>
      </w:r>
      <w:r w:rsidRPr="008D4190">
        <w:rPr>
          <w:b/>
          <w:bCs/>
          <w:sz w:val="22"/>
          <w:szCs w:val="22"/>
        </w:rPr>
        <w:t xml:space="preserve">only. Further, it is requested that there should not be frequent backing down. The complete backing down of the block to some extent will help to </w:t>
      </w:r>
      <w:r w:rsidR="00752B24">
        <w:rPr>
          <w:b/>
          <w:bCs/>
          <w:sz w:val="22"/>
          <w:szCs w:val="22"/>
        </w:rPr>
        <w:t>control the heat rate and auxiliary Power consumption</w:t>
      </w:r>
      <w:r w:rsidRPr="008D4190">
        <w:rPr>
          <w:b/>
          <w:bCs/>
          <w:sz w:val="22"/>
          <w:szCs w:val="22"/>
        </w:rPr>
        <w:t xml:space="preserve">. </w:t>
      </w:r>
    </w:p>
    <w:p w:rsidR="00EC2399" w:rsidRDefault="00EC2399" w:rsidP="00C43BF7">
      <w:pPr>
        <w:rPr>
          <w:sz w:val="22"/>
          <w:szCs w:val="22"/>
        </w:rPr>
      </w:pPr>
    </w:p>
    <w:p w:rsidR="00C43BF7" w:rsidRPr="00075537" w:rsidRDefault="00FF4D62" w:rsidP="00C43BF7">
      <w:pPr>
        <w:rPr>
          <w:b/>
          <w:bCs/>
          <w:sz w:val="22"/>
          <w:szCs w:val="22"/>
          <w:u w:val="single"/>
        </w:rPr>
      </w:pPr>
      <w:r w:rsidRPr="00075537">
        <w:rPr>
          <w:b/>
          <w:bCs/>
          <w:sz w:val="22"/>
          <w:szCs w:val="26"/>
          <w:u w:val="single"/>
        </w:rPr>
        <w:t>Summary</w:t>
      </w:r>
    </w:p>
    <w:p w:rsidR="0009422A" w:rsidRDefault="0009422A" w:rsidP="0009422A">
      <w:pPr>
        <w:rPr>
          <w:sz w:val="22"/>
          <w:szCs w:val="26"/>
        </w:rPr>
      </w:pPr>
      <w:r>
        <w:rPr>
          <w:sz w:val="22"/>
          <w:szCs w:val="22"/>
        </w:rPr>
        <w:t>The above mentioned reasons</w:t>
      </w:r>
      <w:r w:rsidR="000C245C">
        <w:rPr>
          <w:sz w:val="22"/>
          <w:szCs w:val="22"/>
        </w:rPr>
        <w:t xml:space="preserve"> for higher heat rate of the stations </w:t>
      </w:r>
      <w:r>
        <w:rPr>
          <w:sz w:val="22"/>
          <w:szCs w:val="22"/>
        </w:rPr>
        <w:t>are beyond the control of the petitioner and therefore</w:t>
      </w:r>
      <w:r w:rsidR="00C959AA">
        <w:rPr>
          <w:sz w:val="22"/>
          <w:szCs w:val="22"/>
        </w:rPr>
        <w:t>,</w:t>
      </w:r>
      <w:r>
        <w:rPr>
          <w:sz w:val="22"/>
          <w:szCs w:val="22"/>
        </w:rPr>
        <w:t xml:space="preserve"> the petitioner requests the Commission to adopt more liberal approach.</w:t>
      </w:r>
    </w:p>
    <w:p w:rsidR="00CC4398" w:rsidRDefault="00CC4398" w:rsidP="00C43BF7">
      <w:pPr>
        <w:rPr>
          <w:sz w:val="22"/>
          <w:szCs w:val="26"/>
        </w:rPr>
      </w:pPr>
    </w:p>
    <w:p w:rsidR="00C43BF7" w:rsidRDefault="00C43BF7" w:rsidP="00C43BF7">
      <w:pPr>
        <w:rPr>
          <w:sz w:val="22"/>
          <w:szCs w:val="26"/>
        </w:rPr>
      </w:pPr>
      <w:r>
        <w:rPr>
          <w:sz w:val="22"/>
          <w:szCs w:val="26"/>
        </w:rPr>
        <w:t xml:space="preserve">The petitioner prays to the Hon’ble Commission to approve the SHR levels as proposed in this petition keeping in </w:t>
      </w:r>
      <w:r w:rsidR="00D042DD">
        <w:rPr>
          <w:sz w:val="22"/>
          <w:szCs w:val="26"/>
        </w:rPr>
        <w:t>view</w:t>
      </w:r>
      <w:r>
        <w:rPr>
          <w:sz w:val="22"/>
          <w:szCs w:val="26"/>
        </w:rPr>
        <w:t>:</w:t>
      </w:r>
    </w:p>
    <w:p w:rsidR="00C43BF7" w:rsidRDefault="00C43BF7" w:rsidP="00C43BF7">
      <w:pPr>
        <w:numPr>
          <w:ilvl w:val="0"/>
          <w:numId w:val="16"/>
        </w:numPr>
        <w:rPr>
          <w:sz w:val="22"/>
          <w:szCs w:val="26"/>
        </w:rPr>
      </w:pPr>
      <w:r>
        <w:rPr>
          <w:sz w:val="22"/>
          <w:szCs w:val="26"/>
        </w:rPr>
        <w:t xml:space="preserve">Old age </w:t>
      </w:r>
      <w:r w:rsidR="002A4A9D">
        <w:rPr>
          <w:sz w:val="22"/>
          <w:szCs w:val="26"/>
        </w:rPr>
        <w:t xml:space="preserve">and technology </w:t>
      </w:r>
      <w:r>
        <w:rPr>
          <w:sz w:val="22"/>
          <w:szCs w:val="26"/>
        </w:rPr>
        <w:t>of the stations.</w:t>
      </w:r>
    </w:p>
    <w:p w:rsidR="00C43BF7" w:rsidRDefault="00C43BF7" w:rsidP="00C43BF7">
      <w:pPr>
        <w:numPr>
          <w:ilvl w:val="0"/>
          <w:numId w:val="16"/>
        </w:numPr>
        <w:rPr>
          <w:sz w:val="22"/>
          <w:szCs w:val="26"/>
        </w:rPr>
      </w:pPr>
      <w:r>
        <w:rPr>
          <w:sz w:val="22"/>
          <w:szCs w:val="26"/>
        </w:rPr>
        <w:t>Practical difficultly in achieving lower SHR</w:t>
      </w:r>
      <w:r w:rsidR="00075537">
        <w:rPr>
          <w:sz w:val="22"/>
          <w:szCs w:val="26"/>
        </w:rPr>
        <w:t>,</w:t>
      </w:r>
      <w:r>
        <w:rPr>
          <w:sz w:val="22"/>
          <w:szCs w:val="26"/>
        </w:rPr>
        <w:t xml:space="preserve"> </w:t>
      </w:r>
      <w:r w:rsidR="00075537">
        <w:rPr>
          <w:sz w:val="22"/>
          <w:szCs w:val="26"/>
        </w:rPr>
        <w:t xml:space="preserve">as reflected </w:t>
      </w:r>
      <w:r>
        <w:rPr>
          <w:sz w:val="22"/>
          <w:szCs w:val="26"/>
        </w:rPr>
        <w:t>in various technical reports.</w:t>
      </w:r>
    </w:p>
    <w:p w:rsidR="00B9050E" w:rsidRDefault="00DA7C8B" w:rsidP="00C43BF7">
      <w:pPr>
        <w:numPr>
          <w:ilvl w:val="0"/>
          <w:numId w:val="16"/>
        </w:numPr>
        <w:rPr>
          <w:sz w:val="22"/>
          <w:szCs w:val="26"/>
        </w:rPr>
      </w:pPr>
      <w:r>
        <w:rPr>
          <w:sz w:val="22"/>
          <w:szCs w:val="26"/>
        </w:rPr>
        <w:lastRenderedPageBreak/>
        <w:t xml:space="preserve">Various Hon’ble ATE rulings, CEA guidelines and CERC regulations </w:t>
      </w:r>
    </w:p>
    <w:p w:rsidR="0009422A" w:rsidRDefault="00C43BF7" w:rsidP="00C43BF7">
      <w:pPr>
        <w:rPr>
          <w:sz w:val="22"/>
          <w:szCs w:val="26"/>
        </w:rPr>
      </w:pPr>
      <w:r>
        <w:rPr>
          <w:sz w:val="22"/>
          <w:szCs w:val="26"/>
        </w:rPr>
        <w:t>It is also important to mention here that as per the report of CEA for technical standards for operations of the thermal plants (2004) the poor performance of the older units are due to various reasons attributable to basic design deficiencies, lack of appropriate R&amp;M, aging, coal quality</w:t>
      </w:r>
      <w:r w:rsidR="002F46B6">
        <w:rPr>
          <w:sz w:val="22"/>
          <w:szCs w:val="26"/>
        </w:rPr>
        <w:t>,</w:t>
      </w:r>
      <w:r>
        <w:rPr>
          <w:sz w:val="22"/>
          <w:szCs w:val="26"/>
        </w:rPr>
        <w:t xml:space="preserve"> deterioration etc, </w:t>
      </w:r>
    </w:p>
    <w:p w:rsidR="0009422A" w:rsidRDefault="0009422A" w:rsidP="007A78CB">
      <w:pPr>
        <w:spacing w:line="240" w:lineRule="auto"/>
        <w:rPr>
          <w:sz w:val="22"/>
          <w:szCs w:val="26"/>
        </w:rPr>
      </w:pPr>
    </w:p>
    <w:p w:rsidR="00C43BF7" w:rsidRDefault="00C43BF7" w:rsidP="00C43BF7">
      <w:pPr>
        <w:pStyle w:val="Heading6"/>
        <w:numPr>
          <w:ilvl w:val="0"/>
          <w:numId w:val="0"/>
        </w:numPr>
        <w:spacing w:before="0" w:after="0"/>
        <w:rPr>
          <w:u w:val="single"/>
        </w:rPr>
      </w:pPr>
      <w:r>
        <w:rPr>
          <w:u w:val="single"/>
        </w:rPr>
        <w:t xml:space="preserve">Auxiliary </w:t>
      </w:r>
      <w:r w:rsidR="009E2D19">
        <w:rPr>
          <w:u w:val="single"/>
        </w:rPr>
        <w:t>Power</w:t>
      </w:r>
      <w:r>
        <w:rPr>
          <w:u w:val="single"/>
        </w:rPr>
        <w:t xml:space="preserve"> Consumption</w:t>
      </w:r>
    </w:p>
    <w:p w:rsidR="00C43BF7" w:rsidRDefault="00C43BF7" w:rsidP="007A78CB">
      <w:pPr>
        <w:spacing w:line="240" w:lineRule="auto"/>
        <w:rPr>
          <w:bCs/>
          <w:iCs/>
          <w:sz w:val="22"/>
          <w:szCs w:val="26"/>
        </w:rPr>
      </w:pPr>
    </w:p>
    <w:p w:rsidR="001A73D0" w:rsidRDefault="00A26863" w:rsidP="00C43BF7">
      <w:pPr>
        <w:rPr>
          <w:bCs/>
          <w:iCs/>
          <w:sz w:val="22"/>
          <w:szCs w:val="26"/>
        </w:rPr>
      </w:pPr>
      <w:r>
        <w:rPr>
          <w:bCs/>
          <w:iCs/>
          <w:sz w:val="22"/>
          <w:szCs w:val="26"/>
        </w:rPr>
        <w:t>T</w:t>
      </w:r>
      <w:r w:rsidR="00C43BF7">
        <w:rPr>
          <w:bCs/>
          <w:iCs/>
          <w:sz w:val="22"/>
          <w:szCs w:val="26"/>
        </w:rPr>
        <w:t xml:space="preserve">he achieved parameter </w:t>
      </w:r>
      <w:r w:rsidR="00840400">
        <w:rPr>
          <w:bCs/>
          <w:iCs/>
          <w:sz w:val="22"/>
          <w:szCs w:val="26"/>
        </w:rPr>
        <w:t>of</w:t>
      </w:r>
      <w:r w:rsidR="00C43BF7">
        <w:rPr>
          <w:bCs/>
          <w:iCs/>
          <w:sz w:val="22"/>
          <w:szCs w:val="26"/>
        </w:rPr>
        <w:t xml:space="preserve"> the Auxiliary </w:t>
      </w:r>
      <w:r w:rsidR="007030DC">
        <w:rPr>
          <w:bCs/>
          <w:iCs/>
          <w:sz w:val="22"/>
          <w:szCs w:val="26"/>
        </w:rPr>
        <w:t>power C</w:t>
      </w:r>
      <w:r w:rsidR="00C43BF7">
        <w:rPr>
          <w:bCs/>
          <w:iCs/>
          <w:sz w:val="22"/>
          <w:szCs w:val="26"/>
        </w:rPr>
        <w:t>onsumptio</w:t>
      </w:r>
      <w:r w:rsidR="002F2FE1">
        <w:rPr>
          <w:bCs/>
          <w:iCs/>
          <w:sz w:val="22"/>
          <w:szCs w:val="26"/>
        </w:rPr>
        <w:t xml:space="preserve">n </w:t>
      </w:r>
      <w:r w:rsidR="00840400">
        <w:rPr>
          <w:bCs/>
          <w:iCs/>
          <w:sz w:val="22"/>
          <w:szCs w:val="26"/>
        </w:rPr>
        <w:t>by</w:t>
      </w:r>
      <w:r w:rsidR="002F2FE1">
        <w:rPr>
          <w:bCs/>
          <w:iCs/>
          <w:sz w:val="22"/>
          <w:szCs w:val="26"/>
        </w:rPr>
        <w:t xml:space="preserve"> </w:t>
      </w:r>
      <w:r>
        <w:rPr>
          <w:bCs/>
          <w:iCs/>
          <w:sz w:val="22"/>
          <w:szCs w:val="26"/>
        </w:rPr>
        <w:t xml:space="preserve">the </w:t>
      </w:r>
      <w:r w:rsidR="003C7BB2">
        <w:rPr>
          <w:bCs/>
          <w:iCs/>
          <w:sz w:val="22"/>
          <w:szCs w:val="26"/>
        </w:rPr>
        <w:t>stations of</w:t>
      </w:r>
      <w:r w:rsidR="002F2FE1">
        <w:rPr>
          <w:bCs/>
          <w:iCs/>
          <w:sz w:val="22"/>
          <w:szCs w:val="26"/>
        </w:rPr>
        <w:t xml:space="preserve"> IPGCL during</w:t>
      </w:r>
      <w:r w:rsidR="00C43BF7">
        <w:rPr>
          <w:bCs/>
          <w:iCs/>
          <w:sz w:val="22"/>
          <w:szCs w:val="26"/>
        </w:rPr>
        <w:t xml:space="preserve"> </w:t>
      </w:r>
      <w:r w:rsidR="00133FD8">
        <w:rPr>
          <w:bCs/>
          <w:iCs/>
          <w:sz w:val="22"/>
          <w:szCs w:val="26"/>
        </w:rPr>
        <w:t xml:space="preserve">the control period </w:t>
      </w:r>
      <w:r w:rsidR="00C43BF7">
        <w:rPr>
          <w:bCs/>
          <w:iCs/>
          <w:sz w:val="22"/>
          <w:szCs w:val="26"/>
        </w:rPr>
        <w:t>FY</w:t>
      </w:r>
      <w:r w:rsidR="003C7BB2">
        <w:rPr>
          <w:bCs/>
          <w:iCs/>
          <w:sz w:val="22"/>
          <w:szCs w:val="26"/>
        </w:rPr>
        <w:t xml:space="preserve"> </w:t>
      </w:r>
      <w:r w:rsidR="00CB16CF">
        <w:rPr>
          <w:bCs/>
          <w:iCs/>
          <w:sz w:val="22"/>
          <w:szCs w:val="26"/>
        </w:rPr>
        <w:t>2012-13 to 2014-15</w:t>
      </w:r>
      <w:r w:rsidR="003C7BB2">
        <w:rPr>
          <w:bCs/>
          <w:iCs/>
          <w:sz w:val="22"/>
          <w:szCs w:val="26"/>
        </w:rPr>
        <w:t xml:space="preserve"> estimated parameter for FY </w:t>
      </w:r>
      <w:r w:rsidR="00CB16CF">
        <w:rPr>
          <w:bCs/>
          <w:iCs/>
          <w:sz w:val="22"/>
          <w:szCs w:val="26"/>
        </w:rPr>
        <w:t>2015-16</w:t>
      </w:r>
      <w:r w:rsidR="003C7BB2">
        <w:rPr>
          <w:bCs/>
          <w:iCs/>
          <w:sz w:val="22"/>
          <w:szCs w:val="26"/>
        </w:rPr>
        <w:t xml:space="preserve"> </w:t>
      </w:r>
      <w:r>
        <w:rPr>
          <w:bCs/>
          <w:iCs/>
          <w:sz w:val="22"/>
          <w:szCs w:val="26"/>
        </w:rPr>
        <w:t xml:space="preserve">are summarized in the under mentioned table </w:t>
      </w:r>
      <w:r w:rsidR="006759E4">
        <w:rPr>
          <w:bCs/>
          <w:iCs/>
          <w:sz w:val="22"/>
          <w:szCs w:val="26"/>
        </w:rPr>
        <w:t>9</w:t>
      </w:r>
      <w:r w:rsidR="00C43BF7">
        <w:rPr>
          <w:bCs/>
          <w:iCs/>
          <w:sz w:val="22"/>
          <w:szCs w:val="26"/>
        </w:rPr>
        <w:t xml:space="preserve">.      </w:t>
      </w:r>
    </w:p>
    <w:p w:rsidR="00CD396E" w:rsidRPr="00CD396E" w:rsidRDefault="00CD396E" w:rsidP="007A78CB">
      <w:pPr>
        <w:spacing w:line="240" w:lineRule="auto"/>
      </w:pPr>
    </w:p>
    <w:p w:rsidR="00C43BF7" w:rsidRPr="00A343E3" w:rsidRDefault="001A73D0" w:rsidP="001A73D0">
      <w:pPr>
        <w:pStyle w:val="Caption"/>
        <w:jc w:val="center"/>
      </w:pPr>
      <w:bookmarkStart w:id="29" w:name="_Toc411603986"/>
      <w:r>
        <w:t xml:space="preserve">Table </w:t>
      </w:r>
      <w:fldSimple w:instr=" SEQ Table \* ARABIC ">
        <w:r w:rsidR="002326CE">
          <w:rPr>
            <w:noProof/>
          </w:rPr>
          <w:t>9</w:t>
        </w:r>
      </w:fldSimple>
      <w:r>
        <w:t xml:space="preserve"> : </w:t>
      </w:r>
      <w:bookmarkStart w:id="30" w:name="_Toc173941695"/>
      <w:bookmarkStart w:id="31" w:name="_Toc174434511"/>
      <w:r w:rsidR="00C43BF7" w:rsidRPr="00A343E3">
        <w:t xml:space="preserve">Auxiliary </w:t>
      </w:r>
      <w:r w:rsidR="007030DC" w:rsidRPr="00A343E3">
        <w:t xml:space="preserve">power </w:t>
      </w:r>
      <w:r w:rsidR="00C43BF7" w:rsidRPr="00A343E3">
        <w:t>Consumption (%) for IPGCL Stations</w:t>
      </w:r>
      <w:bookmarkEnd w:id="29"/>
      <w:bookmarkEnd w:id="30"/>
      <w:bookmarkEnd w:id="31"/>
    </w:p>
    <w:tbl>
      <w:tblPr>
        <w:tblW w:w="8678" w:type="dxa"/>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4"/>
        <w:gridCol w:w="1344"/>
        <w:gridCol w:w="1260"/>
        <w:gridCol w:w="1530"/>
        <w:gridCol w:w="2010"/>
      </w:tblGrid>
      <w:tr w:rsidR="001C21A3" w:rsidTr="00CB2D80">
        <w:trPr>
          <w:trHeight w:val="490"/>
          <w:jc w:val="center"/>
        </w:trPr>
        <w:tc>
          <w:tcPr>
            <w:tcW w:w="2534" w:type="dxa"/>
            <w:shd w:val="clear" w:color="auto" w:fill="000080"/>
            <w:noWrap/>
            <w:vAlign w:val="center"/>
          </w:tcPr>
          <w:p w:rsidR="001C21A3" w:rsidRDefault="001C21A3" w:rsidP="00B740DC">
            <w:pPr>
              <w:spacing w:line="240" w:lineRule="auto"/>
              <w:rPr>
                <w:b/>
                <w:bCs/>
                <w:sz w:val="20"/>
                <w:szCs w:val="20"/>
              </w:rPr>
            </w:pPr>
            <w:r>
              <w:rPr>
                <w:b/>
                <w:bCs/>
                <w:sz w:val="20"/>
                <w:szCs w:val="20"/>
              </w:rPr>
              <w:t>Description</w:t>
            </w:r>
          </w:p>
        </w:tc>
        <w:tc>
          <w:tcPr>
            <w:tcW w:w="1344" w:type="dxa"/>
            <w:shd w:val="clear" w:color="auto" w:fill="000080"/>
          </w:tcPr>
          <w:p w:rsidR="001C21A3" w:rsidRDefault="001C21A3" w:rsidP="00B740DC">
            <w:pPr>
              <w:jc w:val="center"/>
              <w:rPr>
                <w:b/>
                <w:bCs/>
                <w:sz w:val="20"/>
                <w:szCs w:val="20"/>
              </w:rPr>
            </w:pPr>
            <w:r>
              <w:rPr>
                <w:b/>
                <w:bCs/>
                <w:sz w:val="20"/>
                <w:szCs w:val="20"/>
              </w:rPr>
              <w:t>12-13</w:t>
            </w:r>
          </w:p>
        </w:tc>
        <w:tc>
          <w:tcPr>
            <w:tcW w:w="1260" w:type="dxa"/>
            <w:shd w:val="clear" w:color="auto" w:fill="000080"/>
          </w:tcPr>
          <w:p w:rsidR="001C21A3" w:rsidRDefault="001C21A3" w:rsidP="00B740DC">
            <w:pPr>
              <w:jc w:val="center"/>
              <w:rPr>
                <w:b/>
                <w:bCs/>
                <w:sz w:val="20"/>
                <w:szCs w:val="20"/>
              </w:rPr>
            </w:pPr>
            <w:r>
              <w:rPr>
                <w:b/>
                <w:bCs/>
                <w:sz w:val="20"/>
                <w:szCs w:val="20"/>
              </w:rPr>
              <w:t>13-14</w:t>
            </w:r>
          </w:p>
        </w:tc>
        <w:tc>
          <w:tcPr>
            <w:tcW w:w="1530" w:type="dxa"/>
            <w:shd w:val="clear" w:color="auto" w:fill="000080"/>
          </w:tcPr>
          <w:p w:rsidR="00AF273D" w:rsidRDefault="001C21A3" w:rsidP="00B740DC">
            <w:pPr>
              <w:jc w:val="center"/>
              <w:rPr>
                <w:b/>
                <w:bCs/>
                <w:sz w:val="20"/>
                <w:szCs w:val="20"/>
              </w:rPr>
            </w:pPr>
            <w:r>
              <w:rPr>
                <w:b/>
                <w:bCs/>
                <w:sz w:val="20"/>
                <w:szCs w:val="20"/>
              </w:rPr>
              <w:t>14-15</w:t>
            </w:r>
          </w:p>
          <w:p w:rsidR="001C21A3" w:rsidRDefault="00CB2D80" w:rsidP="00B740DC">
            <w:pPr>
              <w:jc w:val="center"/>
              <w:rPr>
                <w:b/>
                <w:bCs/>
                <w:sz w:val="20"/>
                <w:szCs w:val="20"/>
              </w:rPr>
            </w:pPr>
            <w:r>
              <w:rPr>
                <w:b/>
                <w:bCs/>
                <w:sz w:val="20"/>
                <w:szCs w:val="20"/>
              </w:rPr>
              <w:t>( up to Dec)</w:t>
            </w:r>
          </w:p>
        </w:tc>
        <w:tc>
          <w:tcPr>
            <w:tcW w:w="2010" w:type="dxa"/>
            <w:shd w:val="clear" w:color="auto" w:fill="000080"/>
          </w:tcPr>
          <w:p w:rsidR="00AF273D" w:rsidRDefault="001C21A3" w:rsidP="008C55DF">
            <w:pPr>
              <w:jc w:val="center"/>
              <w:rPr>
                <w:b/>
                <w:bCs/>
                <w:sz w:val="20"/>
                <w:szCs w:val="20"/>
              </w:rPr>
            </w:pPr>
            <w:r>
              <w:rPr>
                <w:b/>
                <w:bCs/>
                <w:sz w:val="20"/>
                <w:szCs w:val="20"/>
              </w:rPr>
              <w:t>15-16</w:t>
            </w:r>
          </w:p>
          <w:p w:rsidR="001C21A3" w:rsidRDefault="001C21A3" w:rsidP="008C55DF">
            <w:pPr>
              <w:jc w:val="center"/>
              <w:rPr>
                <w:b/>
                <w:bCs/>
                <w:sz w:val="20"/>
                <w:szCs w:val="20"/>
              </w:rPr>
            </w:pPr>
            <w:r>
              <w:rPr>
                <w:b/>
                <w:bCs/>
                <w:sz w:val="20"/>
                <w:szCs w:val="20"/>
              </w:rPr>
              <w:t>(E</w:t>
            </w:r>
            <w:r w:rsidR="008C55DF">
              <w:rPr>
                <w:b/>
                <w:bCs/>
                <w:sz w:val="20"/>
                <w:szCs w:val="20"/>
              </w:rPr>
              <w:t>stima</w:t>
            </w:r>
            <w:r>
              <w:rPr>
                <w:b/>
                <w:bCs/>
                <w:sz w:val="20"/>
                <w:szCs w:val="20"/>
              </w:rPr>
              <w:t>ted)</w:t>
            </w:r>
          </w:p>
        </w:tc>
      </w:tr>
      <w:tr w:rsidR="001C21A3" w:rsidRPr="00B914E3" w:rsidTr="008D047C">
        <w:trPr>
          <w:trHeight w:val="490"/>
          <w:jc w:val="center"/>
        </w:trPr>
        <w:tc>
          <w:tcPr>
            <w:tcW w:w="2534" w:type="dxa"/>
            <w:noWrap/>
            <w:vAlign w:val="center"/>
          </w:tcPr>
          <w:p w:rsidR="001C21A3" w:rsidRPr="00B914E3" w:rsidRDefault="001C21A3" w:rsidP="001A73D0">
            <w:pPr>
              <w:jc w:val="left"/>
              <w:rPr>
                <w:b/>
                <w:bCs/>
                <w:sz w:val="20"/>
                <w:szCs w:val="20"/>
              </w:rPr>
            </w:pPr>
            <w:r w:rsidRPr="00B914E3">
              <w:rPr>
                <w:b/>
                <w:bCs/>
                <w:sz w:val="20"/>
                <w:szCs w:val="20"/>
              </w:rPr>
              <w:t>Rajghat Power Station</w:t>
            </w:r>
          </w:p>
        </w:tc>
        <w:tc>
          <w:tcPr>
            <w:tcW w:w="1344" w:type="dxa"/>
            <w:vAlign w:val="center"/>
          </w:tcPr>
          <w:p w:rsidR="001C21A3" w:rsidRPr="0092181F" w:rsidRDefault="00C42E3D" w:rsidP="00FC724F">
            <w:pPr>
              <w:jc w:val="center"/>
              <w:rPr>
                <w:sz w:val="20"/>
                <w:szCs w:val="20"/>
              </w:rPr>
            </w:pPr>
            <w:r w:rsidRPr="0092181F">
              <w:rPr>
                <w:sz w:val="20"/>
                <w:szCs w:val="20"/>
              </w:rPr>
              <w:t>13.27</w:t>
            </w:r>
          </w:p>
        </w:tc>
        <w:tc>
          <w:tcPr>
            <w:tcW w:w="1260" w:type="dxa"/>
            <w:vAlign w:val="center"/>
          </w:tcPr>
          <w:p w:rsidR="001C21A3" w:rsidRPr="0092181F" w:rsidRDefault="001C21A3" w:rsidP="00FC724F">
            <w:pPr>
              <w:jc w:val="center"/>
              <w:rPr>
                <w:sz w:val="20"/>
                <w:szCs w:val="20"/>
              </w:rPr>
            </w:pPr>
            <w:r w:rsidRPr="0092181F">
              <w:rPr>
                <w:sz w:val="20"/>
                <w:szCs w:val="20"/>
              </w:rPr>
              <w:t>1</w:t>
            </w:r>
            <w:r w:rsidR="00C42E3D" w:rsidRPr="0092181F">
              <w:rPr>
                <w:sz w:val="20"/>
                <w:szCs w:val="20"/>
              </w:rPr>
              <w:t>5.16</w:t>
            </w:r>
          </w:p>
        </w:tc>
        <w:tc>
          <w:tcPr>
            <w:tcW w:w="1530" w:type="dxa"/>
            <w:vAlign w:val="center"/>
          </w:tcPr>
          <w:p w:rsidR="001C21A3" w:rsidRPr="0092181F" w:rsidRDefault="001C21A3" w:rsidP="00FC724F">
            <w:pPr>
              <w:jc w:val="center"/>
              <w:rPr>
                <w:sz w:val="20"/>
                <w:szCs w:val="20"/>
              </w:rPr>
            </w:pPr>
            <w:r w:rsidRPr="0092181F">
              <w:rPr>
                <w:sz w:val="20"/>
                <w:szCs w:val="20"/>
              </w:rPr>
              <w:t>15</w:t>
            </w:r>
            <w:r w:rsidR="00C42E3D" w:rsidRPr="0092181F">
              <w:rPr>
                <w:sz w:val="20"/>
                <w:szCs w:val="20"/>
              </w:rPr>
              <w:t>.</w:t>
            </w:r>
            <w:r w:rsidRPr="0092181F">
              <w:rPr>
                <w:sz w:val="20"/>
                <w:szCs w:val="20"/>
              </w:rPr>
              <w:t>0</w:t>
            </w:r>
            <w:r w:rsidR="00C42E3D" w:rsidRPr="0092181F">
              <w:rPr>
                <w:sz w:val="20"/>
                <w:szCs w:val="20"/>
              </w:rPr>
              <w:t>2</w:t>
            </w:r>
          </w:p>
        </w:tc>
        <w:tc>
          <w:tcPr>
            <w:tcW w:w="2010" w:type="dxa"/>
            <w:vAlign w:val="center"/>
          </w:tcPr>
          <w:p w:rsidR="001C21A3" w:rsidRPr="0092181F" w:rsidRDefault="00CB2D80" w:rsidP="00FC724F">
            <w:pPr>
              <w:jc w:val="center"/>
              <w:rPr>
                <w:sz w:val="20"/>
                <w:szCs w:val="20"/>
              </w:rPr>
            </w:pPr>
            <w:r w:rsidRPr="0092181F">
              <w:rPr>
                <w:sz w:val="20"/>
                <w:szCs w:val="20"/>
              </w:rPr>
              <w:t>12</w:t>
            </w:r>
            <w:r w:rsidR="00CD396E" w:rsidRPr="0092181F">
              <w:rPr>
                <w:sz w:val="20"/>
                <w:szCs w:val="20"/>
              </w:rPr>
              <w:t>.50</w:t>
            </w:r>
          </w:p>
        </w:tc>
      </w:tr>
      <w:tr w:rsidR="001C21A3" w:rsidTr="008D047C">
        <w:trPr>
          <w:trHeight w:val="490"/>
          <w:jc w:val="center"/>
        </w:trPr>
        <w:tc>
          <w:tcPr>
            <w:tcW w:w="2534" w:type="dxa"/>
            <w:noWrap/>
            <w:vAlign w:val="center"/>
          </w:tcPr>
          <w:p w:rsidR="001C21A3" w:rsidRDefault="001C21A3" w:rsidP="001A73D0">
            <w:pPr>
              <w:jc w:val="left"/>
              <w:rPr>
                <w:b/>
                <w:bCs/>
                <w:sz w:val="20"/>
                <w:szCs w:val="20"/>
              </w:rPr>
            </w:pPr>
            <w:r>
              <w:rPr>
                <w:b/>
                <w:bCs/>
                <w:sz w:val="20"/>
                <w:szCs w:val="20"/>
              </w:rPr>
              <w:t>GT Power Station</w:t>
            </w:r>
          </w:p>
        </w:tc>
        <w:tc>
          <w:tcPr>
            <w:tcW w:w="1344" w:type="dxa"/>
            <w:vAlign w:val="center"/>
          </w:tcPr>
          <w:p w:rsidR="001C21A3" w:rsidRPr="0092181F" w:rsidRDefault="001C21A3" w:rsidP="00FC724F">
            <w:pPr>
              <w:jc w:val="center"/>
              <w:rPr>
                <w:rFonts w:ascii="Arial" w:hAnsi="Arial" w:cs="Arial"/>
                <w:sz w:val="20"/>
                <w:szCs w:val="20"/>
              </w:rPr>
            </w:pPr>
            <w:r w:rsidRPr="0092181F">
              <w:rPr>
                <w:rFonts w:ascii="Arial" w:hAnsi="Arial" w:cs="Arial"/>
                <w:sz w:val="20"/>
                <w:szCs w:val="20"/>
              </w:rPr>
              <w:t>3.0</w:t>
            </w:r>
            <w:r w:rsidR="00C42E3D" w:rsidRPr="0092181F">
              <w:rPr>
                <w:rFonts w:ascii="Arial" w:hAnsi="Arial" w:cs="Arial"/>
                <w:sz w:val="20"/>
                <w:szCs w:val="20"/>
              </w:rPr>
              <w:t>1</w:t>
            </w:r>
          </w:p>
        </w:tc>
        <w:tc>
          <w:tcPr>
            <w:tcW w:w="1260" w:type="dxa"/>
            <w:vAlign w:val="center"/>
          </w:tcPr>
          <w:p w:rsidR="001C21A3" w:rsidRPr="0092181F" w:rsidRDefault="001C21A3" w:rsidP="00FC724F">
            <w:pPr>
              <w:jc w:val="center"/>
              <w:rPr>
                <w:rFonts w:ascii="Arial" w:hAnsi="Arial" w:cs="Arial"/>
                <w:sz w:val="20"/>
                <w:szCs w:val="20"/>
              </w:rPr>
            </w:pPr>
            <w:r w:rsidRPr="0092181F">
              <w:rPr>
                <w:rFonts w:ascii="Arial" w:hAnsi="Arial" w:cs="Arial"/>
                <w:sz w:val="20"/>
                <w:szCs w:val="20"/>
              </w:rPr>
              <w:t>3.28</w:t>
            </w:r>
          </w:p>
        </w:tc>
        <w:tc>
          <w:tcPr>
            <w:tcW w:w="1530" w:type="dxa"/>
            <w:vAlign w:val="center"/>
          </w:tcPr>
          <w:p w:rsidR="001C21A3" w:rsidRPr="0092181F" w:rsidRDefault="00C42E3D" w:rsidP="00FC724F">
            <w:pPr>
              <w:jc w:val="center"/>
              <w:rPr>
                <w:rFonts w:ascii="Arial" w:hAnsi="Arial" w:cs="Arial"/>
                <w:sz w:val="20"/>
                <w:szCs w:val="20"/>
              </w:rPr>
            </w:pPr>
            <w:r w:rsidRPr="0092181F">
              <w:rPr>
                <w:rFonts w:ascii="Arial" w:hAnsi="Arial" w:cs="Arial"/>
                <w:sz w:val="20"/>
                <w:szCs w:val="20"/>
              </w:rPr>
              <w:t>3.59</w:t>
            </w:r>
          </w:p>
        </w:tc>
        <w:tc>
          <w:tcPr>
            <w:tcW w:w="2010" w:type="dxa"/>
            <w:vAlign w:val="center"/>
          </w:tcPr>
          <w:p w:rsidR="00CB2D80" w:rsidRPr="0092181F" w:rsidRDefault="00CB2D80" w:rsidP="00FC724F">
            <w:pPr>
              <w:jc w:val="center"/>
              <w:rPr>
                <w:sz w:val="20"/>
                <w:szCs w:val="20"/>
              </w:rPr>
            </w:pPr>
            <w:r w:rsidRPr="0092181F">
              <w:rPr>
                <w:sz w:val="20"/>
                <w:szCs w:val="20"/>
              </w:rPr>
              <w:t>3</w:t>
            </w:r>
            <w:r w:rsidR="00CD396E" w:rsidRPr="0092181F">
              <w:rPr>
                <w:sz w:val="20"/>
                <w:szCs w:val="20"/>
              </w:rPr>
              <w:t>.</w:t>
            </w:r>
            <w:r w:rsidR="008D047C" w:rsidRPr="0092181F">
              <w:rPr>
                <w:sz w:val="20"/>
                <w:szCs w:val="20"/>
              </w:rPr>
              <w:t>59</w:t>
            </w:r>
          </w:p>
        </w:tc>
      </w:tr>
    </w:tbl>
    <w:p w:rsidR="006E3E13" w:rsidRDefault="006E3E13" w:rsidP="00547BED">
      <w:pPr>
        <w:rPr>
          <w:sz w:val="12"/>
          <w:szCs w:val="22"/>
        </w:rPr>
      </w:pPr>
    </w:p>
    <w:p w:rsidR="006E3E13" w:rsidRPr="00B43032" w:rsidRDefault="006E3E13" w:rsidP="00547BED">
      <w:pPr>
        <w:rPr>
          <w:sz w:val="12"/>
          <w:szCs w:val="22"/>
        </w:rPr>
      </w:pPr>
    </w:p>
    <w:p w:rsidR="00024067" w:rsidRPr="003C0651" w:rsidRDefault="00024067" w:rsidP="00547BED">
      <w:pPr>
        <w:rPr>
          <w:b/>
          <w:bCs/>
          <w:sz w:val="22"/>
          <w:szCs w:val="22"/>
        </w:rPr>
      </w:pPr>
      <w:r w:rsidRPr="003C0651">
        <w:rPr>
          <w:b/>
          <w:bCs/>
          <w:sz w:val="22"/>
          <w:szCs w:val="22"/>
        </w:rPr>
        <w:t>Rajghat Power House</w:t>
      </w:r>
    </w:p>
    <w:p w:rsidR="00C6351A" w:rsidRDefault="00A142A1" w:rsidP="00C6351A">
      <w:pPr>
        <w:tabs>
          <w:tab w:val="num" w:pos="1440"/>
        </w:tabs>
        <w:spacing w:before="240"/>
        <w:rPr>
          <w:bCs/>
          <w:sz w:val="22"/>
          <w:szCs w:val="22"/>
        </w:rPr>
      </w:pPr>
      <w:r>
        <w:t>It is submitted that the Hon’ble Co</w:t>
      </w:r>
      <w:r w:rsidR="00136E9C">
        <w:t xml:space="preserve">mmission has fixed the norm of </w:t>
      </w:r>
      <w:r>
        <w:t xml:space="preserve">11.28%  for the auxiliary power consumption  of  the station during the current MYT control period a well as in the next control period. </w:t>
      </w:r>
      <w:r w:rsidR="00C6351A">
        <w:rPr>
          <w:bCs/>
          <w:sz w:val="22"/>
          <w:szCs w:val="22"/>
        </w:rPr>
        <w:t>The A</w:t>
      </w:r>
      <w:r w:rsidR="00C6351A" w:rsidRPr="00024067">
        <w:rPr>
          <w:bCs/>
          <w:sz w:val="22"/>
          <w:szCs w:val="22"/>
        </w:rPr>
        <w:t xml:space="preserve">uxiliary </w:t>
      </w:r>
      <w:r w:rsidR="00C6351A">
        <w:rPr>
          <w:bCs/>
          <w:sz w:val="22"/>
          <w:szCs w:val="22"/>
        </w:rPr>
        <w:t xml:space="preserve">Power </w:t>
      </w:r>
      <w:r w:rsidR="00C6351A" w:rsidRPr="00024067">
        <w:rPr>
          <w:bCs/>
          <w:sz w:val="22"/>
          <w:szCs w:val="22"/>
        </w:rPr>
        <w:t>Consumption</w:t>
      </w:r>
      <w:r w:rsidR="00C6351A">
        <w:rPr>
          <w:bCs/>
          <w:sz w:val="22"/>
          <w:szCs w:val="22"/>
        </w:rPr>
        <w:t xml:space="preserve"> </w:t>
      </w:r>
      <w:r w:rsidR="00C6351A" w:rsidRPr="00024067">
        <w:rPr>
          <w:bCs/>
          <w:sz w:val="22"/>
          <w:szCs w:val="22"/>
        </w:rPr>
        <w:t>achieved</w:t>
      </w:r>
      <w:r w:rsidR="00C6351A">
        <w:rPr>
          <w:bCs/>
          <w:sz w:val="22"/>
          <w:szCs w:val="22"/>
        </w:rPr>
        <w:t xml:space="preserve"> by the Station during the</w:t>
      </w:r>
      <w:r w:rsidR="00C6351A">
        <w:rPr>
          <w:bCs/>
          <w:iCs/>
          <w:sz w:val="22"/>
          <w:szCs w:val="26"/>
        </w:rPr>
        <w:t xml:space="preserve"> control period FY </w:t>
      </w:r>
      <w:r w:rsidR="00BC49C7">
        <w:rPr>
          <w:bCs/>
          <w:iCs/>
          <w:sz w:val="22"/>
          <w:szCs w:val="26"/>
        </w:rPr>
        <w:t>2012-13 to 2014-15</w:t>
      </w:r>
      <w:r w:rsidR="00C6351A">
        <w:rPr>
          <w:bCs/>
          <w:iCs/>
          <w:sz w:val="22"/>
          <w:szCs w:val="26"/>
        </w:rPr>
        <w:t xml:space="preserve">  are summarized in under mentioned table 1</w:t>
      </w:r>
      <w:r w:rsidR="00BC49C7">
        <w:rPr>
          <w:bCs/>
          <w:iCs/>
          <w:sz w:val="22"/>
          <w:szCs w:val="26"/>
        </w:rPr>
        <w:t>0</w:t>
      </w:r>
      <w:r w:rsidR="00C6351A">
        <w:rPr>
          <w:bCs/>
          <w:sz w:val="22"/>
          <w:szCs w:val="22"/>
        </w:rPr>
        <w:t>.</w:t>
      </w:r>
      <w:r w:rsidR="00C6351A" w:rsidRPr="00024067">
        <w:rPr>
          <w:bCs/>
          <w:sz w:val="22"/>
          <w:szCs w:val="22"/>
        </w:rPr>
        <w:t xml:space="preserve">  </w:t>
      </w:r>
    </w:p>
    <w:p w:rsidR="007537A6" w:rsidRPr="00AB6B16" w:rsidRDefault="007537A6" w:rsidP="00AB6B16">
      <w:pPr>
        <w:pStyle w:val="Caption"/>
        <w:jc w:val="center"/>
      </w:pPr>
      <w:bookmarkStart w:id="32" w:name="_Toc411603987"/>
      <w:r w:rsidRPr="00AB6B16">
        <w:t xml:space="preserve">Table </w:t>
      </w:r>
      <w:fldSimple w:instr=" SEQ Table \* ARABIC ">
        <w:r w:rsidR="002326CE">
          <w:rPr>
            <w:noProof/>
          </w:rPr>
          <w:t>10</w:t>
        </w:r>
      </w:fldSimple>
      <w:r w:rsidRPr="00AB6B16">
        <w:t xml:space="preserve"> </w:t>
      </w:r>
      <w:r w:rsidRPr="00CD396E">
        <w:rPr>
          <w:color w:val="00B0F0"/>
        </w:rPr>
        <w:t xml:space="preserve">: </w:t>
      </w:r>
      <w:r w:rsidRPr="0092181F">
        <w:t>Auxiliary Power Consumption of Rajghat Power House</w:t>
      </w:r>
      <w:bookmarkEnd w:id="32"/>
    </w:p>
    <w:tbl>
      <w:tblPr>
        <w:tblW w:w="89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530"/>
        <w:gridCol w:w="1350"/>
        <w:gridCol w:w="1620"/>
        <w:gridCol w:w="2076"/>
      </w:tblGrid>
      <w:tr w:rsidR="00135135" w:rsidRPr="00024067" w:rsidTr="00135135">
        <w:trPr>
          <w:trHeight w:val="326"/>
        </w:trPr>
        <w:tc>
          <w:tcPr>
            <w:tcW w:w="2340" w:type="dxa"/>
            <w:shd w:val="solid" w:color="000080" w:fill="auto"/>
          </w:tcPr>
          <w:p w:rsidR="00135135" w:rsidRPr="00024067" w:rsidRDefault="00135135" w:rsidP="009A1201">
            <w:pPr>
              <w:jc w:val="center"/>
              <w:rPr>
                <w:sz w:val="22"/>
                <w:szCs w:val="22"/>
              </w:rPr>
            </w:pPr>
          </w:p>
        </w:tc>
        <w:tc>
          <w:tcPr>
            <w:tcW w:w="1530" w:type="dxa"/>
            <w:shd w:val="solid" w:color="000080" w:fill="auto"/>
          </w:tcPr>
          <w:p w:rsidR="00135135" w:rsidRDefault="00135135" w:rsidP="00117796">
            <w:pPr>
              <w:jc w:val="center"/>
              <w:rPr>
                <w:sz w:val="22"/>
                <w:szCs w:val="22"/>
              </w:rPr>
            </w:pPr>
            <w:r>
              <w:rPr>
                <w:sz w:val="22"/>
                <w:szCs w:val="22"/>
              </w:rPr>
              <w:t>12-13</w:t>
            </w:r>
          </w:p>
        </w:tc>
        <w:tc>
          <w:tcPr>
            <w:tcW w:w="1350" w:type="dxa"/>
            <w:shd w:val="solid" w:color="000080" w:fill="auto"/>
          </w:tcPr>
          <w:p w:rsidR="00135135" w:rsidRDefault="00135135" w:rsidP="00117796">
            <w:pPr>
              <w:jc w:val="center"/>
              <w:rPr>
                <w:sz w:val="22"/>
                <w:szCs w:val="22"/>
              </w:rPr>
            </w:pPr>
            <w:r>
              <w:rPr>
                <w:sz w:val="22"/>
                <w:szCs w:val="22"/>
              </w:rPr>
              <w:t>13-14</w:t>
            </w:r>
          </w:p>
        </w:tc>
        <w:tc>
          <w:tcPr>
            <w:tcW w:w="1620" w:type="dxa"/>
            <w:shd w:val="solid" w:color="000080" w:fill="auto"/>
          </w:tcPr>
          <w:p w:rsidR="00135135" w:rsidRDefault="00135135" w:rsidP="00117796">
            <w:pPr>
              <w:jc w:val="center"/>
              <w:rPr>
                <w:sz w:val="22"/>
                <w:szCs w:val="22"/>
              </w:rPr>
            </w:pPr>
            <w:r>
              <w:rPr>
                <w:sz w:val="22"/>
                <w:szCs w:val="22"/>
              </w:rPr>
              <w:t>14-15</w:t>
            </w:r>
            <w:r w:rsidR="00CD396E">
              <w:rPr>
                <w:sz w:val="22"/>
                <w:szCs w:val="22"/>
              </w:rPr>
              <w:t>(up to Dec)</w:t>
            </w:r>
          </w:p>
        </w:tc>
        <w:tc>
          <w:tcPr>
            <w:tcW w:w="2076" w:type="dxa"/>
            <w:shd w:val="solid" w:color="000080" w:fill="auto"/>
          </w:tcPr>
          <w:p w:rsidR="00AF273D" w:rsidRDefault="00135135" w:rsidP="00135135">
            <w:pPr>
              <w:jc w:val="center"/>
              <w:rPr>
                <w:sz w:val="22"/>
                <w:szCs w:val="22"/>
              </w:rPr>
            </w:pPr>
            <w:r>
              <w:rPr>
                <w:sz w:val="22"/>
                <w:szCs w:val="22"/>
              </w:rPr>
              <w:t>15-16</w:t>
            </w:r>
          </w:p>
          <w:p w:rsidR="00135135" w:rsidRDefault="00CD396E" w:rsidP="00135135">
            <w:pPr>
              <w:jc w:val="center"/>
              <w:rPr>
                <w:sz w:val="22"/>
                <w:szCs w:val="22"/>
              </w:rPr>
            </w:pPr>
            <w:r>
              <w:rPr>
                <w:sz w:val="22"/>
                <w:szCs w:val="22"/>
              </w:rPr>
              <w:t>(Estimated)</w:t>
            </w:r>
          </w:p>
        </w:tc>
      </w:tr>
      <w:tr w:rsidR="00135135" w:rsidRPr="00024067" w:rsidTr="00135135">
        <w:trPr>
          <w:trHeight w:val="651"/>
        </w:trPr>
        <w:tc>
          <w:tcPr>
            <w:tcW w:w="2340" w:type="dxa"/>
            <w:vAlign w:val="center"/>
          </w:tcPr>
          <w:p w:rsidR="00135135" w:rsidRPr="0031069F" w:rsidRDefault="00135135" w:rsidP="00CF358F">
            <w:pPr>
              <w:spacing w:line="240" w:lineRule="auto"/>
              <w:ind w:left="-108" w:right="-108"/>
              <w:jc w:val="center"/>
              <w:rPr>
                <w:sz w:val="21"/>
                <w:szCs w:val="21"/>
              </w:rPr>
            </w:pPr>
            <w:r w:rsidRPr="0031069F">
              <w:rPr>
                <w:sz w:val="21"/>
                <w:szCs w:val="21"/>
              </w:rPr>
              <w:t>Auxiliary Power Consumption</w:t>
            </w:r>
          </w:p>
          <w:p w:rsidR="00135135" w:rsidRPr="00024067" w:rsidRDefault="00135135" w:rsidP="00CF358F">
            <w:pPr>
              <w:spacing w:line="240" w:lineRule="auto"/>
              <w:jc w:val="center"/>
              <w:rPr>
                <w:sz w:val="22"/>
                <w:szCs w:val="22"/>
              </w:rPr>
            </w:pPr>
            <w:r w:rsidRPr="00024067">
              <w:rPr>
                <w:sz w:val="22"/>
                <w:szCs w:val="22"/>
              </w:rPr>
              <w:t>(%)</w:t>
            </w:r>
          </w:p>
        </w:tc>
        <w:tc>
          <w:tcPr>
            <w:tcW w:w="1530" w:type="dxa"/>
            <w:vAlign w:val="center"/>
          </w:tcPr>
          <w:p w:rsidR="00135135" w:rsidRPr="0092181F" w:rsidRDefault="00135135" w:rsidP="00FC724F">
            <w:pPr>
              <w:ind w:left="-108" w:right="-108"/>
              <w:jc w:val="center"/>
              <w:rPr>
                <w:sz w:val="22"/>
                <w:szCs w:val="22"/>
              </w:rPr>
            </w:pPr>
            <w:r w:rsidRPr="0092181F">
              <w:rPr>
                <w:sz w:val="22"/>
                <w:szCs w:val="22"/>
              </w:rPr>
              <w:t>1</w:t>
            </w:r>
            <w:r w:rsidR="00C42E3D" w:rsidRPr="0092181F">
              <w:rPr>
                <w:sz w:val="22"/>
                <w:szCs w:val="22"/>
              </w:rPr>
              <w:t>3.27</w:t>
            </w:r>
          </w:p>
        </w:tc>
        <w:tc>
          <w:tcPr>
            <w:tcW w:w="1350" w:type="dxa"/>
            <w:vAlign w:val="center"/>
          </w:tcPr>
          <w:p w:rsidR="00135135" w:rsidRPr="0092181F" w:rsidRDefault="00C42E3D" w:rsidP="00FC724F">
            <w:pPr>
              <w:ind w:right="-108"/>
              <w:rPr>
                <w:sz w:val="22"/>
                <w:szCs w:val="22"/>
              </w:rPr>
            </w:pPr>
            <w:r w:rsidRPr="0092181F">
              <w:rPr>
                <w:sz w:val="22"/>
                <w:szCs w:val="22"/>
              </w:rPr>
              <w:t>1</w:t>
            </w:r>
            <w:r w:rsidR="00135135" w:rsidRPr="0092181F">
              <w:rPr>
                <w:sz w:val="22"/>
                <w:szCs w:val="22"/>
              </w:rPr>
              <w:t>5</w:t>
            </w:r>
            <w:r w:rsidRPr="0092181F">
              <w:rPr>
                <w:sz w:val="22"/>
                <w:szCs w:val="22"/>
              </w:rPr>
              <w:t>.16</w:t>
            </w:r>
          </w:p>
        </w:tc>
        <w:tc>
          <w:tcPr>
            <w:tcW w:w="1620" w:type="dxa"/>
            <w:vAlign w:val="center"/>
          </w:tcPr>
          <w:p w:rsidR="00135135" w:rsidRPr="0092181F" w:rsidRDefault="00C42E3D" w:rsidP="00FC724F">
            <w:pPr>
              <w:ind w:left="-108" w:right="-108"/>
              <w:jc w:val="center"/>
              <w:rPr>
                <w:sz w:val="22"/>
                <w:szCs w:val="22"/>
              </w:rPr>
            </w:pPr>
            <w:r w:rsidRPr="0092181F">
              <w:rPr>
                <w:sz w:val="22"/>
                <w:szCs w:val="22"/>
              </w:rPr>
              <w:t>15.02</w:t>
            </w:r>
          </w:p>
        </w:tc>
        <w:tc>
          <w:tcPr>
            <w:tcW w:w="2076" w:type="dxa"/>
            <w:vAlign w:val="center"/>
          </w:tcPr>
          <w:p w:rsidR="00135135" w:rsidRPr="0092181F" w:rsidRDefault="00135135" w:rsidP="00FC724F">
            <w:pPr>
              <w:ind w:left="-108" w:right="-108"/>
              <w:jc w:val="center"/>
              <w:rPr>
                <w:sz w:val="22"/>
                <w:szCs w:val="22"/>
              </w:rPr>
            </w:pPr>
            <w:r w:rsidRPr="0092181F">
              <w:rPr>
                <w:sz w:val="22"/>
                <w:szCs w:val="22"/>
              </w:rPr>
              <w:t>12.</w:t>
            </w:r>
            <w:r w:rsidR="00CD396E" w:rsidRPr="0092181F">
              <w:rPr>
                <w:sz w:val="22"/>
                <w:szCs w:val="22"/>
              </w:rPr>
              <w:t>5</w:t>
            </w:r>
            <w:r w:rsidRPr="0092181F">
              <w:rPr>
                <w:sz w:val="22"/>
                <w:szCs w:val="22"/>
              </w:rPr>
              <w:t>0</w:t>
            </w:r>
          </w:p>
        </w:tc>
      </w:tr>
    </w:tbl>
    <w:p w:rsidR="00C6351A" w:rsidRDefault="00226B34" w:rsidP="00024067">
      <w:pPr>
        <w:spacing w:before="240"/>
        <w:rPr>
          <w:bCs/>
          <w:sz w:val="22"/>
          <w:szCs w:val="22"/>
        </w:rPr>
      </w:pPr>
      <w:r>
        <w:rPr>
          <w:bCs/>
          <w:sz w:val="22"/>
          <w:szCs w:val="22"/>
        </w:rPr>
        <w:t xml:space="preserve">It is submitted that APC level has been fixed at </w:t>
      </w:r>
      <w:r w:rsidR="005F6BB7">
        <w:rPr>
          <w:bCs/>
          <w:sz w:val="22"/>
          <w:szCs w:val="22"/>
        </w:rPr>
        <w:t>11.28</w:t>
      </w:r>
      <w:r w:rsidR="00D57076">
        <w:rPr>
          <w:bCs/>
          <w:sz w:val="22"/>
          <w:szCs w:val="22"/>
        </w:rPr>
        <w:t>% which</w:t>
      </w:r>
      <w:r w:rsidR="005F6BB7">
        <w:rPr>
          <w:bCs/>
          <w:sz w:val="22"/>
          <w:szCs w:val="22"/>
        </w:rPr>
        <w:t xml:space="preserve"> is much </w:t>
      </w:r>
      <w:r w:rsidR="00D57076">
        <w:rPr>
          <w:bCs/>
          <w:sz w:val="22"/>
          <w:szCs w:val="22"/>
        </w:rPr>
        <w:t>below what</w:t>
      </w:r>
      <w:r>
        <w:rPr>
          <w:bCs/>
          <w:sz w:val="22"/>
          <w:szCs w:val="22"/>
        </w:rPr>
        <w:t xml:space="preserve"> can be practically achieved by the Station. </w:t>
      </w:r>
    </w:p>
    <w:p w:rsidR="00D6567D" w:rsidRPr="00790F39" w:rsidRDefault="00024067" w:rsidP="00024067">
      <w:pPr>
        <w:spacing w:before="240"/>
        <w:rPr>
          <w:b/>
          <w:bCs/>
          <w:sz w:val="22"/>
          <w:szCs w:val="22"/>
        </w:rPr>
      </w:pPr>
      <w:r w:rsidRPr="00790F39">
        <w:rPr>
          <w:b/>
          <w:bCs/>
          <w:sz w:val="22"/>
          <w:szCs w:val="22"/>
        </w:rPr>
        <w:lastRenderedPageBreak/>
        <w:t xml:space="preserve">The CEA in its Report dated December, 2004 on ‘Technical Standard on Operation Norms for Coal/Lignite fired Thermal Power Station’ had recommended Auxiliary Power Consumption of 12% for smaller size units with cooling tower. The Rajghat Power House station having two units </w:t>
      </w:r>
      <w:r w:rsidR="00BF1420" w:rsidRPr="00790F39">
        <w:rPr>
          <w:b/>
          <w:bCs/>
          <w:sz w:val="22"/>
          <w:szCs w:val="22"/>
        </w:rPr>
        <w:t xml:space="preserve">each </w:t>
      </w:r>
      <w:r w:rsidRPr="00790F39">
        <w:rPr>
          <w:b/>
          <w:bCs/>
          <w:sz w:val="22"/>
          <w:szCs w:val="22"/>
        </w:rPr>
        <w:t>of 67.5 MW with cooling towers was commissioned in the year 1989-90.</w:t>
      </w:r>
    </w:p>
    <w:p w:rsidR="003737F0" w:rsidRPr="00024067" w:rsidRDefault="00024067" w:rsidP="00487139">
      <w:pPr>
        <w:spacing w:before="240"/>
        <w:rPr>
          <w:color w:val="000000"/>
          <w:sz w:val="22"/>
          <w:szCs w:val="22"/>
        </w:rPr>
      </w:pPr>
      <w:r w:rsidRPr="00024067">
        <w:rPr>
          <w:color w:val="000000"/>
          <w:sz w:val="22"/>
          <w:szCs w:val="22"/>
        </w:rPr>
        <w:t xml:space="preserve">It is </w:t>
      </w:r>
      <w:r w:rsidR="00D6567D">
        <w:rPr>
          <w:color w:val="000000"/>
          <w:sz w:val="22"/>
          <w:szCs w:val="22"/>
        </w:rPr>
        <w:t xml:space="preserve">further </w:t>
      </w:r>
      <w:r w:rsidRPr="00024067">
        <w:rPr>
          <w:color w:val="000000"/>
          <w:sz w:val="22"/>
          <w:szCs w:val="22"/>
        </w:rPr>
        <w:t xml:space="preserve">pertinent to mention that </w:t>
      </w:r>
      <w:r w:rsidRPr="00790F39">
        <w:rPr>
          <w:b/>
          <w:bCs/>
          <w:color w:val="000000"/>
          <w:sz w:val="22"/>
          <w:szCs w:val="22"/>
        </w:rPr>
        <w:t>Central Electricity Regulatory Commission (Terms and Conditions of Tariff) Regulations, 2009 for the period FY 2009-</w:t>
      </w:r>
      <w:smartTag w:uri="urn:schemas-microsoft-com:office:smarttags" w:element="metricconverter">
        <w:smartTagPr>
          <w:attr w:name="ProductID" w:val="14 in"/>
        </w:smartTagPr>
        <w:r w:rsidRPr="00790F39">
          <w:rPr>
            <w:b/>
            <w:bCs/>
            <w:color w:val="000000"/>
            <w:sz w:val="22"/>
            <w:szCs w:val="22"/>
          </w:rPr>
          <w:t>14 in</w:t>
        </w:r>
      </w:smartTag>
      <w:r w:rsidRPr="00790F39">
        <w:rPr>
          <w:b/>
          <w:bCs/>
          <w:color w:val="000000"/>
          <w:sz w:val="22"/>
          <w:szCs w:val="22"/>
        </w:rPr>
        <w:t xml:space="preserve"> the regulation 26 (iv) (b) has approved an auxiliary consumption of 12% for Tanda Thermal Power Station having four units of 110 MW each.</w:t>
      </w:r>
      <w:r w:rsidR="006268C3">
        <w:rPr>
          <w:b/>
          <w:bCs/>
          <w:color w:val="000000"/>
          <w:sz w:val="22"/>
          <w:szCs w:val="22"/>
        </w:rPr>
        <w:t xml:space="preserve">  Further,</w:t>
      </w:r>
      <w:r w:rsidR="006268C3" w:rsidRPr="006268C3">
        <w:rPr>
          <w:b/>
          <w:bCs/>
          <w:color w:val="000000"/>
          <w:sz w:val="22"/>
          <w:szCs w:val="22"/>
        </w:rPr>
        <w:t xml:space="preserve"> </w:t>
      </w:r>
      <w:r w:rsidR="006268C3" w:rsidRPr="00790F39">
        <w:rPr>
          <w:b/>
          <w:bCs/>
          <w:color w:val="000000"/>
          <w:sz w:val="22"/>
          <w:szCs w:val="22"/>
        </w:rPr>
        <w:t>Central Electricity Regulatory Commission (Terms and Conditions of Tariff) Regulations, 20</w:t>
      </w:r>
      <w:r w:rsidR="006268C3">
        <w:rPr>
          <w:b/>
          <w:bCs/>
          <w:color w:val="000000"/>
          <w:sz w:val="22"/>
          <w:szCs w:val="22"/>
        </w:rPr>
        <w:t>14</w:t>
      </w:r>
      <w:r w:rsidR="006268C3" w:rsidRPr="00790F39">
        <w:rPr>
          <w:b/>
          <w:bCs/>
          <w:color w:val="000000"/>
          <w:sz w:val="22"/>
          <w:szCs w:val="22"/>
        </w:rPr>
        <w:t xml:space="preserve"> for the </w:t>
      </w:r>
      <w:r w:rsidR="006268C3">
        <w:rPr>
          <w:b/>
          <w:bCs/>
          <w:color w:val="000000"/>
          <w:sz w:val="22"/>
          <w:szCs w:val="22"/>
        </w:rPr>
        <w:t>period FY 201</w:t>
      </w:r>
      <w:r w:rsidR="006268C3" w:rsidRPr="00790F39">
        <w:rPr>
          <w:b/>
          <w:bCs/>
          <w:color w:val="000000"/>
          <w:sz w:val="22"/>
          <w:szCs w:val="22"/>
        </w:rPr>
        <w:t>4</w:t>
      </w:r>
      <w:r w:rsidR="006268C3">
        <w:rPr>
          <w:b/>
          <w:bCs/>
          <w:color w:val="000000"/>
          <w:sz w:val="22"/>
          <w:szCs w:val="22"/>
        </w:rPr>
        <w:t>-19</w:t>
      </w:r>
      <w:r w:rsidR="006268C3" w:rsidRPr="00790F39">
        <w:rPr>
          <w:b/>
          <w:bCs/>
          <w:color w:val="000000"/>
          <w:sz w:val="22"/>
          <w:szCs w:val="22"/>
        </w:rPr>
        <w:t xml:space="preserve"> in the regulation </w:t>
      </w:r>
      <w:r w:rsidR="00246041">
        <w:rPr>
          <w:b/>
          <w:bCs/>
          <w:color w:val="000000"/>
          <w:sz w:val="22"/>
          <w:szCs w:val="22"/>
        </w:rPr>
        <w:t>3</w:t>
      </w:r>
      <w:r w:rsidR="006268C3" w:rsidRPr="00790F39">
        <w:rPr>
          <w:b/>
          <w:bCs/>
          <w:color w:val="000000"/>
          <w:sz w:val="22"/>
          <w:szCs w:val="22"/>
        </w:rPr>
        <w:t>6 (</w:t>
      </w:r>
      <w:r w:rsidR="00246041">
        <w:rPr>
          <w:b/>
          <w:bCs/>
          <w:color w:val="000000"/>
          <w:sz w:val="22"/>
          <w:szCs w:val="22"/>
        </w:rPr>
        <w:t>E</w:t>
      </w:r>
      <w:r w:rsidR="006268C3" w:rsidRPr="00790F39">
        <w:rPr>
          <w:b/>
          <w:bCs/>
          <w:color w:val="000000"/>
          <w:sz w:val="22"/>
          <w:szCs w:val="22"/>
        </w:rPr>
        <w:t>) (b)</w:t>
      </w:r>
      <w:r w:rsidR="00873521">
        <w:rPr>
          <w:b/>
          <w:bCs/>
          <w:color w:val="000000"/>
          <w:sz w:val="22"/>
          <w:szCs w:val="22"/>
        </w:rPr>
        <w:t xml:space="preserve"> (ii)</w:t>
      </w:r>
      <w:r w:rsidR="006268C3" w:rsidRPr="00790F39">
        <w:rPr>
          <w:b/>
          <w:bCs/>
          <w:color w:val="000000"/>
          <w:sz w:val="22"/>
          <w:szCs w:val="22"/>
        </w:rPr>
        <w:t xml:space="preserve"> has approved an auxiliary consumption of 12% </w:t>
      </w:r>
      <w:r w:rsidR="00EF0D96">
        <w:rPr>
          <w:b/>
          <w:bCs/>
          <w:color w:val="000000"/>
          <w:sz w:val="22"/>
          <w:szCs w:val="22"/>
        </w:rPr>
        <w:t xml:space="preserve">for Tanda Thermal Power Station. </w:t>
      </w:r>
      <w:r w:rsidRPr="00790F39">
        <w:rPr>
          <w:b/>
          <w:bCs/>
          <w:color w:val="000000"/>
          <w:sz w:val="22"/>
          <w:szCs w:val="22"/>
        </w:rPr>
        <w:t xml:space="preserve"> </w:t>
      </w:r>
      <w:r w:rsidR="00F744C9">
        <w:rPr>
          <w:b/>
          <w:bCs/>
          <w:color w:val="000000"/>
          <w:sz w:val="22"/>
          <w:szCs w:val="22"/>
        </w:rPr>
        <w:t>T</w:t>
      </w:r>
      <w:r w:rsidRPr="00790F39">
        <w:rPr>
          <w:b/>
          <w:bCs/>
          <w:color w:val="000000"/>
          <w:sz w:val="22"/>
          <w:szCs w:val="22"/>
        </w:rPr>
        <w:t>he Hon’ble Commission has already approved the Auxiliary Power Consumption of 12% for FY 2006-07.</w:t>
      </w:r>
      <w:r w:rsidR="0069633C">
        <w:rPr>
          <w:b/>
          <w:bCs/>
          <w:color w:val="000000"/>
          <w:sz w:val="22"/>
          <w:szCs w:val="22"/>
        </w:rPr>
        <w:t xml:space="preserve">  Further, due to prolonged backing </w:t>
      </w:r>
      <w:r w:rsidR="00A677BB">
        <w:rPr>
          <w:b/>
          <w:bCs/>
          <w:color w:val="000000"/>
          <w:sz w:val="22"/>
          <w:szCs w:val="22"/>
        </w:rPr>
        <w:t>down</w:t>
      </w:r>
      <w:r w:rsidR="0031598A">
        <w:rPr>
          <w:b/>
          <w:bCs/>
          <w:color w:val="000000"/>
          <w:sz w:val="22"/>
          <w:szCs w:val="22"/>
        </w:rPr>
        <w:t>,</w:t>
      </w:r>
      <w:r w:rsidR="0069633C">
        <w:rPr>
          <w:b/>
          <w:bCs/>
          <w:color w:val="000000"/>
          <w:sz w:val="22"/>
          <w:szCs w:val="22"/>
        </w:rPr>
        <w:t xml:space="preserve"> un-productive auxiliary consumption also increases percentage of total auxiliary consumption of the station.  The percentage of auxiliary consumption as allowed for RPH relates to the time when backing down due to merit order dispatched was n</w:t>
      </w:r>
      <w:r w:rsidR="001C1D99">
        <w:rPr>
          <w:b/>
          <w:bCs/>
          <w:color w:val="000000"/>
          <w:sz w:val="22"/>
          <w:szCs w:val="22"/>
        </w:rPr>
        <w:t>ot in the practice and the actual auxiliary consumption of the station was related to actual running up of plants &amp; equipments during generation from the station.</w:t>
      </w:r>
      <w:r w:rsidR="003867B5">
        <w:rPr>
          <w:b/>
          <w:bCs/>
          <w:color w:val="000000"/>
          <w:sz w:val="22"/>
          <w:szCs w:val="22"/>
        </w:rPr>
        <w:t xml:space="preserve">  However, due to present practice of frequent and prolonged backing downs </w:t>
      </w:r>
      <w:r w:rsidR="00C4483A">
        <w:rPr>
          <w:b/>
          <w:bCs/>
          <w:color w:val="000000"/>
          <w:sz w:val="22"/>
          <w:szCs w:val="22"/>
        </w:rPr>
        <w:t>the station heat rate has increased substantially.</w:t>
      </w:r>
      <w:r w:rsidR="00487139">
        <w:rPr>
          <w:b/>
          <w:bCs/>
          <w:color w:val="000000"/>
          <w:sz w:val="22"/>
          <w:szCs w:val="22"/>
        </w:rPr>
        <w:t xml:space="preserve">  T</w:t>
      </w:r>
      <w:r w:rsidR="00136E9C">
        <w:rPr>
          <w:sz w:val="22"/>
          <w:szCs w:val="22"/>
        </w:rPr>
        <w:t>he Station is proposed to be closed down in near future.</w:t>
      </w:r>
      <w:r w:rsidR="00864221">
        <w:rPr>
          <w:sz w:val="22"/>
          <w:szCs w:val="22"/>
        </w:rPr>
        <w:t xml:space="preserve"> </w:t>
      </w:r>
      <w:r w:rsidR="00263FD0">
        <w:rPr>
          <w:sz w:val="22"/>
          <w:szCs w:val="22"/>
        </w:rPr>
        <w:t>In view of the proposed closure, no m</w:t>
      </w:r>
      <w:r w:rsidR="00E24240">
        <w:rPr>
          <w:sz w:val="22"/>
          <w:szCs w:val="22"/>
        </w:rPr>
        <w:t>ajor</w:t>
      </w:r>
      <w:r w:rsidR="00263FD0">
        <w:rPr>
          <w:sz w:val="22"/>
          <w:szCs w:val="22"/>
        </w:rPr>
        <w:t xml:space="preserve"> repair and maintenance work including bulk replacement of boiler tubes</w:t>
      </w:r>
      <w:r w:rsidR="00DA4D1C">
        <w:rPr>
          <w:sz w:val="22"/>
          <w:szCs w:val="22"/>
        </w:rPr>
        <w:t>,</w:t>
      </w:r>
      <w:r w:rsidR="00263FD0">
        <w:rPr>
          <w:sz w:val="22"/>
          <w:szCs w:val="22"/>
        </w:rPr>
        <w:t xml:space="preserve"> </w:t>
      </w:r>
      <w:r w:rsidR="009D611D">
        <w:rPr>
          <w:sz w:val="22"/>
          <w:szCs w:val="22"/>
        </w:rPr>
        <w:t>could</w:t>
      </w:r>
      <w:r w:rsidR="00263FD0">
        <w:rPr>
          <w:sz w:val="22"/>
          <w:szCs w:val="22"/>
        </w:rPr>
        <w:t xml:space="preserve"> be carried out.</w:t>
      </w:r>
      <w:r w:rsidR="00CD5658">
        <w:rPr>
          <w:sz w:val="22"/>
          <w:szCs w:val="22"/>
        </w:rPr>
        <w:t xml:space="preserve">  </w:t>
      </w:r>
    </w:p>
    <w:p w:rsidR="007245C4" w:rsidRDefault="007245C4" w:rsidP="00024067">
      <w:pPr>
        <w:rPr>
          <w:sz w:val="22"/>
          <w:szCs w:val="22"/>
        </w:rPr>
      </w:pPr>
    </w:p>
    <w:p w:rsidR="00024067" w:rsidRDefault="00136E9C" w:rsidP="00024067">
      <w:pPr>
        <w:rPr>
          <w:b/>
          <w:bCs/>
          <w:sz w:val="22"/>
          <w:szCs w:val="22"/>
        </w:rPr>
      </w:pPr>
      <w:r>
        <w:rPr>
          <w:b/>
          <w:bCs/>
          <w:sz w:val="22"/>
          <w:szCs w:val="22"/>
        </w:rPr>
        <w:t>Accordingly, t</w:t>
      </w:r>
      <w:r w:rsidR="00520E3C" w:rsidRPr="007106CF">
        <w:rPr>
          <w:b/>
          <w:bCs/>
          <w:sz w:val="22"/>
          <w:szCs w:val="22"/>
        </w:rPr>
        <w:t xml:space="preserve">he petitioner requests </w:t>
      </w:r>
      <w:r w:rsidR="00024067" w:rsidRPr="007106CF">
        <w:rPr>
          <w:b/>
          <w:bCs/>
          <w:sz w:val="22"/>
          <w:szCs w:val="22"/>
        </w:rPr>
        <w:t xml:space="preserve">the Hon’ble Commission </w:t>
      </w:r>
      <w:r w:rsidR="00520E3C" w:rsidRPr="007106CF">
        <w:rPr>
          <w:b/>
          <w:bCs/>
          <w:sz w:val="22"/>
          <w:szCs w:val="22"/>
        </w:rPr>
        <w:t xml:space="preserve">to true- up the actual auxiliary power consumption as achieved by the station for </w:t>
      </w:r>
      <w:r w:rsidR="009B2E73">
        <w:rPr>
          <w:b/>
          <w:bCs/>
          <w:sz w:val="22"/>
          <w:szCs w:val="22"/>
        </w:rPr>
        <w:t xml:space="preserve">the Control period from </w:t>
      </w:r>
      <w:r w:rsidR="00520E3C" w:rsidRPr="007106CF">
        <w:rPr>
          <w:b/>
          <w:bCs/>
          <w:sz w:val="22"/>
          <w:szCs w:val="22"/>
        </w:rPr>
        <w:t xml:space="preserve">FY </w:t>
      </w:r>
      <w:r w:rsidR="003737F0">
        <w:rPr>
          <w:b/>
          <w:bCs/>
          <w:sz w:val="22"/>
          <w:szCs w:val="22"/>
        </w:rPr>
        <w:t xml:space="preserve">2012-13 to 2014-15 </w:t>
      </w:r>
      <w:r w:rsidR="00520E3C" w:rsidRPr="007106CF">
        <w:rPr>
          <w:b/>
          <w:bCs/>
          <w:sz w:val="22"/>
          <w:szCs w:val="22"/>
        </w:rPr>
        <w:t xml:space="preserve">and </w:t>
      </w:r>
      <w:r w:rsidR="00A83D23">
        <w:rPr>
          <w:b/>
          <w:bCs/>
          <w:sz w:val="22"/>
          <w:szCs w:val="22"/>
        </w:rPr>
        <w:t>approve</w:t>
      </w:r>
      <w:r w:rsidR="00A83D23" w:rsidRPr="007106CF">
        <w:rPr>
          <w:b/>
          <w:bCs/>
          <w:sz w:val="22"/>
          <w:szCs w:val="22"/>
        </w:rPr>
        <w:t xml:space="preserve"> </w:t>
      </w:r>
      <w:r w:rsidR="00520E3C" w:rsidRPr="007106CF">
        <w:rPr>
          <w:b/>
          <w:bCs/>
          <w:sz w:val="22"/>
          <w:szCs w:val="22"/>
        </w:rPr>
        <w:t>the 12</w:t>
      </w:r>
      <w:r w:rsidR="00D73407">
        <w:rPr>
          <w:b/>
          <w:bCs/>
          <w:sz w:val="22"/>
          <w:szCs w:val="22"/>
        </w:rPr>
        <w:t>.</w:t>
      </w:r>
      <w:r w:rsidR="00F331C7">
        <w:rPr>
          <w:b/>
          <w:bCs/>
          <w:sz w:val="22"/>
          <w:szCs w:val="22"/>
        </w:rPr>
        <w:t>5</w:t>
      </w:r>
      <w:r w:rsidR="00D73407">
        <w:rPr>
          <w:b/>
          <w:bCs/>
          <w:sz w:val="22"/>
          <w:szCs w:val="22"/>
        </w:rPr>
        <w:t>0</w:t>
      </w:r>
      <w:r w:rsidR="00520E3C" w:rsidRPr="007106CF">
        <w:rPr>
          <w:b/>
          <w:bCs/>
          <w:sz w:val="22"/>
          <w:szCs w:val="22"/>
        </w:rPr>
        <w:t xml:space="preserve">% auxiliary power consumption for FY </w:t>
      </w:r>
      <w:r w:rsidR="003737F0">
        <w:rPr>
          <w:b/>
          <w:bCs/>
          <w:sz w:val="22"/>
          <w:szCs w:val="22"/>
        </w:rPr>
        <w:t>2015-16</w:t>
      </w:r>
      <w:r w:rsidR="00520E3C" w:rsidRPr="007106CF">
        <w:rPr>
          <w:b/>
          <w:bCs/>
          <w:sz w:val="22"/>
          <w:szCs w:val="22"/>
        </w:rPr>
        <w:t>.</w:t>
      </w:r>
      <w:r w:rsidR="00710D83" w:rsidRPr="007106CF">
        <w:rPr>
          <w:b/>
          <w:bCs/>
          <w:sz w:val="22"/>
          <w:szCs w:val="22"/>
        </w:rPr>
        <w:t xml:space="preserve"> </w:t>
      </w:r>
    </w:p>
    <w:p w:rsidR="000A2680" w:rsidRDefault="000A2680" w:rsidP="00C25745">
      <w:pPr>
        <w:spacing w:line="240" w:lineRule="auto"/>
        <w:rPr>
          <w:b/>
          <w:bCs/>
          <w:sz w:val="22"/>
          <w:szCs w:val="22"/>
        </w:rPr>
      </w:pPr>
    </w:p>
    <w:p w:rsidR="00B134D3" w:rsidRDefault="00B134D3" w:rsidP="00024067">
      <w:pPr>
        <w:rPr>
          <w:b/>
          <w:bCs/>
          <w:sz w:val="22"/>
          <w:szCs w:val="22"/>
        </w:rPr>
      </w:pPr>
      <w:r w:rsidRPr="006E4026">
        <w:rPr>
          <w:b/>
          <w:bCs/>
          <w:sz w:val="22"/>
          <w:szCs w:val="22"/>
        </w:rPr>
        <w:t>Gas Turbine Power Station:</w:t>
      </w:r>
    </w:p>
    <w:p w:rsidR="00C6351A" w:rsidRDefault="00BF4392" w:rsidP="00C6351A">
      <w:pPr>
        <w:tabs>
          <w:tab w:val="num" w:pos="1440"/>
        </w:tabs>
        <w:spacing w:before="240"/>
        <w:rPr>
          <w:bCs/>
          <w:sz w:val="22"/>
          <w:szCs w:val="22"/>
        </w:rPr>
      </w:pPr>
      <w:r>
        <w:rPr>
          <w:bCs/>
          <w:sz w:val="22"/>
          <w:szCs w:val="22"/>
        </w:rPr>
        <w:t>The Auxiliary</w:t>
      </w:r>
      <w:r w:rsidR="00C6351A" w:rsidRPr="00024067">
        <w:rPr>
          <w:bCs/>
          <w:sz w:val="22"/>
          <w:szCs w:val="22"/>
        </w:rPr>
        <w:t xml:space="preserve"> </w:t>
      </w:r>
      <w:r w:rsidR="00C6351A">
        <w:rPr>
          <w:bCs/>
          <w:sz w:val="22"/>
          <w:szCs w:val="22"/>
        </w:rPr>
        <w:t xml:space="preserve">Power </w:t>
      </w:r>
      <w:r w:rsidR="00C6351A" w:rsidRPr="00024067">
        <w:rPr>
          <w:bCs/>
          <w:sz w:val="22"/>
          <w:szCs w:val="22"/>
        </w:rPr>
        <w:t>Consumption</w:t>
      </w:r>
      <w:r w:rsidR="00C6351A">
        <w:rPr>
          <w:bCs/>
          <w:sz w:val="22"/>
          <w:szCs w:val="22"/>
        </w:rPr>
        <w:t xml:space="preserve"> </w:t>
      </w:r>
      <w:r w:rsidRPr="00024067">
        <w:rPr>
          <w:bCs/>
          <w:sz w:val="22"/>
          <w:szCs w:val="22"/>
        </w:rPr>
        <w:t>achieved</w:t>
      </w:r>
      <w:r>
        <w:rPr>
          <w:bCs/>
          <w:sz w:val="22"/>
          <w:szCs w:val="22"/>
        </w:rPr>
        <w:t xml:space="preserve"> by</w:t>
      </w:r>
      <w:r w:rsidR="00C6351A">
        <w:rPr>
          <w:bCs/>
          <w:sz w:val="22"/>
          <w:szCs w:val="22"/>
        </w:rPr>
        <w:t xml:space="preserve"> the Station during the</w:t>
      </w:r>
      <w:r w:rsidR="00C6351A">
        <w:rPr>
          <w:bCs/>
          <w:iCs/>
          <w:sz w:val="22"/>
          <w:szCs w:val="26"/>
        </w:rPr>
        <w:t xml:space="preserve"> control period FY </w:t>
      </w:r>
      <w:r w:rsidR="00305078">
        <w:rPr>
          <w:bCs/>
          <w:iCs/>
          <w:sz w:val="22"/>
          <w:szCs w:val="26"/>
        </w:rPr>
        <w:t>2012-13 to 2014-15</w:t>
      </w:r>
      <w:r w:rsidR="00C6351A">
        <w:rPr>
          <w:bCs/>
          <w:iCs/>
          <w:sz w:val="22"/>
          <w:szCs w:val="26"/>
        </w:rPr>
        <w:t xml:space="preserve"> are summarized in under mentioned table 1</w:t>
      </w:r>
      <w:r w:rsidR="00305078">
        <w:rPr>
          <w:bCs/>
          <w:iCs/>
          <w:sz w:val="22"/>
          <w:szCs w:val="26"/>
        </w:rPr>
        <w:t>1</w:t>
      </w:r>
      <w:r w:rsidR="00C6351A">
        <w:rPr>
          <w:bCs/>
          <w:sz w:val="22"/>
          <w:szCs w:val="22"/>
        </w:rPr>
        <w:t>.</w:t>
      </w:r>
      <w:r w:rsidR="00C6351A" w:rsidRPr="00024067">
        <w:rPr>
          <w:bCs/>
          <w:sz w:val="22"/>
          <w:szCs w:val="22"/>
        </w:rPr>
        <w:t xml:space="preserve">  </w:t>
      </w:r>
    </w:p>
    <w:p w:rsidR="00EB4B27" w:rsidRDefault="00EB4B27" w:rsidP="00EB4B27">
      <w:pPr>
        <w:pStyle w:val="Caption"/>
        <w:keepNext/>
        <w:jc w:val="center"/>
      </w:pPr>
      <w:bookmarkStart w:id="33" w:name="_Toc411603988"/>
      <w:r>
        <w:lastRenderedPageBreak/>
        <w:t xml:space="preserve">Table </w:t>
      </w:r>
      <w:fldSimple w:instr=" SEQ Table \* ARABIC ">
        <w:r w:rsidR="002326CE">
          <w:rPr>
            <w:noProof/>
          </w:rPr>
          <w:t>11</w:t>
        </w:r>
      </w:fldSimple>
      <w:r>
        <w:t xml:space="preserve"> : </w:t>
      </w:r>
      <w:r w:rsidRPr="00EB4B27">
        <w:t>Auxiliary Power Consumption of Gas Turbine Power Station</w:t>
      </w:r>
      <w:bookmarkEnd w:id="33"/>
    </w:p>
    <w:tbl>
      <w:tblPr>
        <w:tblW w:w="89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530"/>
        <w:gridCol w:w="1350"/>
        <w:gridCol w:w="1620"/>
        <w:gridCol w:w="2076"/>
      </w:tblGrid>
      <w:tr w:rsidR="00135135" w:rsidRPr="00024067" w:rsidTr="00117796">
        <w:trPr>
          <w:trHeight w:val="326"/>
        </w:trPr>
        <w:tc>
          <w:tcPr>
            <w:tcW w:w="2340" w:type="dxa"/>
            <w:shd w:val="solid" w:color="000080" w:fill="auto"/>
          </w:tcPr>
          <w:p w:rsidR="00135135" w:rsidRPr="00024067" w:rsidRDefault="00135135" w:rsidP="00117796">
            <w:pPr>
              <w:jc w:val="center"/>
              <w:rPr>
                <w:sz w:val="22"/>
                <w:szCs w:val="22"/>
              </w:rPr>
            </w:pPr>
          </w:p>
        </w:tc>
        <w:tc>
          <w:tcPr>
            <w:tcW w:w="1530" w:type="dxa"/>
            <w:shd w:val="solid" w:color="000080" w:fill="auto"/>
          </w:tcPr>
          <w:p w:rsidR="00135135" w:rsidRDefault="00135135" w:rsidP="00117796">
            <w:pPr>
              <w:jc w:val="center"/>
              <w:rPr>
                <w:sz w:val="22"/>
                <w:szCs w:val="22"/>
              </w:rPr>
            </w:pPr>
            <w:r>
              <w:rPr>
                <w:sz w:val="22"/>
                <w:szCs w:val="22"/>
              </w:rPr>
              <w:t>12-13</w:t>
            </w:r>
          </w:p>
        </w:tc>
        <w:tc>
          <w:tcPr>
            <w:tcW w:w="1350" w:type="dxa"/>
            <w:shd w:val="solid" w:color="000080" w:fill="auto"/>
          </w:tcPr>
          <w:p w:rsidR="00135135" w:rsidRDefault="00135135" w:rsidP="00117796">
            <w:pPr>
              <w:jc w:val="center"/>
              <w:rPr>
                <w:sz w:val="22"/>
                <w:szCs w:val="22"/>
              </w:rPr>
            </w:pPr>
            <w:r>
              <w:rPr>
                <w:sz w:val="22"/>
                <w:szCs w:val="22"/>
              </w:rPr>
              <w:t>13-14</w:t>
            </w:r>
          </w:p>
        </w:tc>
        <w:tc>
          <w:tcPr>
            <w:tcW w:w="1620" w:type="dxa"/>
            <w:shd w:val="solid" w:color="000080" w:fill="auto"/>
          </w:tcPr>
          <w:p w:rsidR="00135135" w:rsidRDefault="00135135" w:rsidP="00117796">
            <w:pPr>
              <w:jc w:val="center"/>
              <w:rPr>
                <w:sz w:val="22"/>
                <w:szCs w:val="22"/>
              </w:rPr>
            </w:pPr>
            <w:r>
              <w:rPr>
                <w:sz w:val="22"/>
                <w:szCs w:val="22"/>
              </w:rPr>
              <w:t>14-15</w:t>
            </w:r>
            <w:r w:rsidR="00FC4C20">
              <w:rPr>
                <w:sz w:val="22"/>
                <w:szCs w:val="22"/>
              </w:rPr>
              <w:t>( up Dec)</w:t>
            </w:r>
          </w:p>
        </w:tc>
        <w:tc>
          <w:tcPr>
            <w:tcW w:w="2076" w:type="dxa"/>
            <w:shd w:val="solid" w:color="000080" w:fill="auto"/>
          </w:tcPr>
          <w:p w:rsidR="00AF273D" w:rsidRDefault="00135135" w:rsidP="002B20EE">
            <w:pPr>
              <w:jc w:val="center"/>
              <w:rPr>
                <w:sz w:val="22"/>
                <w:szCs w:val="22"/>
              </w:rPr>
            </w:pPr>
            <w:r>
              <w:rPr>
                <w:sz w:val="22"/>
                <w:szCs w:val="22"/>
              </w:rPr>
              <w:t>15-16</w:t>
            </w:r>
          </w:p>
          <w:p w:rsidR="00135135" w:rsidRDefault="007C67F0" w:rsidP="002B20EE">
            <w:pPr>
              <w:jc w:val="center"/>
              <w:rPr>
                <w:sz w:val="22"/>
                <w:szCs w:val="22"/>
              </w:rPr>
            </w:pPr>
            <w:r>
              <w:rPr>
                <w:sz w:val="22"/>
                <w:szCs w:val="22"/>
              </w:rPr>
              <w:t>(Estimated)</w:t>
            </w:r>
          </w:p>
        </w:tc>
      </w:tr>
      <w:tr w:rsidR="00135135" w:rsidRPr="00024067" w:rsidTr="00117796">
        <w:trPr>
          <w:trHeight w:val="651"/>
        </w:trPr>
        <w:tc>
          <w:tcPr>
            <w:tcW w:w="2340" w:type="dxa"/>
            <w:vAlign w:val="center"/>
          </w:tcPr>
          <w:p w:rsidR="00135135" w:rsidRPr="0031069F" w:rsidRDefault="00135135" w:rsidP="00117796">
            <w:pPr>
              <w:spacing w:line="240" w:lineRule="auto"/>
              <w:ind w:left="-108" w:right="-108"/>
              <w:jc w:val="center"/>
              <w:rPr>
                <w:sz w:val="21"/>
                <w:szCs w:val="21"/>
              </w:rPr>
            </w:pPr>
            <w:r w:rsidRPr="0031069F">
              <w:rPr>
                <w:sz w:val="21"/>
                <w:szCs w:val="21"/>
              </w:rPr>
              <w:t>Auxiliary Power Consumption</w:t>
            </w:r>
          </w:p>
          <w:p w:rsidR="00135135" w:rsidRPr="00024067" w:rsidRDefault="00135135" w:rsidP="00117796">
            <w:pPr>
              <w:spacing w:line="240" w:lineRule="auto"/>
              <w:jc w:val="center"/>
              <w:rPr>
                <w:sz w:val="22"/>
                <w:szCs w:val="22"/>
              </w:rPr>
            </w:pPr>
            <w:r w:rsidRPr="00024067">
              <w:rPr>
                <w:sz w:val="22"/>
                <w:szCs w:val="22"/>
              </w:rPr>
              <w:t>(%)</w:t>
            </w:r>
          </w:p>
        </w:tc>
        <w:tc>
          <w:tcPr>
            <w:tcW w:w="1530" w:type="dxa"/>
            <w:vAlign w:val="center"/>
          </w:tcPr>
          <w:p w:rsidR="00135135" w:rsidRPr="0092181F" w:rsidRDefault="00135135" w:rsidP="00FC724F">
            <w:pPr>
              <w:ind w:left="-108" w:right="-108"/>
              <w:jc w:val="center"/>
              <w:rPr>
                <w:sz w:val="22"/>
                <w:szCs w:val="22"/>
              </w:rPr>
            </w:pPr>
            <w:r w:rsidRPr="0092181F">
              <w:rPr>
                <w:sz w:val="22"/>
                <w:szCs w:val="22"/>
              </w:rPr>
              <w:t>3.02</w:t>
            </w:r>
          </w:p>
        </w:tc>
        <w:tc>
          <w:tcPr>
            <w:tcW w:w="1350" w:type="dxa"/>
            <w:vAlign w:val="center"/>
          </w:tcPr>
          <w:p w:rsidR="00135135" w:rsidRPr="0092181F" w:rsidRDefault="00135135" w:rsidP="00FC724F">
            <w:pPr>
              <w:ind w:right="-108"/>
              <w:rPr>
                <w:sz w:val="22"/>
                <w:szCs w:val="22"/>
              </w:rPr>
            </w:pPr>
            <w:r w:rsidRPr="0092181F">
              <w:rPr>
                <w:sz w:val="22"/>
                <w:szCs w:val="22"/>
              </w:rPr>
              <w:t>3.28</w:t>
            </w:r>
          </w:p>
        </w:tc>
        <w:tc>
          <w:tcPr>
            <w:tcW w:w="1620" w:type="dxa"/>
            <w:vAlign w:val="center"/>
          </w:tcPr>
          <w:p w:rsidR="00135135" w:rsidRPr="0092181F" w:rsidRDefault="00135135" w:rsidP="00FC724F">
            <w:pPr>
              <w:ind w:left="-108" w:right="-108"/>
              <w:jc w:val="center"/>
              <w:rPr>
                <w:sz w:val="22"/>
                <w:szCs w:val="22"/>
              </w:rPr>
            </w:pPr>
            <w:r w:rsidRPr="0092181F">
              <w:rPr>
                <w:sz w:val="22"/>
                <w:szCs w:val="22"/>
              </w:rPr>
              <w:t>3.</w:t>
            </w:r>
            <w:r w:rsidR="00C42E3D" w:rsidRPr="0092181F">
              <w:rPr>
                <w:sz w:val="22"/>
                <w:szCs w:val="22"/>
              </w:rPr>
              <w:t>59</w:t>
            </w:r>
          </w:p>
        </w:tc>
        <w:tc>
          <w:tcPr>
            <w:tcW w:w="2076" w:type="dxa"/>
            <w:vAlign w:val="center"/>
          </w:tcPr>
          <w:p w:rsidR="00135135" w:rsidRPr="0092181F" w:rsidRDefault="00FC4C20" w:rsidP="00FC724F">
            <w:pPr>
              <w:ind w:left="-108" w:right="-108"/>
              <w:jc w:val="center"/>
              <w:rPr>
                <w:sz w:val="22"/>
                <w:szCs w:val="22"/>
              </w:rPr>
            </w:pPr>
            <w:r w:rsidRPr="0092181F">
              <w:rPr>
                <w:sz w:val="22"/>
                <w:szCs w:val="22"/>
              </w:rPr>
              <w:t>3</w:t>
            </w:r>
            <w:r w:rsidR="007C67F0" w:rsidRPr="0092181F">
              <w:rPr>
                <w:sz w:val="22"/>
                <w:szCs w:val="22"/>
              </w:rPr>
              <w:t>.</w:t>
            </w:r>
            <w:r w:rsidR="0092181F">
              <w:rPr>
                <w:sz w:val="22"/>
                <w:szCs w:val="22"/>
              </w:rPr>
              <w:t>59</w:t>
            </w:r>
          </w:p>
        </w:tc>
      </w:tr>
    </w:tbl>
    <w:p w:rsidR="00BA4601" w:rsidRDefault="00BA4601" w:rsidP="00024067">
      <w:pPr>
        <w:rPr>
          <w:sz w:val="22"/>
          <w:szCs w:val="22"/>
        </w:rPr>
      </w:pPr>
    </w:p>
    <w:p w:rsidR="00BD7706" w:rsidRDefault="00BD7706" w:rsidP="00024067">
      <w:pPr>
        <w:rPr>
          <w:sz w:val="22"/>
          <w:szCs w:val="22"/>
        </w:rPr>
      </w:pPr>
      <w:r>
        <w:rPr>
          <w:sz w:val="22"/>
          <w:szCs w:val="22"/>
        </w:rPr>
        <w:t xml:space="preserve">The Gas Turbines of the station were commissioned in the year 1985-86 and the Waste Heat Recovery Units were retrofitted in the year 1995-96. </w:t>
      </w:r>
      <w:r w:rsidR="0011592A">
        <w:rPr>
          <w:sz w:val="22"/>
          <w:szCs w:val="22"/>
        </w:rPr>
        <w:t xml:space="preserve">The </w:t>
      </w:r>
      <w:r w:rsidR="0093516C">
        <w:rPr>
          <w:sz w:val="22"/>
          <w:szCs w:val="22"/>
        </w:rPr>
        <w:t>STG</w:t>
      </w:r>
      <w:r w:rsidR="00DA4D1C">
        <w:rPr>
          <w:sz w:val="22"/>
          <w:szCs w:val="22"/>
        </w:rPr>
        <w:t>s</w:t>
      </w:r>
      <w:r w:rsidR="0093516C">
        <w:rPr>
          <w:sz w:val="22"/>
          <w:szCs w:val="22"/>
        </w:rPr>
        <w:t xml:space="preserve"> of the station </w:t>
      </w:r>
      <w:r w:rsidR="00014D0C">
        <w:rPr>
          <w:sz w:val="22"/>
          <w:szCs w:val="22"/>
        </w:rPr>
        <w:t>are</w:t>
      </w:r>
      <w:r w:rsidR="0093516C">
        <w:rPr>
          <w:sz w:val="22"/>
          <w:szCs w:val="22"/>
        </w:rPr>
        <w:t xml:space="preserve"> not able to produce the rated output and hence the auxiliary power consumption of the station calculated in terms of percentage over the gross generation of the station increases. </w:t>
      </w:r>
    </w:p>
    <w:p w:rsidR="0008528E" w:rsidRDefault="0008528E" w:rsidP="00024067">
      <w:pPr>
        <w:rPr>
          <w:sz w:val="22"/>
          <w:szCs w:val="22"/>
        </w:rPr>
      </w:pPr>
    </w:p>
    <w:p w:rsidR="002F7A1E" w:rsidRDefault="0087254A" w:rsidP="00024067">
      <w:pPr>
        <w:rPr>
          <w:sz w:val="22"/>
          <w:szCs w:val="22"/>
        </w:rPr>
      </w:pPr>
      <w:r>
        <w:rPr>
          <w:sz w:val="22"/>
          <w:szCs w:val="22"/>
        </w:rPr>
        <w:t xml:space="preserve">It is further mentioned that due </w:t>
      </w:r>
      <w:r w:rsidR="002667D9">
        <w:rPr>
          <w:sz w:val="22"/>
          <w:szCs w:val="22"/>
        </w:rPr>
        <w:t>to</w:t>
      </w:r>
      <w:r>
        <w:rPr>
          <w:sz w:val="22"/>
          <w:szCs w:val="22"/>
        </w:rPr>
        <w:t xml:space="preserve"> less system demand</w:t>
      </w:r>
      <w:r w:rsidR="00C74F89">
        <w:rPr>
          <w:sz w:val="22"/>
          <w:szCs w:val="22"/>
        </w:rPr>
        <w:t>,</w:t>
      </w:r>
      <w:r>
        <w:rPr>
          <w:sz w:val="22"/>
          <w:szCs w:val="22"/>
        </w:rPr>
        <w:t xml:space="preserve"> the generation of the station was backed down, resulting in partial operation of the units.</w:t>
      </w:r>
      <w:r w:rsidR="00A677BB" w:rsidRPr="00A677BB">
        <w:rPr>
          <w:b/>
          <w:bCs/>
          <w:color w:val="000000"/>
          <w:sz w:val="22"/>
          <w:szCs w:val="22"/>
        </w:rPr>
        <w:t xml:space="preserve"> </w:t>
      </w:r>
      <w:r w:rsidR="00A677BB">
        <w:rPr>
          <w:b/>
          <w:bCs/>
          <w:color w:val="000000"/>
          <w:sz w:val="22"/>
          <w:szCs w:val="22"/>
        </w:rPr>
        <w:t>Further, due to prolonged backing down</w:t>
      </w:r>
      <w:r w:rsidR="0031598A">
        <w:rPr>
          <w:b/>
          <w:bCs/>
          <w:color w:val="000000"/>
          <w:sz w:val="22"/>
          <w:szCs w:val="22"/>
        </w:rPr>
        <w:t>,</w:t>
      </w:r>
      <w:r w:rsidR="00A677BB">
        <w:rPr>
          <w:b/>
          <w:bCs/>
          <w:color w:val="000000"/>
          <w:sz w:val="22"/>
          <w:szCs w:val="22"/>
        </w:rPr>
        <w:t xml:space="preserve"> un-productive auxiliary consumption also increases percentage of total auxiliary consumption of the station.  The percentage of auxiliary consumption as allowed for </w:t>
      </w:r>
      <w:r w:rsidR="007C2E8E">
        <w:rPr>
          <w:b/>
          <w:bCs/>
          <w:color w:val="000000"/>
          <w:sz w:val="22"/>
          <w:szCs w:val="22"/>
        </w:rPr>
        <w:t>GTPS</w:t>
      </w:r>
      <w:r w:rsidR="00A677BB">
        <w:rPr>
          <w:b/>
          <w:bCs/>
          <w:color w:val="000000"/>
          <w:sz w:val="22"/>
          <w:szCs w:val="22"/>
        </w:rPr>
        <w:t xml:space="preserve"> relates to the time when backing down due to merit order dispatched was not in the practice and the actual auxiliary consumption of the station was related to actual running up of plants &amp; equipments during generation from the station.  However, due to present practice of frequent and prolonged backing downs the station </w:t>
      </w:r>
      <w:r w:rsidR="00E73495">
        <w:rPr>
          <w:b/>
          <w:bCs/>
          <w:color w:val="000000"/>
          <w:sz w:val="22"/>
          <w:szCs w:val="22"/>
        </w:rPr>
        <w:t>auxiliary</w:t>
      </w:r>
      <w:r w:rsidR="007C2E8E">
        <w:rPr>
          <w:b/>
          <w:bCs/>
          <w:color w:val="000000"/>
          <w:sz w:val="22"/>
          <w:szCs w:val="22"/>
        </w:rPr>
        <w:t xml:space="preserve"> consumption</w:t>
      </w:r>
      <w:r w:rsidR="00A677BB">
        <w:rPr>
          <w:b/>
          <w:bCs/>
          <w:color w:val="000000"/>
          <w:sz w:val="22"/>
          <w:szCs w:val="22"/>
        </w:rPr>
        <w:t xml:space="preserve"> has increased substantially</w:t>
      </w:r>
      <w:r w:rsidR="00A72CCD">
        <w:rPr>
          <w:b/>
          <w:bCs/>
          <w:color w:val="000000"/>
          <w:sz w:val="22"/>
          <w:szCs w:val="22"/>
        </w:rPr>
        <w:t>. This is also evident from difference in availability and PLF of the station .</w:t>
      </w:r>
      <w:r>
        <w:rPr>
          <w:sz w:val="22"/>
          <w:szCs w:val="22"/>
        </w:rPr>
        <w:t xml:space="preserve"> Th</w:t>
      </w:r>
      <w:r w:rsidR="00DA4D1C">
        <w:rPr>
          <w:sz w:val="22"/>
          <w:szCs w:val="22"/>
        </w:rPr>
        <w:t>e</w:t>
      </w:r>
      <w:r>
        <w:rPr>
          <w:sz w:val="22"/>
          <w:szCs w:val="22"/>
        </w:rPr>
        <w:t xml:space="preserve"> </w:t>
      </w:r>
      <w:r w:rsidR="00DA4D1C">
        <w:rPr>
          <w:sz w:val="22"/>
          <w:szCs w:val="22"/>
        </w:rPr>
        <w:t xml:space="preserve">year wise availability and PLF of the Station as certified by SLDC has been presented in </w:t>
      </w:r>
      <w:r>
        <w:rPr>
          <w:sz w:val="22"/>
          <w:szCs w:val="22"/>
        </w:rPr>
        <w:t>the following table</w:t>
      </w:r>
      <w:r w:rsidR="00DA4D1C">
        <w:rPr>
          <w:sz w:val="22"/>
          <w:szCs w:val="22"/>
        </w:rPr>
        <w:t xml:space="preserve"> no 1</w:t>
      </w:r>
      <w:r w:rsidR="00460C90">
        <w:rPr>
          <w:sz w:val="22"/>
          <w:szCs w:val="22"/>
        </w:rPr>
        <w:t>2</w:t>
      </w:r>
      <w:r w:rsidR="002F7A1E">
        <w:rPr>
          <w:sz w:val="22"/>
          <w:szCs w:val="22"/>
        </w:rPr>
        <w:t>:</w:t>
      </w:r>
    </w:p>
    <w:p w:rsidR="00FD4D85" w:rsidRDefault="00FD4D85" w:rsidP="00FD4D85">
      <w:pPr>
        <w:pStyle w:val="Caption"/>
        <w:keepNext/>
        <w:jc w:val="center"/>
      </w:pPr>
      <w:bookmarkStart w:id="34" w:name="_Toc411603989"/>
      <w:r>
        <w:t xml:space="preserve">Table </w:t>
      </w:r>
      <w:fldSimple w:instr=" SEQ Table \* ARABIC ">
        <w:r w:rsidR="002326CE">
          <w:rPr>
            <w:noProof/>
          </w:rPr>
          <w:t>12</w:t>
        </w:r>
      </w:fldSimple>
      <w:r>
        <w:t xml:space="preserve"> : </w:t>
      </w:r>
      <w:r w:rsidRPr="00FD4D85">
        <w:t>Comparison of Availability &amp; PLF for GTPS</w:t>
      </w:r>
      <w:bookmarkEnd w:id="3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11"/>
        <w:gridCol w:w="3019"/>
        <w:gridCol w:w="2890"/>
      </w:tblGrid>
      <w:tr w:rsidR="002F7A1E" w:rsidRPr="008E3DA3" w:rsidTr="008E3DA3">
        <w:trPr>
          <w:trHeight w:val="400"/>
        </w:trPr>
        <w:tc>
          <w:tcPr>
            <w:tcW w:w="2911" w:type="dxa"/>
            <w:shd w:val="solid" w:color="333399" w:fill="000080"/>
            <w:vAlign w:val="center"/>
          </w:tcPr>
          <w:p w:rsidR="002F7A1E" w:rsidRPr="008E3DA3" w:rsidRDefault="002F7A1E" w:rsidP="008E3DA3">
            <w:pPr>
              <w:autoSpaceDE w:val="0"/>
              <w:autoSpaceDN w:val="0"/>
              <w:adjustRightInd w:val="0"/>
              <w:spacing w:line="240" w:lineRule="auto"/>
              <w:jc w:val="center"/>
              <w:rPr>
                <w:color w:val="FFFFFF"/>
                <w:sz w:val="22"/>
                <w:szCs w:val="22"/>
              </w:rPr>
            </w:pPr>
            <w:r w:rsidRPr="008E3DA3">
              <w:rPr>
                <w:rFonts w:cs="Arial"/>
                <w:b/>
                <w:bCs/>
                <w:color w:val="FFFFFF"/>
                <w:sz w:val="22"/>
                <w:szCs w:val="22"/>
              </w:rPr>
              <w:t>Year</w:t>
            </w:r>
          </w:p>
        </w:tc>
        <w:tc>
          <w:tcPr>
            <w:tcW w:w="3019" w:type="dxa"/>
            <w:shd w:val="solid" w:color="333399" w:fill="000080"/>
            <w:vAlign w:val="center"/>
          </w:tcPr>
          <w:p w:rsidR="002F7A1E" w:rsidRPr="008E3DA3" w:rsidRDefault="002F7A1E" w:rsidP="008E3DA3">
            <w:pPr>
              <w:autoSpaceDE w:val="0"/>
              <w:autoSpaceDN w:val="0"/>
              <w:adjustRightInd w:val="0"/>
              <w:spacing w:line="240" w:lineRule="auto"/>
              <w:jc w:val="center"/>
              <w:rPr>
                <w:color w:val="FFFFFF"/>
                <w:sz w:val="22"/>
                <w:szCs w:val="22"/>
              </w:rPr>
            </w:pPr>
            <w:r w:rsidRPr="008E3DA3">
              <w:rPr>
                <w:rFonts w:cs="Arial"/>
                <w:b/>
                <w:bCs/>
                <w:color w:val="FFFFFF"/>
                <w:sz w:val="22"/>
                <w:szCs w:val="22"/>
              </w:rPr>
              <w:t>Availability</w:t>
            </w:r>
            <w:r w:rsidRPr="008E3DA3">
              <w:rPr>
                <w:color w:val="FFFFFF"/>
                <w:sz w:val="22"/>
                <w:szCs w:val="22"/>
              </w:rPr>
              <w:t xml:space="preserve"> (%)</w:t>
            </w:r>
          </w:p>
        </w:tc>
        <w:tc>
          <w:tcPr>
            <w:tcW w:w="2890" w:type="dxa"/>
            <w:shd w:val="solid" w:color="333399" w:fill="000080"/>
            <w:vAlign w:val="center"/>
          </w:tcPr>
          <w:p w:rsidR="002F7A1E" w:rsidRPr="008E3DA3" w:rsidRDefault="002F7A1E" w:rsidP="008E3DA3">
            <w:pPr>
              <w:autoSpaceDE w:val="0"/>
              <w:autoSpaceDN w:val="0"/>
              <w:adjustRightInd w:val="0"/>
              <w:spacing w:line="240" w:lineRule="auto"/>
              <w:jc w:val="center"/>
              <w:rPr>
                <w:color w:val="FFFFFF"/>
                <w:sz w:val="22"/>
                <w:szCs w:val="22"/>
              </w:rPr>
            </w:pPr>
            <w:r w:rsidRPr="008E3DA3">
              <w:rPr>
                <w:rFonts w:cs="Arial"/>
                <w:b/>
                <w:bCs/>
                <w:color w:val="FFFFFF"/>
                <w:sz w:val="22"/>
                <w:szCs w:val="22"/>
              </w:rPr>
              <w:t>PLF</w:t>
            </w:r>
            <w:r w:rsidRPr="008E3DA3">
              <w:rPr>
                <w:color w:val="FFFFFF"/>
                <w:sz w:val="22"/>
                <w:szCs w:val="22"/>
              </w:rPr>
              <w:t xml:space="preserve"> (%)</w:t>
            </w:r>
          </w:p>
        </w:tc>
      </w:tr>
      <w:tr w:rsidR="002F7A1E" w:rsidRPr="008E3DA3" w:rsidTr="008E3DA3">
        <w:trPr>
          <w:trHeight w:val="401"/>
        </w:trPr>
        <w:tc>
          <w:tcPr>
            <w:tcW w:w="2911" w:type="dxa"/>
            <w:vAlign w:val="center"/>
          </w:tcPr>
          <w:p w:rsidR="002F7A1E" w:rsidRPr="008E3DA3" w:rsidRDefault="002F7A1E" w:rsidP="00B45511">
            <w:pPr>
              <w:jc w:val="center"/>
              <w:rPr>
                <w:sz w:val="22"/>
                <w:szCs w:val="22"/>
              </w:rPr>
            </w:pPr>
            <w:r w:rsidRPr="008E3DA3">
              <w:rPr>
                <w:sz w:val="22"/>
                <w:szCs w:val="22"/>
              </w:rPr>
              <w:t>20</w:t>
            </w:r>
            <w:r w:rsidR="00B45511">
              <w:rPr>
                <w:sz w:val="22"/>
                <w:szCs w:val="22"/>
              </w:rPr>
              <w:t>12</w:t>
            </w:r>
            <w:r w:rsidRPr="008E3DA3">
              <w:rPr>
                <w:sz w:val="22"/>
                <w:szCs w:val="22"/>
              </w:rPr>
              <w:t>-</w:t>
            </w:r>
            <w:r w:rsidR="00B45511">
              <w:rPr>
                <w:sz w:val="22"/>
                <w:szCs w:val="22"/>
              </w:rPr>
              <w:t>13</w:t>
            </w:r>
          </w:p>
        </w:tc>
        <w:tc>
          <w:tcPr>
            <w:tcW w:w="3019" w:type="dxa"/>
            <w:vAlign w:val="center"/>
          </w:tcPr>
          <w:p w:rsidR="002F7A1E" w:rsidRPr="00D806BD" w:rsidRDefault="00B45511" w:rsidP="00B45511">
            <w:pPr>
              <w:jc w:val="center"/>
              <w:rPr>
                <w:sz w:val="22"/>
                <w:szCs w:val="22"/>
              </w:rPr>
            </w:pPr>
            <w:r w:rsidRPr="00D806BD">
              <w:rPr>
                <w:sz w:val="22"/>
                <w:szCs w:val="22"/>
              </w:rPr>
              <w:t>84</w:t>
            </w:r>
            <w:r w:rsidR="00FC1600" w:rsidRPr="00D806BD">
              <w:rPr>
                <w:sz w:val="22"/>
                <w:szCs w:val="22"/>
              </w:rPr>
              <w:t>.</w:t>
            </w:r>
            <w:r w:rsidRPr="00D806BD">
              <w:rPr>
                <w:sz w:val="22"/>
                <w:szCs w:val="22"/>
              </w:rPr>
              <w:t>22</w:t>
            </w:r>
          </w:p>
        </w:tc>
        <w:tc>
          <w:tcPr>
            <w:tcW w:w="2890" w:type="dxa"/>
            <w:vAlign w:val="center"/>
          </w:tcPr>
          <w:p w:rsidR="002F7A1E" w:rsidRPr="00D806BD" w:rsidRDefault="00FC1600" w:rsidP="00B45511">
            <w:pPr>
              <w:jc w:val="center"/>
              <w:rPr>
                <w:sz w:val="22"/>
                <w:szCs w:val="22"/>
              </w:rPr>
            </w:pPr>
            <w:r w:rsidRPr="00D806BD">
              <w:rPr>
                <w:sz w:val="22"/>
                <w:szCs w:val="22"/>
              </w:rPr>
              <w:t>5</w:t>
            </w:r>
            <w:r w:rsidR="00B45511" w:rsidRPr="00D806BD">
              <w:rPr>
                <w:sz w:val="22"/>
                <w:szCs w:val="22"/>
              </w:rPr>
              <w:t>5</w:t>
            </w:r>
            <w:r w:rsidRPr="00D806BD">
              <w:rPr>
                <w:sz w:val="22"/>
                <w:szCs w:val="22"/>
              </w:rPr>
              <w:t>.</w:t>
            </w:r>
            <w:r w:rsidR="00B45511" w:rsidRPr="00D806BD">
              <w:rPr>
                <w:sz w:val="22"/>
                <w:szCs w:val="22"/>
              </w:rPr>
              <w:t>29</w:t>
            </w:r>
          </w:p>
        </w:tc>
      </w:tr>
      <w:tr w:rsidR="002F7A1E" w:rsidRPr="008E3DA3" w:rsidTr="008E3DA3">
        <w:trPr>
          <w:trHeight w:val="400"/>
        </w:trPr>
        <w:tc>
          <w:tcPr>
            <w:tcW w:w="2911" w:type="dxa"/>
            <w:vAlign w:val="center"/>
          </w:tcPr>
          <w:p w:rsidR="002F7A1E" w:rsidRPr="008E3DA3" w:rsidRDefault="002F7A1E" w:rsidP="00B45511">
            <w:pPr>
              <w:jc w:val="center"/>
              <w:rPr>
                <w:sz w:val="22"/>
                <w:szCs w:val="22"/>
              </w:rPr>
            </w:pPr>
            <w:r w:rsidRPr="008E3DA3">
              <w:rPr>
                <w:sz w:val="22"/>
                <w:szCs w:val="22"/>
              </w:rPr>
              <w:t>20</w:t>
            </w:r>
            <w:r w:rsidR="00B45511">
              <w:rPr>
                <w:sz w:val="22"/>
                <w:szCs w:val="22"/>
              </w:rPr>
              <w:t>13</w:t>
            </w:r>
            <w:r w:rsidRPr="008E3DA3">
              <w:rPr>
                <w:sz w:val="22"/>
                <w:szCs w:val="22"/>
              </w:rPr>
              <w:t>-</w:t>
            </w:r>
            <w:r w:rsidR="00B45511">
              <w:rPr>
                <w:sz w:val="22"/>
                <w:szCs w:val="22"/>
              </w:rPr>
              <w:t>14</w:t>
            </w:r>
          </w:p>
        </w:tc>
        <w:tc>
          <w:tcPr>
            <w:tcW w:w="3019" w:type="dxa"/>
            <w:vAlign w:val="center"/>
          </w:tcPr>
          <w:p w:rsidR="002F7A1E" w:rsidRPr="00D806BD" w:rsidRDefault="00B45511" w:rsidP="00B45511">
            <w:pPr>
              <w:jc w:val="center"/>
              <w:rPr>
                <w:sz w:val="22"/>
                <w:szCs w:val="22"/>
              </w:rPr>
            </w:pPr>
            <w:r w:rsidRPr="00D806BD">
              <w:rPr>
                <w:sz w:val="22"/>
                <w:szCs w:val="22"/>
              </w:rPr>
              <w:t>86</w:t>
            </w:r>
            <w:r w:rsidR="00FC1600" w:rsidRPr="00D806BD">
              <w:rPr>
                <w:sz w:val="22"/>
                <w:szCs w:val="22"/>
              </w:rPr>
              <w:t>.</w:t>
            </w:r>
            <w:r w:rsidRPr="00D806BD">
              <w:rPr>
                <w:sz w:val="22"/>
                <w:szCs w:val="22"/>
              </w:rPr>
              <w:t>94</w:t>
            </w:r>
          </w:p>
        </w:tc>
        <w:tc>
          <w:tcPr>
            <w:tcW w:w="2890" w:type="dxa"/>
            <w:vAlign w:val="center"/>
          </w:tcPr>
          <w:p w:rsidR="002F7A1E" w:rsidRPr="00D806BD" w:rsidRDefault="00B45511" w:rsidP="00B45511">
            <w:pPr>
              <w:jc w:val="center"/>
              <w:rPr>
                <w:sz w:val="22"/>
                <w:szCs w:val="22"/>
              </w:rPr>
            </w:pPr>
            <w:r w:rsidRPr="00D806BD">
              <w:rPr>
                <w:sz w:val="22"/>
                <w:szCs w:val="22"/>
              </w:rPr>
              <w:t>44.01</w:t>
            </w:r>
          </w:p>
        </w:tc>
      </w:tr>
      <w:tr w:rsidR="002F7A1E" w:rsidRPr="008E3DA3" w:rsidTr="008E3DA3">
        <w:trPr>
          <w:trHeight w:val="401"/>
        </w:trPr>
        <w:tc>
          <w:tcPr>
            <w:tcW w:w="2911" w:type="dxa"/>
            <w:vAlign w:val="center"/>
          </w:tcPr>
          <w:p w:rsidR="002F7A1E" w:rsidRPr="008E3DA3" w:rsidRDefault="002F7A1E" w:rsidP="00B45511">
            <w:pPr>
              <w:jc w:val="center"/>
              <w:rPr>
                <w:sz w:val="22"/>
                <w:szCs w:val="22"/>
              </w:rPr>
            </w:pPr>
            <w:r w:rsidRPr="008E3DA3">
              <w:rPr>
                <w:sz w:val="22"/>
                <w:szCs w:val="22"/>
              </w:rPr>
              <w:t>20</w:t>
            </w:r>
            <w:r w:rsidR="00B45511">
              <w:rPr>
                <w:sz w:val="22"/>
                <w:szCs w:val="22"/>
              </w:rPr>
              <w:t>14</w:t>
            </w:r>
            <w:r w:rsidRPr="008E3DA3">
              <w:rPr>
                <w:sz w:val="22"/>
                <w:szCs w:val="22"/>
              </w:rPr>
              <w:t>-1</w:t>
            </w:r>
            <w:r w:rsidR="00B45511">
              <w:rPr>
                <w:sz w:val="22"/>
                <w:szCs w:val="22"/>
              </w:rPr>
              <w:t>5</w:t>
            </w:r>
            <w:r w:rsidR="007C67F0">
              <w:rPr>
                <w:sz w:val="22"/>
                <w:szCs w:val="22"/>
              </w:rPr>
              <w:t>(up to Dec)</w:t>
            </w:r>
          </w:p>
        </w:tc>
        <w:tc>
          <w:tcPr>
            <w:tcW w:w="3019" w:type="dxa"/>
            <w:vAlign w:val="center"/>
          </w:tcPr>
          <w:p w:rsidR="002F7A1E" w:rsidRPr="00D806BD" w:rsidRDefault="00C42E3D" w:rsidP="00B45511">
            <w:pPr>
              <w:jc w:val="center"/>
              <w:rPr>
                <w:sz w:val="22"/>
                <w:szCs w:val="22"/>
              </w:rPr>
            </w:pPr>
            <w:r w:rsidRPr="00D806BD">
              <w:rPr>
                <w:sz w:val="22"/>
                <w:szCs w:val="22"/>
              </w:rPr>
              <w:t>66.11</w:t>
            </w:r>
          </w:p>
        </w:tc>
        <w:tc>
          <w:tcPr>
            <w:tcW w:w="2890" w:type="dxa"/>
            <w:vAlign w:val="center"/>
          </w:tcPr>
          <w:p w:rsidR="002F7A1E" w:rsidRPr="00D806BD" w:rsidRDefault="00B45511" w:rsidP="00C42E3D">
            <w:pPr>
              <w:jc w:val="center"/>
              <w:rPr>
                <w:sz w:val="22"/>
                <w:szCs w:val="22"/>
              </w:rPr>
            </w:pPr>
            <w:r w:rsidRPr="00D806BD">
              <w:rPr>
                <w:sz w:val="22"/>
                <w:szCs w:val="22"/>
              </w:rPr>
              <w:t>4</w:t>
            </w:r>
            <w:r w:rsidR="00C42E3D" w:rsidRPr="00D806BD">
              <w:rPr>
                <w:sz w:val="22"/>
                <w:szCs w:val="22"/>
              </w:rPr>
              <w:t>0.48</w:t>
            </w:r>
          </w:p>
        </w:tc>
      </w:tr>
    </w:tbl>
    <w:p w:rsidR="005B245C" w:rsidRDefault="005B245C" w:rsidP="00024067">
      <w:pPr>
        <w:rPr>
          <w:sz w:val="22"/>
          <w:szCs w:val="22"/>
        </w:rPr>
      </w:pPr>
    </w:p>
    <w:p w:rsidR="00B134D3" w:rsidRDefault="00E4477D" w:rsidP="00024067">
      <w:pPr>
        <w:rPr>
          <w:sz w:val="22"/>
          <w:szCs w:val="22"/>
        </w:rPr>
      </w:pPr>
      <w:r>
        <w:rPr>
          <w:sz w:val="22"/>
          <w:szCs w:val="22"/>
        </w:rPr>
        <w:lastRenderedPageBreak/>
        <w:t xml:space="preserve">PLF measures the actual generation of the station based upon the scheduled generation whereas the </w:t>
      </w:r>
      <w:r w:rsidR="006C6093">
        <w:rPr>
          <w:sz w:val="22"/>
          <w:szCs w:val="22"/>
        </w:rPr>
        <w:t>availability</w:t>
      </w:r>
      <w:r>
        <w:rPr>
          <w:sz w:val="22"/>
          <w:szCs w:val="22"/>
        </w:rPr>
        <w:t xml:space="preserve"> measures the capacity of the station to inject the power into the system.</w:t>
      </w:r>
    </w:p>
    <w:p w:rsidR="00BA4601" w:rsidRDefault="00BA4601" w:rsidP="00024067">
      <w:pPr>
        <w:rPr>
          <w:sz w:val="22"/>
          <w:szCs w:val="22"/>
        </w:rPr>
      </w:pPr>
    </w:p>
    <w:p w:rsidR="00DF4916" w:rsidRPr="00DD1974" w:rsidRDefault="00B5521F" w:rsidP="00BA4601">
      <w:pPr>
        <w:rPr>
          <w:b/>
          <w:bCs/>
          <w:sz w:val="22"/>
          <w:szCs w:val="22"/>
        </w:rPr>
      </w:pPr>
      <w:r>
        <w:rPr>
          <w:sz w:val="22"/>
          <w:szCs w:val="22"/>
        </w:rPr>
        <w:t xml:space="preserve">This lower PLF has resulted into higher Auxiliary Power Consumption of the station. It is further </w:t>
      </w:r>
      <w:r w:rsidR="005E104D">
        <w:rPr>
          <w:sz w:val="22"/>
          <w:szCs w:val="22"/>
        </w:rPr>
        <w:t>submitted</w:t>
      </w:r>
      <w:r>
        <w:rPr>
          <w:sz w:val="22"/>
          <w:szCs w:val="22"/>
        </w:rPr>
        <w:t xml:space="preserve"> that Auxiliary Power Consumption in c</w:t>
      </w:r>
      <w:r w:rsidR="0068566A">
        <w:rPr>
          <w:sz w:val="22"/>
          <w:szCs w:val="22"/>
        </w:rPr>
        <w:t xml:space="preserve">ombined cycle mode is around </w:t>
      </w:r>
      <w:r w:rsidR="0068566A" w:rsidRPr="008D047C">
        <w:rPr>
          <w:sz w:val="22"/>
          <w:szCs w:val="22"/>
        </w:rPr>
        <w:t>3.</w:t>
      </w:r>
      <w:r w:rsidR="008D047C" w:rsidRPr="008D047C">
        <w:rPr>
          <w:sz w:val="22"/>
          <w:szCs w:val="22"/>
        </w:rPr>
        <w:t>59</w:t>
      </w:r>
      <w:r w:rsidRPr="008D047C">
        <w:rPr>
          <w:sz w:val="22"/>
          <w:szCs w:val="22"/>
        </w:rPr>
        <w:t>%</w:t>
      </w:r>
      <w:r w:rsidR="008D047C">
        <w:rPr>
          <w:sz w:val="22"/>
          <w:szCs w:val="22"/>
        </w:rPr>
        <w:t xml:space="preserve"> for FY 2014-15</w:t>
      </w:r>
      <w:r w:rsidRPr="008D047C">
        <w:rPr>
          <w:sz w:val="22"/>
          <w:szCs w:val="22"/>
        </w:rPr>
        <w:t>.</w:t>
      </w:r>
      <w:r>
        <w:rPr>
          <w:sz w:val="22"/>
          <w:szCs w:val="22"/>
        </w:rPr>
        <w:t xml:space="preserve"> Therefore, </w:t>
      </w:r>
      <w:r w:rsidRPr="00DD1974">
        <w:rPr>
          <w:b/>
          <w:bCs/>
          <w:sz w:val="22"/>
          <w:szCs w:val="22"/>
        </w:rPr>
        <w:t>the petitioner</w:t>
      </w:r>
      <w:r w:rsidR="00C6351A">
        <w:rPr>
          <w:b/>
          <w:bCs/>
          <w:sz w:val="22"/>
          <w:szCs w:val="22"/>
        </w:rPr>
        <w:t xml:space="preserve"> </w:t>
      </w:r>
      <w:r w:rsidRPr="00DD1974">
        <w:rPr>
          <w:b/>
          <w:bCs/>
          <w:sz w:val="22"/>
          <w:szCs w:val="22"/>
        </w:rPr>
        <w:t xml:space="preserve">requests the Hon'ble Commission to true- up the actual auxiliary power consumption and allow the Auxiliary Power </w:t>
      </w:r>
      <w:r w:rsidR="00BA4601">
        <w:rPr>
          <w:b/>
          <w:bCs/>
          <w:sz w:val="22"/>
          <w:szCs w:val="22"/>
        </w:rPr>
        <w:t>c</w:t>
      </w:r>
      <w:r w:rsidRPr="00DD1974">
        <w:rPr>
          <w:b/>
          <w:bCs/>
          <w:sz w:val="22"/>
          <w:szCs w:val="22"/>
        </w:rPr>
        <w:t>onsumption of 3.</w:t>
      </w:r>
      <w:r w:rsidR="008D047C">
        <w:rPr>
          <w:b/>
          <w:bCs/>
          <w:sz w:val="22"/>
          <w:szCs w:val="22"/>
        </w:rPr>
        <w:t>59</w:t>
      </w:r>
      <w:r w:rsidRPr="00DD1974">
        <w:rPr>
          <w:b/>
          <w:bCs/>
          <w:sz w:val="22"/>
          <w:szCs w:val="22"/>
        </w:rPr>
        <w:t xml:space="preserve">% in </w:t>
      </w:r>
      <w:r w:rsidR="008D047C" w:rsidRPr="00DD1974">
        <w:rPr>
          <w:b/>
          <w:bCs/>
          <w:sz w:val="22"/>
          <w:szCs w:val="22"/>
        </w:rPr>
        <w:t>combined</w:t>
      </w:r>
      <w:r w:rsidRPr="00DD1974">
        <w:rPr>
          <w:b/>
          <w:bCs/>
          <w:sz w:val="22"/>
          <w:szCs w:val="22"/>
        </w:rPr>
        <w:t xml:space="preserve"> cycle mode for FY </w:t>
      </w:r>
      <w:r w:rsidR="00460C90">
        <w:rPr>
          <w:b/>
          <w:bCs/>
          <w:sz w:val="22"/>
          <w:szCs w:val="22"/>
        </w:rPr>
        <w:t>2015-16</w:t>
      </w:r>
      <w:r w:rsidRPr="00DD1974">
        <w:rPr>
          <w:b/>
          <w:bCs/>
          <w:sz w:val="22"/>
          <w:szCs w:val="22"/>
        </w:rPr>
        <w:t xml:space="preserve">.  </w:t>
      </w:r>
    </w:p>
    <w:p w:rsidR="00BE5159" w:rsidRDefault="00BE5159" w:rsidP="00B90536"/>
    <w:p w:rsidR="00C43BF7" w:rsidRPr="00B90536" w:rsidRDefault="003D0D7E" w:rsidP="00B90536">
      <w:pPr>
        <w:rPr>
          <w:b/>
          <w:bCs/>
        </w:rPr>
      </w:pPr>
      <w:r w:rsidRPr="003E30A3">
        <w:t xml:space="preserve"> </w:t>
      </w:r>
      <w:bookmarkStart w:id="35" w:name="_Toc173941678"/>
      <w:r w:rsidR="00C43BF7" w:rsidRPr="00B90536">
        <w:rPr>
          <w:b/>
          <w:bCs/>
        </w:rPr>
        <w:t>3.1.2</w:t>
      </w:r>
      <w:r w:rsidR="00C43BF7" w:rsidRPr="00B90536">
        <w:rPr>
          <w:b/>
          <w:bCs/>
        </w:rPr>
        <w:tab/>
        <w:t>Gross Generation and Net Generation</w:t>
      </w:r>
      <w:bookmarkEnd w:id="35"/>
    </w:p>
    <w:p w:rsidR="00C43BF7" w:rsidRPr="00424B25" w:rsidRDefault="00C43BF7" w:rsidP="00C43BF7">
      <w:pPr>
        <w:rPr>
          <w:sz w:val="14"/>
          <w:szCs w:val="14"/>
        </w:rPr>
      </w:pPr>
    </w:p>
    <w:p w:rsidR="00C43BF7" w:rsidRDefault="00AE0BE7" w:rsidP="00C43BF7">
      <w:r>
        <w:rPr>
          <w:sz w:val="22"/>
          <w:szCs w:val="22"/>
        </w:rPr>
        <w:t xml:space="preserve">Based on the </w:t>
      </w:r>
      <w:r w:rsidR="00C43BF7">
        <w:rPr>
          <w:sz w:val="22"/>
          <w:szCs w:val="22"/>
        </w:rPr>
        <w:t xml:space="preserve"> </w:t>
      </w:r>
      <w:r w:rsidR="00C52446">
        <w:rPr>
          <w:sz w:val="22"/>
          <w:szCs w:val="22"/>
        </w:rPr>
        <w:t>Availability</w:t>
      </w:r>
      <w:r w:rsidR="00C43BF7">
        <w:rPr>
          <w:sz w:val="22"/>
          <w:szCs w:val="22"/>
        </w:rPr>
        <w:t xml:space="preserve"> and Au</w:t>
      </w:r>
      <w:r w:rsidR="005E2068">
        <w:rPr>
          <w:sz w:val="22"/>
          <w:szCs w:val="22"/>
        </w:rPr>
        <w:t>xiliary Consumption, the</w:t>
      </w:r>
      <w:r w:rsidR="00C43BF7">
        <w:rPr>
          <w:sz w:val="22"/>
          <w:szCs w:val="22"/>
        </w:rPr>
        <w:t xml:space="preserve"> Gross and Net Generation</w:t>
      </w:r>
      <w:r w:rsidR="005E2068" w:rsidRPr="005E2068">
        <w:rPr>
          <w:sz w:val="22"/>
          <w:szCs w:val="22"/>
        </w:rPr>
        <w:t xml:space="preserve"> </w:t>
      </w:r>
      <w:r w:rsidR="005E2068">
        <w:rPr>
          <w:sz w:val="22"/>
          <w:szCs w:val="22"/>
        </w:rPr>
        <w:t>for</w:t>
      </w:r>
      <w:r w:rsidR="00A7634A">
        <w:rPr>
          <w:sz w:val="22"/>
          <w:szCs w:val="22"/>
        </w:rPr>
        <w:t xml:space="preserve"> </w:t>
      </w:r>
      <w:r w:rsidR="00F22C7F">
        <w:rPr>
          <w:sz w:val="22"/>
          <w:szCs w:val="22"/>
        </w:rPr>
        <w:t xml:space="preserve">Gas Turbine Power Station and Rajghat Power House </w:t>
      </w:r>
      <w:r w:rsidR="00C43BF7">
        <w:rPr>
          <w:sz w:val="22"/>
          <w:szCs w:val="22"/>
        </w:rPr>
        <w:t xml:space="preserve"> </w:t>
      </w:r>
      <w:r w:rsidR="005E2068">
        <w:rPr>
          <w:sz w:val="22"/>
          <w:szCs w:val="22"/>
        </w:rPr>
        <w:t xml:space="preserve">during the Control Period </w:t>
      </w:r>
      <w:r>
        <w:rPr>
          <w:sz w:val="22"/>
          <w:szCs w:val="22"/>
        </w:rPr>
        <w:t>FY 201</w:t>
      </w:r>
      <w:r w:rsidR="00834129">
        <w:rPr>
          <w:sz w:val="22"/>
          <w:szCs w:val="22"/>
        </w:rPr>
        <w:t>2</w:t>
      </w:r>
      <w:r>
        <w:rPr>
          <w:sz w:val="22"/>
          <w:szCs w:val="22"/>
        </w:rPr>
        <w:t>-1</w:t>
      </w:r>
      <w:r w:rsidR="00834129">
        <w:rPr>
          <w:sz w:val="22"/>
          <w:szCs w:val="22"/>
        </w:rPr>
        <w:t>3 to FY 2014-15</w:t>
      </w:r>
      <w:r w:rsidR="007F3A21">
        <w:rPr>
          <w:sz w:val="22"/>
          <w:szCs w:val="22"/>
        </w:rPr>
        <w:t xml:space="preserve"> as per actual and for FY 2015-16 as projected</w:t>
      </w:r>
      <w:r>
        <w:rPr>
          <w:sz w:val="22"/>
          <w:szCs w:val="22"/>
        </w:rPr>
        <w:t xml:space="preserve">  are </w:t>
      </w:r>
      <w:r w:rsidR="00C43BF7">
        <w:rPr>
          <w:sz w:val="22"/>
          <w:szCs w:val="22"/>
        </w:rPr>
        <w:t xml:space="preserve">as per the </w:t>
      </w:r>
      <w:r w:rsidR="00543A5D">
        <w:rPr>
          <w:sz w:val="22"/>
          <w:szCs w:val="22"/>
        </w:rPr>
        <w:t>under mentioned</w:t>
      </w:r>
      <w:r>
        <w:rPr>
          <w:sz w:val="22"/>
          <w:szCs w:val="22"/>
        </w:rPr>
        <w:t xml:space="preserve"> </w:t>
      </w:r>
      <w:r w:rsidR="00C43BF7">
        <w:rPr>
          <w:sz w:val="22"/>
          <w:szCs w:val="22"/>
        </w:rPr>
        <w:t>table :</w:t>
      </w:r>
    </w:p>
    <w:p w:rsidR="00F61858" w:rsidRDefault="00F61858" w:rsidP="00F61858">
      <w:pPr>
        <w:pStyle w:val="Caption"/>
        <w:keepNext/>
        <w:jc w:val="center"/>
      </w:pPr>
      <w:bookmarkStart w:id="36" w:name="_Toc411603990"/>
      <w:r>
        <w:t xml:space="preserve">Table </w:t>
      </w:r>
      <w:fldSimple w:instr=" SEQ Table \* ARABIC ">
        <w:r w:rsidR="002326CE">
          <w:rPr>
            <w:noProof/>
          </w:rPr>
          <w:t>13</w:t>
        </w:r>
      </w:fldSimple>
      <w:r>
        <w:t xml:space="preserve"> : </w:t>
      </w:r>
      <w:r w:rsidRPr="00F61858">
        <w:t>Gross and Net Generation</w:t>
      </w:r>
      <w:bookmarkEnd w:id="36"/>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9"/>
        <w:gridCol w:w="1381"/>
        <w:gridCol w:w="1440"/>
        <w:gridCol w:w="1530"/>
        <w:gridCol w:w="1980"/>
      </w:tblGrid>
      <w:tr w:rsidR="00323EDB" w:rsidRPr="00BB0743" w:rsidTr="00323EDB">
        <w:trPr>
          <w:trHeight w:val="256"/>
        </w:trPr>
        <w:tc>
          <w:tcPr>
            <w:tcW w:w="2759" w:type="dxa"/>
            <w:shd w:val="clear" w:color="auto" w:fill="000080"/>
            <w:noWrap/>
            <w:vAlign w:val="center"/>
          </w:tcPr>
          <w:p w:rsidR="00323EDB" w:rsidRPr="00BB0743" w:rsidRDefault="00323EDB" w:rsidP="002B727A">
            <w:pPr>
              <w:spacing w:line="240" w:lineRule="auto"/>
              <w:ind w:left="-108" w:right="-108"/>
              <w:jc w:val="left"/>
              <w:rPr>
                <w:rFonts w:cs="Arial"/>
                <w:b/>
                <w:bCs/>
                <w:sz w:val="20"/>
                <w:szCs w:val="20"/>
              </w:rPr>
            </w:pPr>
            <w:r w:rsidRPr="00BB0743">
              <w:rPr>
                <w:rFonts w:cs="Arial"/>
                <w:b/>
                <w:bCs/>
                <w:sz w:val="20"/>
                <w:szCs w:val="20"/>
              </w:rPr>
              <w:t>Rajghat Power Station</w:t>
            </w:r>
          </w:p>
        </w:tc>
        <w:tc>
          <w:tcPr>
            <w:tcW w:w="1381" w:type="dxa"/>
            <w:shd w:val="clear" w:color="auto" w:fill="000080"/>
            <w:noWrap/>
            <w:vAlign w:val="center"/>
          </w:tcPr>
          <w:p w:rsidR="00323EDB" w:rsidRPr="00D806BD" w:rsidRDefault="00323EDB" w:rsidP="00117796">
            <w:pPr>
              <w:spacing w:line="240" w:lineRule="auto"/>
              <w:jc w:val="center"/>
              <w:rPr>
                <w:rFonts w:cs="Arial"/>
                <w:b/>
                <w:bCs/>
                <w:sz w:val="20"/>
                <w:szCs w:val="20"/>
              </w:rPr>
            </w:pPr>
            <w:r w:rsidRPr="00D806BD">
              <w:rPr>
                <w:rFonts w:cs="Arial"/>
                <w:b/>
                <w:bCs/>
                <w:sz w:val="20"/>
                <w:szCs w:val="20"/>
              </w:rPr>
              <w:t>12-13</w:t>
            </w:r>
          </w:p>
        </w:tc>
        <w:tc>
          <w:tcPr>
            <w:tcW w:w="1440" w:type="dxa"/>
            <w:shd w:val="clear" w:color="auto" w:fill="000080"/>
            <w:noWrap/>
            <w:vAlign w:val="center"/>
          </w:tcPr>
          <w:p w:rsidR="00323EDB" w:rsidRPr="00D806BD" w:rsidRDefault="00323EDB" w:rsidP="00117796">
            <w:pPr>
              <w:spacing w:line="240" w:lineRule="auto"/>
              <w:jc w:val="center"/>
              <w:rPr>
                <w:rFonts w:cs="Arial"/>
                <w:b/>
                <w:bCs/>
                <w:sz w:val="20"/>
                <w:szCs w:val="20"/>
              </w:rPr>
            </w:pPr>
            <w:r w:rsidRPr="00D806BD">
              <w:rPr>
                <w:rFonts w:cs="Arial"/>
                <w:b/>
                <w:bCs/>
                <w:sz w:val="20"/>
                <w:szCs w:val="20"/>
              </w:rPr>
              <w:t>13-14</w:t>
            </w:r>
          </w:p>
        </w:tc>
        <w:tc>
          <w:tcPr>
            <w:tcW w:w="1530" w:type="dxa"/>
            <w:shd w:val="clear" w:color="auto" w:fill="000080"/>
            <w:vAlign w:val="center"/>
          </w:tcPr>
          <w:p w:rsidR="00323EDB" w:rsidRPr="00D806BD" w:rsidRDefault="00323EDB" w:rsidP="00932E9A">
            <w:pPr>
              <w:spacing w:line="240" w:lineRule="auto"/>
              <w:jc w:val="center"/>
              <w:rPr>
                <w:rFonts w:cs="Arial"/>
                <w:b/>
                <w:bCs/>
                <w:sz w:val="20"/>
                <w:szCs w:val="20"/>
              </w:rPr>
            </w:pPr>
            <w:r w:rsidRPr="00D806BD">
              <w:rPr>
                <w:rFonts w:cs="Arial"/>
                <w:b/>
                <w:bCs/>
                <w:sz w:val="20"/>
                <w:szCs w:val="20"/>
              </w:rPr>
              <w:t xml:space="preserve">14-15( up to </w:t>
            </w:r>
            <w:r w:rsidR="00932E9A" w:rsidRPr="00D806BD">
              <w:rPr>
                <w:rFonts w:cs="Arial"/>
                <w:b/>
                <w:bCs/>
                <w:sz w:val="20"/>
                <w:szCs w:val="20"/>
              </w:rPr>
              <w:t>Dec</w:t>
            </w:r>
            <w:r w:rsidRPr="00D806BD">
              <w:rPr>
                <w:rFonts w:cs="Arial"/>
                <w:b/>
                <w:bCs/>
                <w:sz w:val="20"/>
                <w:szCs w:val="20"/>
              </w:rPr>
              <w:t xml:space="preserve"> 14)</w:t>
            </w:r>
          </w:p>
        </w:tc>
        <w:tc>
          <w:tcPr>
            <w:tcW w:w="1980" w:type="dxa"/>
            <w:shd w:val="clear" w:color="auto" w:fill="000080"/>
            <w:vAlign w:val="center"/>
          </w:tcPr>
          <w:p w:rsidR="00323EDB" w:rsidRPr="00D806BD" w:rsidRDefault="00323EDB" w:rsidP="008C55DF">
            <w:pPr>
              <w:spacing w:line="240" w:lineRule="auto"/>
              <w:jc w:val="center"/>
              <w:rPr>
                <w:rFonts w:cs="Arial"/>
                <w:b/>
                <w:bCs/>
                <w:sz w:val="20"/>
                <w:szCs w:val="20"/>
              </w:rPr>
            </w:pPr>
            <w:r w:rsidRPr="00D806BD">
              <w:rPr>
                <w:rFonts w:cs="Arial"/>
                <w:b/>
                <w:bCs/>
                <w:sz w:val="20"/>
                <w:szCs w:val="20"/>
              </w:rPr>
              <w:t>15-16(E</w:t>
            </w:r>
            <w:r w:rsidR="008C55DF">
              <w:rPr>
                <w:rFonts w:cs="Arial"/>
                <w:b/>
                <w:bCs/>
                <w:sz w:val="20"/>
                <w:szCs w:val="20"/>
              </w:rPr>
              <w:t>stima</w:t>
            </w:r>
            <w:r w:rsidRPr="00D806BD">
              <w:rPr>
                <w:rFonts w:cs="Arial"/>
                <w:b/>
                <w:bCs/>
                <w:sz w:val="20"/>
                <w:szCs w:val="20"/>
              </w:rPr>
              <w:t>ted)</w:t>
            </w:r>
          </w:p>
        </w:tc>
      </w:tr>
      <w:tr w:rsidR="00323EDB" w:rsidRPr="00BB0743" w:rsidTr="00323EDB">
        <w:trPr>
          <w:trHeight w:val="271"/>
        </w:trPr>
        <w:tc>
          <w:tcPr>
            <w:tcW w:w="2759" w:type="dxa"/>
            <w:shd w:val="clear" w:color="auto" w:fill="auto"/>
            <w:noWrap/>
            <w:vAlign w:val="center"/>
          </w:tcPr>
          <w:p w:rsidR="00323EDB" w:rsidRPr="009811BB" w:rsidRDefault="00323EDB" w:rsidP="002B727A">
            <w:pPr>
              <w:spacing w:line="240" w:lineRule="auto"/>
              <w:ind w:left="-108" w:right="-108"/>
              <w:jc w:val="left"/>
            </w:pPr>
            <w:r w:rsidRPr="00BB0743">
              <w:rPr>
                <w:rFonts w:cs="Arial"/>
                <w:sz w:val="20"/>
                <w:szCs w:val="20"/>
              </w:rPr>
              <w:t>Capacity</w:t>
            </w:r>
            <w:r>
              <w:rPr>
                <w:rFonts w:cs="Arial"/>
                <w:sz w:val="20"/>
                <w:szCs w:val="20"/>
              </w:rPr>
              <w:t xml:space="preserve"> (MW)</w:t>
            </w:r>
          </w:p>
        </w:tc>
        <w:tc>
          <w:tcPr>
            <w:tcW w:w="1381" w:type="dxa"/>
            <w:shd w:val="clear" w:color="auto" w:fill="auto"/>
            <w:noWrap/>
            <w:vAlign w:val="center"/>
          </w:tcPr>
          <w:p w:rsidR="00323EDB" w:rsidRPr="00D806BD" w:rsidRDefault="00323EDB" w:rsidP="00755B81">
            <w:pPr>
              <w:spacing w:line="240" w:lineRule="auto"/>
              <w:jc w:val="center"/>
              <w:rPr>
                <w:rFonts w:cs="Arial"/>
                <w:sz w:val="20"/>
                <w:szCs w:val="20"/>
              </w:rPr>
            </w:pPr>
            <w:r w:rsidRPr="00D806BD">
              <w:rPr>
                <w:rFonts w:cs="Arial"/>
                <w:sz w:val="20"/>
                <w:szCs w:val="20"/>
              </w:rPr>
              <w:t>135</w:t>
            </w:r>
          </w:p>
        </w:tc>
        <w:tc>
          <w:tcPr>
            <w:tcW w:w="1440" w:type="dxa"/>
            <w:shd w:val="clear" w:color="auto" w:fill="auto"/>
            <w:noWrap/>
            <w:vAlign w:val="center"/>
          </w:tcPr>
          <w:p w:rsidR="00323EDB" w:rsidRPr="00D806BD" w:rsidRDefault="00323EDB" w:rsidP="00755B81">
            <w:pPr>
              <w:spacing w:line="240" w:lineRule="auto"/>
              <w:jc w:val="center"/>
              <w:rPr>
                <w:rFonts w:cs="Arial"/>
                <w:sz w:val="20"/>
                <w:szCs w:val="20"/>
              </w:rPr>
            </w:pPr>
            <w:r w:rsidRPr="00D806BD">
              <w:rPr>
                <w:rFonts w:cs="Arial"/>
                <w:sz w:val="20"/>
                <w:szCs w:val="20"/>
              </w:rPr>
              <w:t>135</w:t>
            </w:r>
          </w:p>
        </w:tc>
        <w:tc>
          <w:tcPr>
            <w:tcW w:w="1530" w:type="dxa"/>
            <w:vAlign w:val="center"/>
          </w:tcPr>
          <w:p w:rsidR="00323EDB" w:rsidRPr="00D806BD" w:rsidRDefault="00323EDB" w:rsidP="00755B81">
            <w:pPr>
              <w:spacing w:line="240" w:lineRule="auto"/>
              <w:jc w:val="center"/>
              <w:rPr>
                <w:rFonts w:cs="Arial"/>
                <w:sz w:val="20"/>
                <w:szCs w:val="20"/>
              </w:rPr>
            </w:pPr>
            <w:r w:rsidRPr="00D806BD">
              <w:rPr>
                <w:rFonts w:cs="Arial"/>
                <w:sz w:val="20"/>
                <w:szCs w:val="20"/>
              </w:rPr>
              <w:t>135</w:t>
            </w:r>
          </w:p>
        </w:tc>
        <w:tc>
          <w:tcPr>
            <w:tcW w:w="1980" w:type="dxa"/>
            <w:vAlign w:val="center"/>
          </w:tcPr>
          <w:p w:rsidR="00323EDB" w:rsidRPr="00D806BD" w:rsidRDefault="00323EDB" w:rsidP="00755B81">
            <w:pPr>
              <w:spacing w:line="240" w:lineRule="auto"/>
              <w:jc w:val="center"/>
              <w:rPr>
                <w:rFonts w:cs="Arial"/>
                <w:sz w:val="20"/>
                <w:szCs w:val="20"/>
              </w:rPr>
            </w:pPr>
            <w:r w:rsidRPr="00D806BD">
              <w:rPr>
                <w:rFonts w:cs="Arial"/>
                <w:sz w:val="20"/>
                <w:szCs w:val="20"/>
              </w:rPr>
              <w:t>135</w:t>
            </w:r>
          </w:p>
        </w:tc>
      </w:tr>
      <w:tr w:rsidR="00323EDB" w:rsidRPr="00BB0743" w:rsidTr="00323EDB">
        <w:trPr>
          <w:trHeight w:val="271"/>
        </w:trPr>
        <w:tc>
          <w:tcPr>
            <w:tcW w:w="2759" w:type="dxa"/>
            <w:shd w:val="clear" w:color="auto" w:fill="auto"/>
            <w:noWrap/>
            <w:vAlign w:val="center"/>
          </w:tcPr>
          <w:p w:rsidR="00323EDB" w:rsidRPr="00BB0743" w:rsidRDefault="00323EDB" w:rsidP="002B727A">
            <w:pPr>
              <w:spacing w:line="240" w:lineRule="auto"/>
              <w:ind w:left="-108" w:right="-108"/>
              <w:jc w:val="left"/>
              <w:rPr>
                <w:rFonts w:cs="Arial"/>
                <w:sz w:val="20"/>
                <w:szCs w:val="20"/>
              </w:rPr>
            </w:pPr>
            <w:r>
              <w:rPr>
                <w:rFonts w:cs="Arial"/>
                <w:sz w:val="20"/>
                <w:szCs w:val="20"/>
              </w:rPr>
              <w:t>Gross Generation</w:t>
            </w:r>
            <w:r w:rsidRPr="00BB0743">
              <w:rPr>
                <w:rFonts w:cs="Arial"/>
                <w:sz w:val="20"/>
                <w:szCs w:val="20"/>
              </w:rPr>
              <w:t>(MU)</w:t>
            </w:r>
          </w:p>
        </w:tc>
        <w:tc>
          <w:tcPr>
            <w:tcW w:w="1381" w:type="dxa"/>
            <w:shd w:val="clear" w:color="auto" w:fill="auto"/>
            <w:noWrap/>
            <w:vAlign w:val="center"/>
          </w:tcPr>
          <w:p w:rsidR="00323EDB" w:rsidRPr="00D806BD" w:rsidRDefault="00932E9A" w:rsidP="006D7748">
            <w:pPr>
              <w:spacing w:line="240" w:lineRule="auto"/>
              <w:jc w:val="center"/>
              <w:rPr>
                <w:rFonts w:cs="Arial"/>
                <w:sz w:val="20"/>
                <w:szCs w:val="20"/>
              </w:rPr>
            </w:pPr>
            <w:r w:rsidRPr="00D806BD">
              <w:rPr>
                <w:rFonts w:cs="Arial"/>
                <w:sz w:val="20"/>
                <w:szCs w:val="20"/>
              </w:rPr>
              <w:t>792.</w:t>
            </w:r>
            <w:r w:rsidR="006D7748" w:rsidRPr="00D806BD">
              <w:rPr>
                <w:rFonts w:cs="Arial"/>
                <w:sz w:val="20"/>
                <w:szCs w:val="20"/>
              </w:rPr>
              <w:t>799</w:t>
            </w:r>
          </w:p>
        </w:tc>
        <w:tc>
          <w:tcPr>
            <w:tcW w:w="1440" w:type="dxa"/>
            <w:shd w:val="clear" w:color="auto" w:fill="auto"/>
            <w:noWrap/>
            <w:vAlign w:val="center"/>
          </w:tcPr>
          <w:p w:rsidR="00323EDB" w:rsidRPr="00D806BD" w:rsidRDefault="00932E9A" w:rsidP="00755B81">
            <w:pPr>
              <w:spacing w:line="240" w:lineRule="auto"/>
              <w:jc w:val="center"/>
              <w:rPr>
                <w:rFonts w:cs="Arial"/>
                <w:sz w:val="20"/>
                <w:szCs w:val="20"/>
              </w:rPr>
            </w:pPr>
            <w:r w:rsidRPr="00D806BD">
              <w:rPr>
                <w:rFonts w:cs="Arial"/>
                <w:sz w:val="20"/>
                <w:szCs w:val="20"/>
              </w:rPr>
              <w:t>379.8</w:t>
            </w:r>
            <w:r w:rsidR="006D7748" w:rsidRPr="00D806BD">
              <w:rPr>
                <w:rFonts w:cs="Arial"/>
                <w:sz w:val="20"/>
                <w:szCs w:val="20"/>
              </w:rPr>
              <w:t>83</w:t>
            </w:r>
          </w:p>
        </w:tc>
        <w:tc>
          <w:tcPr>
            <w:tcW w:w="1530" w:type="dxa"/>
            <w:vAlign w:val="center"/>
          </w:tcPr>
          <w:p w:rsidR="00323EDB" w:rsidRPr="00D806BD" w:rsidRDefault="00FC4C20" w:rsidP="00755B81">
            <w:pPr>
              <w:spacing w:line="240" w:lineRule="auto"/>
              <w:jc w:val="center"/>
              <w:rPr>
                <w:rFonts w:cs="Arial"/>
                <w:sz w:val="20"/>
                <w:szCs w:val="20"/>
              </w:rPr>
            </w:pPr>
            <w:r w:rsidRPr="00D806BD">
              <w:rPr>
                <w:rFonts w:cs="Arial"/>
                <w:sz w:val="20"/>
                <w:szCs w:val="20"/>
              </w:rPr>
              <w:t>340.427</w:t>
            </w:r>
          </w:p>
        </w:tc>
        <w:tc>
          <w:tcPr>
            <w:tcW w:w="1980" w:type="dxa"/>
            <w:vAlign w:val="center"/>
          </w:tcPr>
          <w:p w:rsidR="00323EDB" w:rsidRPr="00D806BD" w:rsidRDefault="00FC4C20" w:rsidP="00755B81">
            <w:pPr>
              <w:spacing w:line="240" w:lineRule="auto"/>
              <w:jc w:val="center"/>
              <w:rPr>
                <w:rFonts w:cs="Arial"/>
                <w:sz w:val="20"/>
                <w:szCs w:val="20"/>
              </w:rPr>
            </w:pPr>
            <w:r w:rsidRPr="00D806BD">
              <w:rPr>
                <w:rFonts w:cs="Arial"/>
                <w:sz w:val="20"/>
                <w:szCs w:val="20"/>
              </w:rPr>
              <w:t>889.380</w:t>
            </w:r>
          </w:p>
        </w:tc>
      </w:tr>
      <w:tr w:rsidR="00323EDB" w:rsidRPr="00BB0743" w:rsidTr="00323EDB">
        <w:trPr>
          <w:trHeight w:val="271"/>
        </w:trPr>
        <w:tc>
          <w:tcPr>
            <w:tcW w:w="2759" w:type="dxa"/>
            <w:shd w:val="clear" w:color="auto" w:fill="auto"/>
            <w:noWrap/>
            <w:vAlign w:val="center"/>
          </w:tcPr>
          <w:p w:rsidR="00323EDB" w:rsidRPr="00BB0743" w:rsidRDefault="00323EDB" w:rsidP="002B727A">
            <w:pPr>
              <w:spacing w:line="240" w:lineRule="auto"/>
              <w:ind w:left="-108" w:right="-108"/>
              <w:jc w:val="left"/>
              <w:rPr>
                <w:rFonts w:cs="Arial"/>
                <w:sz w:val="20"/>
                <w:szCs w:val="20"/>
              </w:rPr>
            </w:pPr>
            <w:r w:rsidRPr="00BB0743">
              <w:rPr>
                <w:rFonts w:cs="Arial"/>
                <w:sz w:val="20"/>
                <w:szCs w:val="20"/>
              </w:rPr>
              <w:t>Auxiliary Consumption</w:t>
            </w:r>
          </w:p>
        </w:tc>
        <w:tc>
          <w:tcPr>
            <w:tcW w:w="1381" w:type="dxa"/>
            <w:shd w:val="clear" w:color="auto" w:fill="auto"/>
            <w:noWrap/>
            <w:vAlign w:val="center"/>
          </w:tcPr>
          <w:p w:rsidR="00323EDB" w:rsidRPr="00D806BD" w:rsidRDefault="00323EDB" w:rsidP="00932E9A">
            <w:pPr>
              <w:spacing w:line="240" w:lineRule="auto"/>
              <w:jc w:val="center"/>
              <w:rPr>
                <w:rFonts w:cs="Arial"/>
                <w:sz w:val="20"/>
                <w:szCs w:val="20"/>
              </w:rPr>
            </w:pPr>
            <w:r w:rsidRPr="00D806BD">
              <w:rPr>
                <w:rFonts w:cs="Arial"/>
                <w:sz w:val="20"/>
                <w:szCs w:val="20"/>
              </w:rPr>
              <w:t>1</w:t>
            </w:r>
            <w:r w:rsidR="00932E9A" w:rsidRPr="00D806BD">
              <w:rPr>
                <w:rFonts w:cs="Arial"/>
                <w:sz w:val="20"/>
                <w:szCs w:val="20"/>
              </w:rPr>
              <w:t>3.27</w:t>
            </w:r>
            <w:r w:rsidRPr="00D806BD">
              <w:rPr>
                <w:rFonts w:cs="Arial"/>
                <w:sz w:val="20"/>
                <w:szCs w:val="20"/>
              </w:rPr>
              <w:t>%</w:t>
            </w:r>
          </w:p>
        </w:tc>
        <w:tc>
          <w:tcPr>
            <w:tcW w:w="1440" w:type="dxa"/>
            <w:shd w:val="clear" w:color="auto" w:fill="auto"/>
            <w:noWrap/>
            <w:vAlign w:val="center"/>
          </w:tcPr>
          <w:p w:rsidR="00323EDB" w:rsidRPr="00D806BD" w:rsidRDefault="00932E9A" w:rsidP="00932E9A">
            <w:pPr>
              <w:spacing w:line="240" w:lineRule="auto"/>
              <w:jc w:val="center"/>
              <w:rPr>
                <w:rFonts w:cs="Arial"/>
                <w:sz w:val="20"/>
                <w:szCs w:val="20"/>
              </w:rPr>
            </w:pPr>
            <w:r w:rsidRPr="00D806BD">
              <w:rPr>
                <w:rFonts w:cs="Arial"/>
                <w:sz w:val="20"/>
                <w:szCs w:val="20"/>
              </w:rPr>
              <w:t>1</w:t>
            </w:r>
            <w:r w:rsidR="00323EDB" w:rsidRPr="00D806BD">
              <w:rPr>
                <w:rFonts w:cs="Arial"/>
                <w:sz w:val="20"/>
                <w:szCs w:val="20"/>
              </w:rPr>
              <w:t>5</w:t>
            </w:r>
            <w:r w:rsidRPr="00D806BD">
              <w:rPr>
                <w:rFonts w:cs="Arial"/>
                <w:sz w:val="20"/>
                <w:szCs w:val="20"/>
              </w:rPr>
              <w:t>.16</w:t>
            </w:r>
            <w:r w:rsidR="00323EDB" w:rsidRPr="00D806BD">
              <w:rPr>
                <w:rFonts w:cs="Arial"/>
                <w:sz w:val="20"/>
                <w:szCs w:val="20"/>
              </w:rPr>
              <w:t>%</w:t>
            </w:r>
          </w:p>
        </w:tc>
        <w:tc>
          <w:tcPr>
            <w:tcW w:w="1530" w:type="dxa"/>
            <w:vAlign w:val="center"/>
          </w:tcPr>
          <w:p w:rsidR="00323EDB" w:rsidRPr="00D806BD" w:rsidRDefault="00FC4C20" w:rsidP="00755B81">
            <w:pPr>
              <w:spacing w:line="240" w:lineRule="auto"/>
              <w:jc w:val="center"/>
              <w:rPr>
                <w:rFonts w:cs="Arial"/>
                <w:sz w:val="20"/>
                <w:szCs w:val="20"/>
              </w:rPr>
            </w:pPr>
            <w:r w:rsidRPr="00D806BD">
              <w:rPr>
                <w:rFonts w:cs="Arial"/>
                <w:sz w:val="20"/>
                <w:szCs w:val="20"/>
              </w:rPr>
              <w:t>15.02</w:t>
            </w:r>
            <w:r w:rsidR="00323EDB" w:rsidRPr="00D806BD">
              <w:rPr>
                <w:rFonts w:cs="Arial"/>
                <w:sz w:val="20"/>
                <w:szCs w:val="20"/>
              </w:rPr>
              <w:t>%</w:t>
            </w:r>
          </w:p>
        </w:tc>
        <w:tc>
          <w:tcPr>
            <w:tcW w:w="1980" w:type="dxa"/>
            <w:vAlign w:val="center"/>
          </w:tcPr>
          <w:p w:rsidR="00323EDB" w:rsidRPr="00D806BD" w:rsidRDefault="00323EDB" w:rsidP="00FC4C20">
            <w:pPr>
              <w:jc w:val="center"/>
            </w:pPr>
            <w:r w:rsidRPr="00D806BD">
              <w:rPr>
                <w:rFonts w:cs="Arial"/>
                <w:sz w:val="20"/>
                <w:szCs w:val="20"/>
              </w:rPr>
              <w:t>12.</w:t>
            </w:r>
            <w:r w:rsidR="007C67F0" w:rsidRPr="00D806BD">
              <w:rPr>
                <w:rFonts w:cs="Arial"/>
                <w:sz w:val="20"/>
                <w:szCs w:val="20"/>
              </w:rPr>
              <w:t>5</w:t>
            </w:r>
            <w:r w:rsidR="00FC4C20" w:rsidRPr="00D806BD">
              <w:rPr>
                <w:rFonts w:cs="Arial"/>
                <w:sz w:val="20"/>
                <w:szCs w:val="20"/>
              </w:rPr>
              <w:t>0</w:t>
            </w:r>
            <w:r w:rsidRPr="00D806BD">
              <w:rPr>
                <w:rFonts w:cs="Arial"/>
                <w:sz w:val="20"/>
                <w:szCs w:val="20"/>
              </w:rPr>
              <w:t>%</w:t>
            </w:r>
          </w:p>
        </w:tc>
      </w:tr>
      <w:tr w:rsidR="00323EDB" w:rsidRPr="00BB0743" w:rsidTr="00323EDB">
        <w:trPr>
          <w:trHeight w:val="271"/>
        </w:trPr>
        <w:tc>
          <w:tcPr>
            <w:tcW w:w="2759" w:type="dxa"/>
            <w:shd w:val="clear" w:color="auto" w:fill="auto"/>
            <w:noWrap/>
            <w:vAlign w:val="center"/>
          </w:tcPr>
          <w:p w:rsidR="00323EDB" w:rsidRPr="00BB0743" w:rsidRDefault="00323EDB" w:rsidP="002B727A">
            <w:pPr>
              <w:spacing w:line="240" w:lineRule="auto"/>
              <w:ind w:left="-108" w:right="-108"/>
              <w:jc w:val="left"/>
              <w:rPr>
                <w:rFonts w:cs="Arial"/>
                <w:sz w:val="20"/>
                <w:szCs w:val="20"/>
              </w:rPr>
            </w:pPr>
            <w:r w:rsidRPr="00BB0743">
              <w:rPr>
                <w:rFonts w:cs="Arial"/>
                <w:sz w:val="20"/>
                <w:szCs w:val="20"/>
              </w:rPr>
              <w:t>Net Generation (MU)</w:t>
            </w:r>
          </w:p>
        </w:tc>
        <w:tc>
          <w:tcPr>
            <w:tcW w:w="1381" w:type="dxa"/>
            <w:shd w:val="clear" w:color="auto" w:fill="auto"/>
            <w:noWrap/>
            <w:vAlign w:val="center"/>
          </w:tcPr>
          <w:p w:rsidR="00323EDB" w:rsidRPr="00D806BD" w:rsidRDefault="00932E9A" w:rsidP="006D7748">
            <w:pPr>
              <w:spacing w:line="240" w:lineRule="auto"/>
              <w:jc w:val="center"/>
              <w:rPr>
                <w:rFonts w:cs="Arial"/>
                <w:sz w:val="20"/>
                <w:szCs w:val="20"/>
              </w:rPr>
            </w:pPr>
            <w:r w:rsidRPr="00D806BD">
              <w:rPr>
                <w:rFonts w:cs="Arial"/>
                <w:sz w:val="20"/>
                <w:szCs w:val="20"/>
              </w:rPr>
              <w:t>687.5</w:t>
            </w:r>
            <w:r w:rsidR="006D7748" w:rsidRPr="00D806BD">
              <w:rPr>
                <w:rFonts w:cs="Arial"/>
                <w:sz w:val="20"/>
                <w:szCs w:val="20"/>
              </w:rPr>
              <w:t>77</w:t>
            </w:r>
          </w:p>
        </w:tc>
        <w:tc>
          <w:tcPr>
            <w:tcW w:w="1440" w:type="dxa"/>
            <w:shd w:val="clear" w:color="auto" w:fill="auto"/>
            <w:noWrap/>
            <w:vAlign w:val="center"/>
          </w:tcPr>
          <w:p w:rsidR="00323EDB" w:rsidRPr="00D806BD" w:rsidRDefault="00932E9A" w:rsidP="006D7748">
            <w:pPr>
              <w:spacing w:line="240" w:lineRule="auto"/>
              <w:jc w:val="center"/>
              <w:rPr>
                <w:rFonts w:cs="Arial"/>
                <w:sz w:val="20"/>
                <w:szCs w:val="20"/>
              </w:rPr>
            </w:pPr>
            <w:r w:rsidRPr="00D806BD">
              <w:rPr>
                <w:rFonts w:cs="Arial"/>
                <w:sz w:val="20"/>
                <w:szCs w:val="20"/>
              </w:rPr>
              <w:t>322.</w:t>
            </w:r>
            <w:r w:rsidR="006D7748" w:rsidRPr="00D806BD">
              <w:rPr>
                <w:rFonts w:cs="Arial"/>
                <w:sz w:val="20"/>
                <w:szCs w:val="20"/>
              </w:rPr>
              <w:t>301</w:t>
            </w:r>
          </w:p>
        </w:tc>
        <w:tc>
          <w:tcPr>
            <w:tcW w:w="1530" w:type="dxa"/>
            <w:vAlign w:val="center"/>
          </w:tcPr>
          <w:p w:rsidR="00323EDB" w:rsidRPr="00D806BD" w:rsidRDefault="00FC4C20" w:rsidP="00755B81">
            <w:pPr>
              <w:spacing w:line="240" w:lineRule="auto"/>
              <w:jc w:val="center"/>
              <w:rPr>
                <w:rFonts w:cs="Arial"/>
                <w:sz w:val="20"/>
                <w:szCs w:val="20"/>
              </w:rPr>
            </w:pPr>
            <w:r w:rsidRPr="00D806BD">
              <w:rPr>
                <w:rFonts w:cs="Arial"/>
                <w:sz w:val="20"/>
                <w:szCs w:val="20"/>
              </w:rPr>
              <w:t>289.282</w:t>
            </w:r>
          </w:p>
        </w:tc>
        <w:tc>
          <w:tcPr>
            <w:tcW w:w="1980" w:type="dxa"/>
            <w:vAlign w:val="center"/>
          </w:tcPr>
          <w:p w:rsidR="00323EDB" w:rsidRPr="00D806BD" w:rsidRDefault="007C67F0" w:rsidP="00755B81">
            <w:pPr>
              <w:spacing w:line="240" w:lineRule="auto"/>
              <w:jc w:val="center"/>
              <w:rPr>
                <w:rFonts w:cs="Arial"/>
                <w:sz w:val="20"/>
                <w:szCs w:val="20"/>
              </w:rPr>
            </w:pPr>
            <w:r w:rsidRPr="00D806BD">
              <w:rPr>
                <w:rFonts w:cs="Arial"/>
                <w:sz w:val="20"/>
                <w:szCs w:val="20"/>
              </w:rPr>
              <w:t>778.208</w:t>
            </w:r>
          </w:p>
        </w:tc>
      </w:tr>
      <w:tr w:rsidR="00932E9A" w:rsidRPr="00BB0743" w:rsidTr="00323EDB">
        <w:trPr>
          <w:trHeight w:val="256"/>
        </w:trPr>
        <w:tc>
          <w:tcPr>
            <w:tcW w:w="2759" w:type="dxa"/>
            <w:shd w:val="clear" w:color="auto" w:fill="000080"/>
            <w:noWrap/>
            <w:vAlign w:val="center"/>
          </w:tcPr>
          <w:p w:rsidR="00932E9A" w:rsidRPr="00BB0743" w:rsidRDefault="00932E9A" w:rsidP="002B727A">
            <w:pPr>
              <w:spacing w:line="240" w:lineRule="auto"/>
              <w:ind w:left="-108" w:right="-108"/>
              <w:jc w:val="left"/>
              <w:rPr>
                <w:rFonts w:cs="Arial"/>
                <w:b/>
                <w:bCs/>
                <w:color w:val="FFFFFF"/>
                <w:sz w:val="20"/>
                <w:szCs w:val="20"/>
              </w:rPr>
            </w:pPr>
            <w:r w:rsidRPr="00BB0743">
              <w:rPr>
                <w:rFonts w:cs="Arial"/>
                <w:b/>
                <w:bCs/>
                <w:color w:val="FFFFFF"/>
                <w:sz w:val="20"/>
                <w:szCs w:val="20"/>
              </w:rPr>
              <w:t>GT Power Station</w:t>
            </w:r>
          </w:p>
        </w:tc>
        <w:tc>
          <w:tcPr>
            <w:tcW w:w="1381" w:type="dxa"/>
            <w:shd w:val="clear" w:color="auto" w:fill="000080"/>
            <w:noWrap/>
            <w:vAlign w:val="center"/>
          </w:tcPr>
          <w:p w:rsidR="00932E9A" w:rsidRPr="00D806BD" w:rsidRDefault="00932E9A" w:rsidP="003144A8">
            <w:pPr>
              <w:spacing w:line="240" w:lineRule="auto"/>
              <w:jc w:val="center"/>
              <w:rPr>
                <w:rFonts w:cs="Arial"/>
                <w:b/>
                <w:bCs/>
                <w:sz w:val="20"/>
                <w:szCs w:val="20"/>
              </w:rPr>
            </w:pPr>
            <w:r w:rsidRPr="00D806BD">
              <w:rPr>
                <w:rFonts w:cs="Arial"/>
                <w:b/>
                <w:bCs/>
                <w:sz w:val="20"/>
                <w:szCs w:val="20"/>
              </w:rPr>
              <w:t>12-13</w:t>
            </w:r>
          </w:p>
        </w:tc>
        <w:tc>
          <w:tcPr>
            <w:tcW w:w="1440" w:type="dxa"/>
            <w:shd w:val="clear" w:color="auto" w:fill="000080"/>
            <w:noWrap/>
            <w:vAlign w:val="center"/>
          </w:tcPr>
          <w:p w:rsidR="00932E9A" w:rsidRPr="00D806BD" w:rsidRDefault="00932E9A" w:rsidP="003144A8">
            <w:pPr>
              <w:spacing w:line="240" w:lineRule="auto"/>
              <w:jc w:val="center"/>
              <w:rPr>
                <w:rFonts w:cs="Arial"/>
                <w:b/>
                <w:bCs/>
                <w:sz w:val="20"/>
                <w:szCs w:val="20"/>
              </w:rPr>
            </w:pPr>
            <w:r w:rsidRPr="00D806BD">
              <w:rPr>
                <w:rFonts w:cs="Arial"/>
                <w:b/>
                <w:bCs/>
                <w:sz w:val="20"/>
                <w:szCs w:val="20"/>
              </w:rPr>
              <w:t>13-14</w:t>
            </w:r>
          </w:p>
        </w:tc>
        <w:tc>
          <w:tcPr>
            <w:tcW w:w="1530" w:type="dxa"/>
            <w:shd w:val="clear" w:color="auto" w:fill="000080"/>
            <w:vAlign w:val="center"/>
          </w:tcPr>
          <w:p w:rsidR="00932E9A" w:rsidRPr="00D806BD" w:rsidRDefault="00932E9A" w:rsidP="00932E9A">
            <w:pPr>
              <w:spacing w:line="240" w:lineRule="auto"/>
              <w:jc w:val="center"/>
              <w:rPr>
                <w:rFonts w:cs="Arial"/>
                <w:b/>
                <w:bCs/>
                <w:sz w:val="20"/>
                <w:szCs w:val="20"/>
              </w:rPr>
            </w:pPr>
            <w:r w:rsidRPr="00D806BD">
              <w:rPr>
                <w:rFonts w:cs="Arial"/>
                <w:b/>
                <w:bCs/>
                <w:sz w:val="20"/>
                <w:szCs w:val="20"/>
              </w:rPr>
              <w:t>14-15( up to Dec 14)</w:t>
            </w:r>
          </w:p>
        </w:tc>
        <w:tc>
          <w:tcPr>
            <w:tcW w:w="1980" w:type="dxa"/>
            <w:shd w:val="clear" w:color="auto" w:fill="000080"/>
            <w:vAlign w:val="center"/>
          </w:tcPr>
          <w:p w:rsidR="00932E9A" w:rsidRPr="00D806BD" w:rsidRDefault="00932E9A" w:rsidP="003144A8">
            <w:pPr>
              <w:spacing w:line="240" w:lineRule="auto"/>
              <w:jc w:val="center"/>
              <w:rPr>
                <w:rFonts w:cs="Arial"/>
                <w:b/>
                <w:bCs/>
                <w:sz w:val="20"/>
                <w:szCs w:val="20"/>
              </w:rPr>
            </w:pPr>
            <w:r w:rsidRPr="00D806BD">
              <w:rPr>
                <w:rFonts w:cs="Arial"/>
                <w:b/>
                <w:bCs/>
                <w:sz w:val="20"/>
                <w:szCs w:val="20"/>
              </w:rPr>
              <w:t>15-16(</w:t>
            </w:r>
            <w:r w:rsidR="008C55DF" w:rsidRPr="00D806BD">
              <w:rPr>
                <w:rFonts w:cs="Arial"/>
                <w:b/>
                <w:bCs/>
                <w:sz w:val="20"/>
                <w:szCs w:val="20"/>
              </w:rPr>
              <w:t>E</w:t>
            </w:r>
            <w:r w:rsidR="008C55DF">
              <w:rPr>
                <w:rFonts w:cs="Arial"/>
                <w:b/>
                <w:bCs/>
                <w:sz w:val="20"/>
                <w:szCs w:val="20"/>
              </w:rPr>
              <w:t>stima</w:t>
            </w:r>
            <w:r w:rsidR="008C55DF" w:rsidRPr="00D806BD">
              <w:rPr>
                <w:rFonts w:cs="Arial"/>
                <w:b/>
                <w:bCs/>
                <w:sz w:val="20"/>
                <w:szCs w:val="20"/>
              </w:rPr>
              <w:t>ted</w:t>
            </w:r>
            <w:r w:rsidRPr="00D806BD">
              <w:rPr>
                <w:rFonts w:cs="Arial"/>
                <w:b/>
                <w:bCs/>
                <w:sz w:val="20"/>
                <w:szCs w:val="20"/>
              </w:rPr>
              <w:t>)</w:t>
            </w:r>
          </w:p>
        </w:tc>
      </w:tr>
      <w:tr w:rsidR="00932E9A" w:rsidRPr="00BB0743" w:rsidTr="00323EDB">
        <w:trPr>
          <w:trHeight w:val="271"/>
        </w:trPr>
        <w:tc>
          <w:tcPr>
            <w:tcW w:w="2759" w:type="dxa"/>
            <w:shd w:val="clear" w:color="auto" w:fill="auto"/>
            <w:noWrap/>
            <w:vAlign w:val="center"/>
          </w:tcPr>
          <w:p w:rsidR="00932E9A" w:rsidRPr="00BB0743" w:rsidRDefault="00932E9A" w:rsidP="002B727A">
            <w:pPr>
              <w:spacing w:line="240" w:lineRule="auto"/>
              <w:ind w:left="-108" w:right="-108"/>
              <w:jc w:val="left"/>
              <w:rPr>
                <w:rFonts w:cs="Arial"/>
                <w:sz w:val="20"/>
                <w:szCs w:val="20"/>
              </w:rPr>
            </w:pPr>
            <w:r w:rsidRPr="00BB0743">
              <w:rPr>
                <w:rFonts w:cs="Arial"/>
                <w:sz w:val="20"/>
                <w:szCs w:val="20"/>
              </w:rPr>
              <w:t>Capacity</w:t>
            </w:r>
            <w:r>
              <w:rPr>
                <w:rFonts w:cs="Arial"/>
                <w:sz w:val="20"/>
                <w:szCs w:val="20"/>
              </w:rPr>
              <w:t xml:space="preserve"> (MW)</w:t>
            </w:r>
          </w:p>
        </w:tc>
        <w:tc>
          <w:tcPr>
            <w:tcW w:w="1381" w:type="dxa"/>
            <w:shd w:val="clear" w:color="auto" w:fill="auto"/>
            <w:noWrap/>
            <w:vAlign w:val="center"/>
          </w:tcPr>
          <w:p w:rsidR="00932E9A" w:rsidRPr="00D806BD" w:rsidRDefault="00932E9A" w:rsidP="002B727A">
            <w:pPr>
              <w:spacing w:line="240" w:lineRule="auto"/>
              <w:jc w:val="center"/>
              <w:rPr>
                <w:rFonts w:cs="Arial"/>
                <w:sz w:val="20"/>
                <w:szCs w:val="20"/>
              </w:rPr>
            </w:pPr>
            <w:r w:rsidRPr="00D806BD">
              <w:rPr>
                <w:rFonts w:cs="Arial"/>
                <w:sz w:val="20"/>
                <w:szCs w:val="20"/>
              </w:rPr>
              <w:t>270</w:t>
            </w:r>
          </w:p>
        </w:tc>
        <w:tc>
          <w:tcPr>
            <w:tcW w:w="1440" w:type="dxa"/>
            <w:shd w:val="clear" w:color="auto" w:fill="auto"/>
            <w:noWrap/>
            <w:vAlign w:val="center"/>
          </w:tcPr>
          <w:p w:rsidR="00932E9A" w:rsidRPr="00D806BD" w:rsidRDefault="00932E9A" w:rsidP="002B727A">
            <w:pPr>
              <w:spacing w:line="240" w:lineRule="auto"/>
              <w:jc w:val="center"/>
              <w:rPr>
                <w:rFonts w:cs="Arial"/>
                <w:sz w:val="20"/>
                <w:szCs w:val="20"/>
              </w:rPr>
            </w:pPr>
            <w:r w:rsidRPr="00D806BD">
              <w:rPr>
                <w:rFonts w:cs="Arial"/>
                <w:sz w:val="20"/>
                <w:szCs w:val="20"/>
              </w:rPr>
              <w:t>270</w:t>
            </w:r>
          </w:p>
        </w:tc>
        <w:tc>
          <w:tcPr>
            <w:tcW w:w="1530" w:type="dxa"/>
            <w:vAlign w:val="center"/>
          </w:tcPr>
          <w:p w:rsidR="00932E9A" w:rsidRPr="00D806BD" w:rsidRDefault="00932E9A" w:rsidP="002B727A">
            <w:pPr>
              <w:spacing w:line="240" w:lineRule="auto"/>
              <w:jc w:val="center"/>
              <w:rPr>
                <w:rFonts w:cs="Arial"/>
                <w:sz w:val="20"/>
                <w:szCs w:val="20"/>
              </w:rPr>
            </w:pPr>
            <w:r w:rsidRPr="00D806BD">
              <w:rPr>
                <w:rFonts w:cs="Arial"/>
                <w:sz w:val="20"/>
                <w:szCs w:val="20"/>
              </w:rPr>
              <w:t>270</w:t>
            </w:r>
          </w:p>
        </w:tc>
        <w:tc>
          <w:tcPr>
            <w:tcW w:w="1980" w:type="dxa"/>
            <w:vAlign w:val="center"/>
          </w:tcPr>
          <w:p w:rsidR="00932E9A" w:rsidRPr="00D806BD" w:rsidRDefault="00932E9A" w:rsidP="002B727A">
            <w:pPr>
              <w:spacing w:line="240" w:lineRule="auto"/>
              <w:jc w:val="center"/>
              <w:rPr>
                <w:rFonts w:cs="Arial"/>
                <w:sz w:val="20"/>
                <w:szCs w:val="20"/>
              </w:rPr>
            </w:pPr>
            <w:r w:rsidRPr="00D806BD">
              <w:rPr>
                <w:rFonts w:cs="Arial"/>
                <w:sz w:val="20"/>
                <w:szCs w:val="20"/>
              </w:rPr>
              <w:t>270</w:t>
            </w:r>
          </w:p>
        </w:tc>
      </w:tr>
      <w:tr w:rsidR="00932E9A" w:rsidRPr="00BB0743" w:rsidTr="00323EDB">
        <w:trPr>
          <w:trHeight w:val="271"/>
        </w:trPr>
        <w:tc>
          <w:tcPr>
            <w:tcW w:w="2759" w:type="dxa"/>
            <w:shd w:val="clear" w:color="auto" w:fill="auto"/>
            <w:noWrap/>
            <w:vAlign w:val="center"/>
          </w:tcPr>
          <w:p w:rsidR="00932E9A" w:rsidRPr="00BB0743" w:rsidRDefault="00932E9A" w:rsidP="002B727A">
            <w:pPr>
              <w:spacing w:line="240" w:lineRule="auto"/>
              <w:ind w:left="-108" w:right="-108"/>
              <w:jc w:val="left"/>
              <w:rPr>
                <w:rFonts w:cs="Arial"/>
                <w:sz w:val="20"/>
                <w:szCs w:val="20"/>
              </w:rPr>
            </w:pPr>
            <w:r>
              <w:rPr>
                <w:rFonts w:cs="Arial"/>
                <w:sz w:val="20"/>
                <w:szCs w:val="20"/>
              </w:rPr>
              <w:t>Gross Generation</w:t>
            </w:r>
            <w:r w:rsidRPr="00BB0743">
              <w:rPr>
                <w:rFonts w:cs="Arial"/>
                <w:sz w:val="20"/>
                <w:szCs w:val="20"/>
              </w:rPr>
              <w:t>(MU)</w:t>
            </w:r>
          </w:p>
        </w:tc>
        <w:tc>
          <w:tcPr>
            <w:tcW w:w="1381" w:type="dxa"/>
            <w:shd w:val="clear" w:color="auto" w:fill="auto"/>
            <w:noWrap/>
            <w:vAlign w:val="center"/>
          </w:tcPr>
          <w:p w:rsidR="00932E9A" w:rsidRPr="00D806BD" w:rsidRDefault="007C67F0" w:rsidP="00932E9A">
            <w:pPr>
              <w:spacing w:line="240" w:lineRule="auto"/>
              <w:jc w:val="center"/>
              <w:rPr>
                <w:rFonts w:cs="Arial"/>
                <w:sz w:val="20"/>
                <w:szCs w:val="20"/>
              </w:rPr>
            </w:pPr>
            <w:r w:rsidRPr="00D806BD">
              <w:rPr>
                <w:rFonts w:cs="Arial"/>
                <w:sz w:val="20"/>
                <w:szCs w:val="20"/>
              </w:rPr>
              <w:t>1307.834</w:t>
            </w:r>
          </w:p>
        </w:tc>
        <w:tc>
          <w:tcPr>
            <w:tcW w:w="1440" w:type="dxa"/>
            <w:shd w:val="clear" w:color="auto" w:fill="auto"/>
            <w:noWrap/>
            <w:vAlign w:val="center"/>
          </w:tcPr>
          <w:p w:rsidR="00932E9A" w:rsidRPr="00D806BD" w:rsidRDefault="00932E9A" w:rsidP="002B727A">
            <w:pPr>
              <w:spacing w:line="240" w:lineRule="auto"/>
              <w:jc w:val="center"/>
              <w:rPr>
                <w:rFonts w:cs="Arial"/>
                <w:sz w:val="20"/>
                <w:szCs w:val="20"/>
              </w:rPr>
            </w:pPr>
            <w:r w:rsidRPr="00D806BD">
              <w:rPr>
                <w:rFonts w:cs="Arial"/>
                <w:sz w:val="20"/>
                <w:szCs w:val="20"/>
              </w:rPr>
              <w:t>1040.949</w:t>
            </w:r>
          </w:p>
        </w:tc>
        <w:tc>
          <w:tcPr>
            <w:tcW w:w="1530" w:type="dxa"/>
            <w:vAlign w:val="center"/>
          </w:tcPr>
          <w:p w:rsidR="00932E9A" w:rsidRPr="00D806BD" w:rsidRDefault="00FC4C20" w:rsidP="002B727A">
            <w:pPr>
              <w:spacing w:line="240" w:lineRule="auto"/>
              <w:jc w:val="center"/>
              <w:rPr>
                <w:rFonts w:cs="Arial"/>
                <w:sz w:val="20"/>
                <w:szCs w:val="20"/>
              </w:rPr>
            </w:pPr>
            <w:r w:rsidRPr="00D806BD">
              <w:rPr>
                <w:rFonts w:cs="Arial"/>
                <w:sz w:val="20"/>
                <w:szCs w:val="20"/>
              </w:rPr>
              <w:t>721.429</w:t>
            </w:r>
          </w:p>
        </w:tc>
        <w:tc>
          <w:tcPr>
            <w:tcW w:w="1980" w:type="dxa"/>
            <w:vAlign w:val="center"/>
          </w:tcPr>
          <w:p w:rsidR="00932E9A" w:rsidRPr="00D806BD" w:rsidRDefault="00FC4C20" w:rsidP="002B727A">
            <w:pPr>
              <w:spacing w:line="240" w:lineRule="auto"/>
              <w:jc w:val="center"/>
              <w:rPr>
                <w:rFonts w:cs="Arial"/>
                <w:sz w:val="20"/>
                <w:szCs w:val="20"/>
              </w:rPr>
            </w:pPr>
            <w:r w:rsidRPr="00D806BD">
              <w:rPr>
                <w:rFonts w:cs="Arial"/>
                <w:sz w:val="20"/>
                <w:szCs w:val="20"/>
              </w:rPr>
              <w:t>1897</w:t>
            </w:r>
            <w:r w:rsidR="007C67F0" w:rsidRPr="00D806BD">
              <w:rPr>
                <w:rFonts w:cs="Arial"/>
                <w:sz w:val="20"/>
                <w:szCs w:val="20"/>
              </w:rPr>
              <w:t>.344</w:t>
            </w:r>
          </w:p>
        </w:tc>
      </w:tr>
      <w:tr w:rsidR="00932E9A" w:rsidRPr="00BB0743" w:rsidTr="00323EDB">
        <w:trPr>
          <w:trHeight w:val="271"/>
        </w:trPr>
        <w:tc>
          <w:tcPr>
            <w:tcW w:w="2759" w:type="dxa"/>
            <w:shd w:val="clear" w:color="auto" w:fill="auto"/>
            <w:noWrap/>
            <w:vAlign w:val="center"/>
          </w:tcPr>
          <w:p w:rsidR="00932E9A" w:rsidRPr="00BB0743" w:rsidRDefault="00932E9A" w:rsidP="002B727A">
            <w:pPr>
              <w:spacing w:line="240" w:lineRule="auto"/>
              <w:ind w:left="-108" w:right="-108"/>
              <w:jc w:val="left"/>
              <w:rPr>
                <w:rFonts w:cs="Arial"/>
                <w:sz w:val="20"/>
                <w:szCs w:val="20"/>
              </w:rPr>
            </w:pPr>
            <w:r w:rsidRPr="00BB0743">
              <w:rPr>
                <w:rFonts w:cs="Arial"/>
                <w:sz w:val="20"/>
                <w:szCs w:val="20"/>
              </w:rPr>
              <w:t>Auxiliary Consumption</w:t>
            </w:r>
          </w:p>
        </w:tc>
        <w:tc>
          <w:tcPr>
            <w:tcW w:w="1381" w:type="dxa"/>
            <w:shd w:val="clear" w:color="auto" w:fill="auto"/>
            <w:noWrap/>
            <w:vAlign w:val="center"/>
          </w:tcPr>
          <w:p w:rsidR="00932E9A" w:rsidRPr="00D806BD" w:rsidRDefault="00932E9A" w:rsidP="00932E9A">
            <w:pPr>
              <w:spacing w:line="240" w:lineRule="auto"/>
              <w:jc w:val="center"/>
              <w:rPr>
                <w:rFonts w:cs="Arial"/>
                <w:sz w:val="20"/>
                <w:szCs w:val="20"/>
              </w:rPr>
            </w:pPr>
            <w:r w:rsidRPr="00D806BD">
              <w:rPr>
                <w:rFonts w:cs="Arial"/>
                <w:sz w:val="20"/>
                <w:szCs w:val="20"/>
              </w:rPr>
              <w:t>3.01%</w:t>
            </w:r>
          </w:p>
        </w:tc>
        <w:tc>
          <w:tcPr>
            <w:tcW w:w="1440" w:type="dxa"/>
            <w:shd w:val="clear" w:color="auto" w:fill="auto"/>
            <w:noWrap/>
            <w:vAlign w:val="center"/>
          </w:tcPr>
          <w:p w:rsidR="00932E9A" w:rsidRPr="00D806BD" w:rsidRDefault="00932E9A" w:rsidP="00932E9A">
            <w:pPr>
              <w:spacing w:line="240" w:lineRule="auto"/>
              <w:jc w:val="center"/>
              <w:rPr>
                <w:rFonts w:cs="Arial"/>
                <w:sz w:val="20"/>
                <w:szCs w:val="20"/>
              </w:rPr>
            </w:pPr>
            <w:r w:rsidRPr="00D806BD">
              <w:rPr>
                <w:rFonts w:cs="Arial"/>
                <w:sz w:val="20"/>
                <w:szCs w:val="20"/>
              </w:rPr>
              <w:t>3.28%</w:t>
            </w:r>
          </w:p>
        </w:tc>
        <w:tc>
          <w:tcPr>
            <w:tcW w:w="1530" w:type="dxa"/>
            <w:vAlign w:val="center"/>
          </w:tcPr>
          <w:p w:rsidR="00932E9A" w:rsidRPr="00D806BD" w:rsidRDefault="00932E9A" w:rsidP="00FC4C20">
            <w:pPr>
              <w:spacing w:line="240" w:lineRule="auto"/>
              <w:jc w:val="center"/>
              <w:rPr>
                <w:rFonts w:cs="Arial"/>
                <w:sz w:val="20"/>
                <w:szCs w:val="20"/>
              </w:rPr>
            </w:pPr>
            <w:r w:rsidRPr="00D806BD">
              <w:rPr>
                <w:rFonts w:cs="Arial"/>
                <w:sz w:val="20"/>
                <w:szCs w:val="20"/>
              </w:rPr>
              <w:t>3.</w:t>
            </w:r>
            <w:r w:rsidR="00FC4C20" w:rsidRPr="00D806BD">
              <w:rPr>
                <w:rFonts w:cs="Arial"/>
                <w:sz w:val="20"/>
                <w:szCs w:val="20"/>
              </w:rPr>
              <w:t>59</w:t>
            </w:r>
            <w:r w:rsidRPr="00D806BD">
              <w:rPr>
                <w:rFonts w:cs="Arial"/>
                <w:sz w:val="20"/>
                <w:szCs w:val="20"/>
              </w:rPr>
              <w:t>%</w:t>
            </w:r>
          </w:p>
        </w:tc>
        <w:tc>
          <w:tcPr>
            <w:tcW w:w="1980" w:type="dxa"/>
            <w:vAlign w:val="center"/>
          </w:tcPr>
          <w:p w:rsidR="00932E9A" w:rsidRPr="00D806BD" w:rsidRDefault="00932E9A" w:rsidP="008D047C">
            <w:pPr>
              <w:jc w:val="center"/>
              <w:rPr>
                <w:rFonts w:cs="Arial"/>
                <w:sz w:val="20"/>
                <w:szCs w:val="20"/>
              </w:rPr>
            </w:pPr>
            <w:r w:rsidRPr="00D806BD">
              <w:rPr>
                <w:rFonts w:cs="Arial"/>
                <w:sz w:val="20"/>
                <w:szCs w:val="20"/>
              </w:rPr>
              <w:t>3.</w:t>
            </w:r>
            <w:r w:rsidR="008D047C" w:rsidRPr="00D806BD">
              <w:rPr>
                <w:rFonts w:cs="Arial"/>
                <w:sz w:val="20"/>
                <w:szCs w:val="20"/>
              </w:rPr>
              <w:t>59</w:t>
            </w:r>
            <w:r w:rsidRPr="00D806BD">
              <w:rPr>
                <w:rFonts w:cs="Arial"/>
                <w:sz w:val="20"/>
                <w:szCs w:val="20"/>
              </w:rPr>
              <w:t>%</w:t>
            </w:r>
          </w:p>
        </w:tc>
      </w:tr>
      <w:tr w:rsidR="00932E9A" w:rsidRPr="00BB0743" w:rsidTr="00323EDB">
        <w:trPr>
          <w:trHeight w:val="271"/>
        </w:trPr>
        <w:tc>
          <w:tcPr>
            <w:tcW w:w="2759" w:type="dxa"/>
            <w:shd w:val="clear" w:color="auto" w:fill="auto"/>
            <w:noWrap/>
            <w:vAlign w:val="center"/>
          </w:tcPr>
          <w:p w:rsidR="00932E9A" w:rsidRPr="00BB0743" w:rsidRDefault="00932E9A" w:rsidP="002B727A">
            <w:pPr>
              <w:spacing w:line="240" w:lineRule="auto"/>
              <w:ind w:left="-108" w:right="-108"/>
              <w:jc w:val="left"/>
              <w:rPr>
                <w:rFonts w:cs="Arial"/>
                <w:sz w:val="20"/>
                <w:szCs w:val="20"/>
              </w:rPr>
            </w:pPr>
            <w:r w:rsidRPr="00BB0743">
              <w:rPr>
                <w:rFonts w:cs="Arial"/>
                <w:sz w:val="20"/>
                <w:szCs w:val="20"/>
              </w:rPr>
              <w:t>Net Generation (MU)</w:t>
            </w:r>
          </w:p>
        </w:tc>
        <w:tc>
          <w:tcPr>
            <w:tcW w:w="1381" w:type="dxa"/>
            <w:shd w:val="clear" w:color="auto" w:fill="auto"/>
            <w:noWrap/>
            <w:vAlign w:val="center"/>
          </w:tcPr>
          <w:p w:rsidR="00932E9A" w:rsidRPr="00D806BD" w:rsidRDefault="007C67F0" w:rsidP="00932E9A">
            <w:pPr>
              <w:spacing w:line="240" w:lineRule="auto"/>
              <w:jc w:val="center"/>
              <w:rPr>
                <w:rFonts w:cs="Arial"/>
                <w:sz w:val="20"/>
                <w:szCs w:val="20"/>
              </w:rPr>
            </w:pPr>
            <w:r w:rsidRPr="00D806BD">
              <w:rPr>
                <w:rFonts w:cs="Arial"/>
                <w:sz w:val="20"/>
                <w:szCs w:val="20"/>
              </w:rPr>
              <w:t>1</w:t>
            </w:r>
            <w:r w:rsidR="00932E9A" w:rsidRPr="00D806BD">
              <w:rPr>
                <w:rFonts w:cs="Arial"/>
                <w:sz w:val="20"/>
                <w:szCs w:val="20"/>
              </w:rPr>
              <w:t>268.42</w:t>
            </w:r>
            <w:r w:rsidRPr="00D806BD">
              <w:rPr>
                <w:rFonts w:cs="Arial"/>
                <w:sz w:val="20"/>
                <w:szCs w:val="20"/>
              </w:rPr>
              <w:t>2</w:t>
            </w:r>
          </w:p>
        </w:tc>
        <w:tc>
          <w:tcPr>
            <w:tcW w:w="1440" w:type="dxa"/>
            <w:shd w:val="clear" w:color="auto" w:fill="auto"/>
            <w:noWrap/>
            <w:vAlign w:val="center"/>
          </w:tcPr>
          <w:p w:rsidR="00932E9A" w:rsidRPr="00D806BD" w:rsidRDefault="00932E9A" w:rsidP="002B727A">
            <w:pPr>
              <w:spacing w:line="240" w:lineRule="auto"/>
              <w:jc w:val="center"/>
              <w:rPr>
                <w:rFonts w:cs="Arial"/>
                <w:sz w:val="20"/>
                <w:szCs w:val="20"/>
              </w:rPr>
            </w:pPr>
            <w:r w:rsidRPr="00D806BD">
              <w:rPr>
                <w:rFonts w:cs="Arial"/>
                <w:sz w:val="20"/>
                <w:szCs w:val="20"/>
              </w:rPr>
              <w:t>1006.792</w:t>
            </w:r>
          </w:p>
        </w:tc>
        <w:tc>
          <w:tcPr>
            <w:tcW w:w="1530" w:type="dxa"/>
            <w:vAlign w:val="center"/>
          </w:tcPr>
          <w:p w:rsidR="00932E9A" w:rsidRPr="00D806BD" w:rsidRDefault="00FC4C20" w:rsidP="002B727A">
            <w:pPr>
              <w:spacing w:line="240" w:lineRule="auto"/>
              <w:jc w:val="center"/>
              <w:rPr>
                <w:rFonts w:cs="Arial"/>
                <w:sz w:val="20"/>
                <w:szCs w:val="20"/>
              </w:rPr>
            </w:pPr>
            <w:r w:rsidRPr="00D806BD">
              <w:rPr>
                <w:rFonts w:cs="Arial"/>
                <w:sz w:val="20"/>
                <w:szCs w:val="20"/>
              </w:rPr>
              <w:t>695.562</w:t>
            </w:r>
          </w:p>
        </w:tc>
        <w:tc>
          <w:tcPr>
            <w:tcW w:w="1980" w:type="dxa"/>
            <w:vAlign w:val="center"/>
          </w:tcPr>
          <w:p w:rsidR="00932E9A" w:rsidRPr="00D806BD" w:rsidRDefault="008D047C" w:rsidP="002B727A">
            <w:pPr>
              <w:spacing w:line="240" w:lineRule="auto"/>
              <w:jc w:val="center"/>
              <w:rPr>
                <w:rFonts w:cs="Arial"/>
                <w:sz w:val="20"/>
                <w:szCs w:val="20"/>
              </w:rPr>
            </w:pPr>
            <w:r w:rsidRPr="00D806BD">
              <w:rPr>
                <w:rFonts w:cs="Arial"/>
                <w:sz w:val="20"/>
                <w:szCs w:val="20"/>
              </w:rPr>
              <w:t>1829.23</w:t>
            </w:r>
          </w:p>
        </w:tc>
      </w:tr>
      <w:tr w:rsidR="00932E9A" w:rsidRPr="00BB0743" w:rsidTr="00323EDB">
        <w:trPr>
          <w:trHeight w:val="256"/>
        </w:trPr>
        <w:tc>
          <w:tcPr>
            <w:tcW w:w="2759" w:type="dxa"/>
            <w:shd w:val="clear" w:color="auto" w:fill="000080"/>
            <w:noWrap/>
            <w:vAlign w:val="center"/>
          </w:tcPr>
          <w:p w:rsidR="00932E9A" w:rsidRPr="00BB0743" w:rsidRDefault="00932E9A" w:rsidP="002B727A">
            <w:pPr>
              <w:spacing w:line="240" w:lineRule="auto"/>
              <w:ind w:left="-108" w:right="-108"/>
              <w:jc w:val="left"/>
              <w:rPr>
                <w:rFonts w:cs="Arial"/>
                <w:b/>
                <w:bCs/>
                <w:color w:val="FFFFFF"/>
                <w:sz w:val="20"/>
                <w:szCs w:val="20"/>
              </w:rPr>
            </w:pPr>
            <w:r w:rsidRPr="00BB0743">
              <w:rPr>
                <w:rFonts w:cs="Arial"/>
                <w:b/>
                <w:bCs/>
                <w:color w:val="FFFFFF"/>
                <w:sz w:val="20"/>
                <w:szCs w:val="20"/>
              </w:rPr>
              <w:t xml:space="preserve">Total IPGCL for </w:t>
            </w:r>
            <w:smartTag w:uri="urn:schemas-microsoft-com:office:smarttags" w:element="place">
              <w:smartTag w:uri="urn:schemas-microsoft-com:office:smarttags" w:element="City">
                <w:r w:rsidRPr="00BB0743">
                  <w:rPr>
                    <w:rFonts w:cs="Arial"/>
                    <w:b/>
                    <w:bCs/>
                    <w:color w:val="FFFFFF"/>
                    <w:sz w:val="20"/>
                    <w:szCs w:val="20"/>
                  </w:rPr>
                  <w:t>Delhi</w:t>
                </w:r>
              </w:smartTag>
            </w:smartTag>
          </w:p>
        </w:tc>
        <w:tc>
          <w:tcPr>
            <w:tcW w:w="1381" w:type="dxa"/>
            <w:shd w:val="clear" w:color="auto" w:fill="000080"/>
            <w:noWrap/>
            <w:vAlign w:val="center"/>
          </w:tcPr>
          <w:p w:rsidR="00932E9A" w:rsidRPr="00D806BD" w:rsidRDefault="00932E9A" w:rsidP="003144A8">
            <w:pPr>
              <w:spacing w:line="240" w:lineRule="auto"/>
              <w:jc w:val="center"/>
              <w:rPr>
                <w:rFonts w:cs="Arial"/>
                <w:b/>
                <w:bCs/>
                <w:sz w:val="20"/>
                <w:szCs w:val="20"/>
              </w:rPr>
            </w:pPr>
            <w:r w:rsidRPr="00D806BD">
              <w:rPr>
                <w:rFonts w:cs="Arial"/>
                <w:b/>
                <w:bCs/>
                <w:sz w:val="20"/>
                <w:szCs w:val="20"/>
              </w:rPr>
              <w:t>12-13</w:t>
            </w:r>
          </w:p>
        </w:tc>
        <w:tc>
          <w:tcPr>
            <w:tcW w:w="1440" w:type="dxa"/>
            <w:shd w:val="clear" w:color="auto" w:fill="000080"/>
            <w:noWrap/>
            <w:vAlign w:val="center"/>
          </w:tcPr>
          <w:p w:rsidR="00932E9A" w:rsidRPr="00D806BD" w:rsidRDefault="00932E9A" w:rsidP="003144A8">
            <w:pPr>
              <w:spacing w:line="240" w:lineRule="auto"/>
              <w:jc w:val="center"/>
              <w:rPr>
                <w:rFonts w:cs="Arial"/>
                <w:b/>
                <w:bCs/>
                <w:sz w:val="20"/>
                <w:szCs w:val="20"/>
              </w:rPr>
            </w:pPr>
            <w:r w:rsidRPr="00D806BD">
              <w:rPr>
                <w:rFonts w:cs="Arial"/>
                <w:b/>
                <w:bCs/>
                <w:sz w:val="20"/>
                <w:szCs w:val="20"/>
              </w:rPr>
              <w:t>13-14</w:t>
            </w:r>
          </w:p>
        </w:tc>
        <w:tc>
          <w:tcPr>
            <w:tcW w:w="1530" w:type="dxa"/>
            <w:shd w:val="clear" w:color="auto" w:fill="000080"/>
            <w:vAlign w:val="center"/>
          </w:tcPr>
          <w:p w:rsidR="00932E9A" w:rsidRPr="00D806BD" w:rsidRDefault="00932E9A" w:rsidP="00932E9A">
            <w:pPr>
              <w:spacing w:line="240" w:lineRule="auto"/>
              <w:jc w:val="center"/>
              <w:rPr>
                <w:rFonts w:cs="Arial"/>
                <w:b/>
                <w:bCs/>
                <w:sz w:val="20"/>
                <w:szCs w:val="20"/>
              </w:rPr>
            </w:pPr>
            <w:r w:rsidRPr="00D806BD">
              <w:rPr>
                <w:rFonts w:cs="Arial"/>
                <w:b/>
                <w:bCs/>
                <w:sz w:val="20"/>
                <w:szCs w:val="20"/>
              </w:rPr>
              <w:t>14-15( up to Dec 14)</w:t>
            </w:r>
          </w:p>
        </w:tc>
        <w:tc>
          <w:tcPr>
            <w:tcW w:w="1980" w:type="dxa"/>
            <w:shd w:val="clear" w:color="auto" w:fill="000080"/>
            <w:vAlign w:val="center"/>
          </w:tcPr>
          <w:p w:rsidR="00932E9A" w:rsidRPr="00D806BD" w:rsidRDefault="00932E9A" w:rsidP="003144A8">
            <w:pPr>
              <w:spacing w:line="240" w:lineRule="auto"/>
              <w:jc w:val="center"/>
              <w:rPr>
                <w:rFonts w:cs="Arial"/>
                <w:b/>
                <w:bCs/>
                <w:sz w:val="20"/>
                <w:szCs w:val="20"/>
              </w:rPr>
            </w:pPr>
            <w:r w:rsidRPr="00D806BD">
              <w:rPr>
                <w:rFonts w:cs="Arial"/>
                <w:b/>
                <w:bCs/>
                <w:sz w:val="20"/>
                <w:szCs w:val="20"/>
              </w:rPr>
              <w:t>15-16(</w:t>
            </w:r>
            <w:r w:rsidR="008C55DF" w:rsidRPr="00D806BD">
              <w:rPr>
                <w:rFonts w:cs="Arial"/>
                <w:b/>
                <w:bCs/>
                <w:sz w:val="20"/>
                <w:szCs w:val="20"/>
              </w:rPr>
              <w:t>E</w:t>
            </w:r>
            <w:r w:rsidR="008C55DF">
              <w:rPr>
                <w:rFonts w:cs="Arial"/>
                <w:b/>
                <w:bCs/>
                <w:sz w:val="20"/>
                <w:szCs w:val="20"/>
              </w:rPr>
              <w:t>stima</w:t>
            </w:r>
            <w:r w:rsidR="008C55DF" w:rsidRPr="00D806BD">
              <w:rPr>
                <w:rFonts w:cs="Arial"/>
                <w:b/>
                <w:bCs/>
                <w:sz w:val="20"/>
                <w:szCs w:val="20"/>
              </w:rPr>
              <w:t>ted</w:t>
            </w:r>
            <w:r w:rsidRPr="00D806BD">
              <w:rPr>
                <w:rFonts w:cs="Arial"/>
                <w:b/>
                <w:bCs/>
                <w:sz w:val="20"/>
                <w:szCs w:val="20"/>
              </w:rPr>
              <w:t>)</w:t>
            </w:r>
          </w:p>
        </w:tc>
      </w:tr>
      <w:tr w:rsidR="00932E9A" w:rsidRPr="00BB0743" w:rsidTr="00323EDB">
        <w:trPr>
          <w:trHeight w:val="271"/>
        </w:trPr>
        <w:tc>
          <w:tcPr>
            <w:tcW w:w="2759" w:type="dxa"/>
            <w:shd w:val="clear" w:color="auto" w:fill="auto"/>
            <w:noWrap/>
            <w:vAlign w:val="center"/>
          </w:tcPr>
          <w:p w:rsidR="00932E9A" w:rsidRPr="00BB0743" w:rsidRDefault="00932E9A" w:rsidP="002B727A">
            <w:pPr>
              <w:spacing w:line="240" w:lineRule="auto"/>
              <w:ind w:left="-108" w:right="-108"/>
              <w:jc w:val="left"/>
              <w:rPr>
                <w:rFonts w:cs="Arial"/>
                <w:sz w:val="20"/>
                <w:szCs w:val="20"/>
              </w:rPr>
            </w:pPr>
            <w:r>
              <w:rPr>
                <w:rFonts w:cs="Arial"/>
                <w:sz w:val="20"/>
                <w:szCs w:val="20"/>
              </w:rPr>
              <w:t>Gross Generation</w:t>
            </w:r>
            <w:r w:rsidRPr="00BB0743">
              <w:rPr>
                <w:rFonts w:cs="Arial"/>
                <w:sz w:val="20"/>
                <w:szCs w:val="20"/>
              </w:rPr>
              <w:t>(MU)</w:t>
            </w:r>
          </w:p>
        </w:tc>
        <w:tc>
          <w:tcPr>
            <w:tcW w:w="1381" w:type="dxa"/>
            <w:shd w:val="clear" w:color="auto" w:fill="auto"/>
            <w:noWrap/>
            <w:vAlign w:val="center"/>
          </w:tcPr>
          <w:p w:rsidR="00932E9A" w:rsidRPr="00D806BD" w:rsidRDefault="00FC4C20" w:rsidP="006D7748">
            <w:pPr>
              <w:spacing w:line="240" w:lineRule="auto"/>
              <w:jc w:val="center"/>
              <w:rPr>
                <w:rFonts w:cs="Arial"/>
                <w:sz w:val="20"/>
                <w:szCs w:val="20"/>
              </w:rPr>
            </w:pPr>
            <w:r w:rsidRPr="00D806BD">
              <w:rPr>
                <w:rFonts w:cs="Arial"/>
                <w:sz w:val="20"/>
                <w:szCs w:val="20"/>
              </w:rPr>
              <w:t>2100.6</w:t>
            </w:r>
            <w:r w:rsidR="006D7748" w:rsidRPr="00D806BD">
              <w:rPr>
                <w:rFonts w:cs="Arial"/>
                <w:sz w:val="20"/>
                <w:szCs w:val="20"/>
              </w:rPr>
              <w:t>33</w:t>
            </w:r>
          </w:p>
        </w:tc>
        <w:tc>
          <w:tcPr>
            <w:tcW w:w="1440" w:type="dxa"/>
            <w:shd w:val="clear" w:color="auto" w:fill="auto"/>
            <w:noWrap/>
            <w:vAlign w:val="center"/>
          </w:tcPr>
          <w:p w:rsidR="00932E9A" w:rsidRPr="00D806BD" w:rsidRDefault="00FC4C20" w:rsidP="006D7748">
            <w:pPr>
              <w:spacing w:line="240" w:lineRule="auto"/>
              <w:jc w:val="center"/>
              <w:rPr>
                <w:rFonts w:cs="Arial"/>
                <w:sz w:val="20"/>
                <w:szCs w:val="20"/>
              </w:rPr>
            </w:pPr>
            <w:r w:rsidRPr="00D806BD">
              <w:rPr>
                <w:rFonts w:cs="Arial"/>
                <w:sz w:val="20"/>
                <w:szCs w:val="20"/>
              </w:rPr>
              <w:t>1420.8</w:t>
            </w:r>
            <w:r w:rsidR="006D7748" w:rsidRPr="00D806BD">
              <w:rPr>
                <w:rFonts w:cs="Arial"/>
                <w:sz w:val="20"/>
                <w:szCs w:val="20"/>
              </w:rPr>
              <w:t>32</w:t>
            </w:r>
          </w:p>
        </w:tc>
        <w:tc>
          <w:tcPr>
            <w:tcW w:w="1530" w:type="dxa"/>
            <w:vAlign w:val="center"/>
          </w:tcPr>
          <w:p w:rsidR="00932E9A" w:rsidRPr="00D806BD" w:rsidRDefault="00FC4C20" w:rsidP="002B727A">
            <w:pPr>
              <w:spacing w:line="240" w:lineRule="auto"/>
              <w:jc w:val="center"/>
              <w:rPr>
                <w:rFonts w:cs="Arial"/>
                <w:sz w:val="20"/>
                <w:szCs w:val="20"/>
              </w:rPr>
            </w:pPr>
            <w:r w:rsidRPr="00D806BD">
              <w:rPr>
                <w:rFonts w:cs="Arial"/>
                <w:sz w:val="20"/>
                <w:szCs w:val="20"/>
              </w:rPr>
              <w:t>1061.856</w:t>
            </w:r>
          </w:p>
        </w:tc>
        <w:tc>
          <w:tcPr>
            <w:tcW w:w="1980" w:type="dxa"/>
            <w:vAlign w:val="center"/>
          </w:tcPr>
          <w:p w:rsidR="00932E9A" w:rsidRPr="00D806BD" w:rsidRDefault="00FC4C20" w:rsidP="007C67F0">
            <w:pPr>
              <w:spacing w:line="240" w:lineRule="auto"/>
              <w:jc w:val="center"/>
              <w:rPr>
                <w:rFonts w:cs="Arial"/>
                <w:sz w:val="20"/>
                <w:szCs w:val="20"/>
              </w:rPr>
            </w:pPr>
            <w:r w:rsidRPr="00D806BD">
              <w:rPr>
                <w:rFonts w:cs="Arial"/>
                <w:sz w:val="20"/>
                <w:szCs w:val="20"/>
              </w:rPr>
              <w:t>2786.</w:t>
            </w:r>
            <w:r w:rsidR="007C67F0" w:rsidRPr="00D806BD">
              <w:rPr>
                <w:rFonts w:cs="Arial"/>
                <w:sz w:val="20"/>
                <w:szCs w:val="20"/>
              </w:rPr>
              <w:t>724</w:t>
            </w:r>
          </w:p>
        </w:tc>
      </w:tr>
      <w:tr w:rsidR="00932E9A" w:rsidRPr="00BB0743" w:rsidTr="00323EDB">
        <w:trPr>
          <w:trHeight w:val="286"/>
        </w:trPr>
        <w:tc>
          <w:tcPr>
            <w:tcW w:w="2759" w:type="dxa"/>
            <w:shd w:val="clear" w:color="auto" w:fill="auto"/>
            <w:noWrap/>
            <w:vAlign w:val="center"/>
          </w:tcPr>
          <w:p w:rsidR="00932E9A" w:rsidRPr="00BB0743" w:rsidRDefault="00932E9A" w:rsidP="002B727A">
            <w:pPr>
              <w:spacing w:line="240" w:lineRule="auto"/>
              <w:ind w:left="-108" w:right="-108"/>
              <w:jc w:val="left"/>
              <w:rPr>
                <w:rFonts w:cs="Arial"/>
                <w:sz w:val="20"/>
                <w:szCs w:val="20"/>
              </w:rPr>
            </w:pPr>
            <w:r w:rsidRPr="00BB0743">
              <w:rPr>
                <w:rFonts w:cs="Arial"/>
                <w:sz w:val="20"/>
                <w:szCs w:val="20"/>
              </w:rPr>
              <w:t>Net Generation (MU)</w:t>
            </w:r>
          </w:p>
        </w:tc>
        <w:tc>
          <w:tcPr>
            <w:tcW w:w="1381" w:type="dxa"/>
            <w:shd w:val="clear" w:color="auto" w:fill="auto"/>
            <w:noWrap/>
            <w:vAlign w:val="center"/>
          </w:tcPr>
          <w:p w:rsidR="00932E9A" w:rsidRPr="00D806BD" w:rsidRDefault="00212146" w:rsidP="006D7748">
            <w:pPr>
              <w:spacing w:line="240" w:lineRule="auto"/>
              <w:jc w:val="center"/>
              <w:rPr>
                <w:rFonts w:cs="Arial"/>
                <w:sz w:val="20"/>
                <w:szCs w:val="20"/>
              </w:rPr>
            </w:pPr>
            <w:r w:rsidRPr="00D806BD">
              <w:rPr>
                <w:rFonts w:cs="Arial"/>
                <w:sz w:val="20"/>
                <w:szCs w:val="20"/>
              </w:rPr>
              <w:t>195</w:t>
            </w:r>
            <w:r w:rsidR="006D7748" w:rsidRPr="00D806BD">
              <w:rPr>
                <w:rFonts w:cs="Arial"/>
                <w:sz w:val="20"/>
                <w:szCs w:val="20"/>
              </w:rPr>
              <w:t>5</w:t>
            </w:r>
            <w:r w:rsidRPr="00D806BD">
              <w:rPr>
                <w:rFonts w:cs="Arial"/>
                <w:sz w:val="20"/>
                <w:szCs w:val="20"/>
              </w:rPr>
              <w:t>.</w:t>
            </w:r>
            <w:r w:rsidR="006D7748" w:rsidRPr="00D806BD">
              <w:rPr>
                <w:rFonts w:cs="Arial"/>
                <w:sz w:val="20"/>
                <w:szCs w:val="20"/>
              </w:rPr>
              <w:t>999</w:t>
            </w:r>
          </w:p>
        </w:tc>
        <w:tc>
          <w:tcPr>
            <w:tcW w:w="1440" w:type="dxa"/>
            <w:shd w:val="clear" w:color="auto" w:fill="auto"/>
            <w:noWrap/>
            <w:vAlign w:val="center"/>
          </w:tcPr>
          <w:p w:rsidR="00932E9A" w:rsidRPr="00D806BD" w:rsidRDefault="00212146" w:rsidP="006D7748">
            <w:pPr>
              <w:spacing w:line="240" w:lineRule="auto"/>
              <w:jc w:val="center"/>
              <w:rPr>
                <w:rFonts w:cs="Arial"/>
                <w:sz w:val="20"/>
                <w:szCs w:val="20"/>
              </w:rPr>
            </w:pPr>
            <w:r w:rsidRPr="00D806BD">
              <w:rPr>
                <w:rFonts w:cs="Arial"/>
                <w:sz w:val="20"/>
                <w:szCs w:val="20"/>
              </w:rPr>
              <w:t>1329.0</w:t>
            </w:r>
            <w:r w:rsidR="006D7748" w:rsidRPr="00D806BD">
              <w:rPr>
                <w:rFonts w:cs="Arial"/>
                <w:sz w:val="20"/>
                <w:szCs w:val="20"/>
              </w:rPr>
              <w:t>93</w:t>
            </w:r>
          </w:p>
        </w:tc>
        <w:tc>
          <w:tcPr>
            <w:tcW w:w="1530" w:type="dxa"/>
            <w:vAlign w:val="center"/>
          </w:tcPr>
          <w:p w:rsidR="00932E9A" w:rsidRPr="00D806BD" w:rsidRDefault="00212146" w:rsidP="002B727A">
            <w:pPr>
              <w:spacing w:line="240" w:lineRule="auto"/>
              <w:jc w:val="center"/>
              <w:rPr>
                <w:rFonts w:cs="Arial"/>
                <w:sz w:val="20"/>
                <w:szCs w:val="20"/>
              </w:rPr>
            </w:pPr>
            <w:r w:rsidRPr="00D806BD">
              <w:rPr>
                <w:rFonts w:cs="Arial"/>
                <w:sz w:val="20"/>
                <w:szCs w:val="20"/>
              </w:rPr>
              <w:t>984.844</w:t>
            </w:r>
          </w:p>
        </w:tc>
        <w:tc>
          <w:tcPr>
            <w:tcW w:w="1980" w:type="dxa"/>
            <w:vAlign w:val="center"/>
          </w:tcPr>
          <w:p w:rsidR="00932E9A" w:rsidRPr="00D806BD" w:rsidRDefault="007C67F0" w:rsidP="008D047C">
            <w:pPr>
              <w:spacing w:line="240" w:lineRule="auto"/>
              <w:jc w:val="center"/>
              <w:rPr>
                <w:rFonts w:cs="Arial"/>
                <w:sz w:val="20"/>
                <w:szCs w:val="20"/>
              </w:rPr>
            </w:pPr>
            <w:r w:rsidRPr="00D806BD">
              <w:rPr>
                <w:rFonts w:cs="Arial"/>
                <w:sz w:val="20"/>
                <w:szCs w:val="20"/>
              </w:rPr>
              <w:t>26</w:t>
            </w:r>
            <w:r w:rsidR="00212146" w:rsidRPr="00D806BD">
              <w:rPr>
                <w:rFonts w:cs="Arial"/>
                <w:sz w:val="20"/>
                <w:szCs w:val="20"/>
              </w:rPr>
              <w:t>0</w:t>
            </w:r>
            <w:r w:rsidR="008D047C" w:rsidRPr="00D806BD">
              <w:rPr>
                <w:rFonts w:cs="Arial"/>
                <w:sz w:val="20"/>
                <w:szCs w:val="20"/>
              </w:rPr>
              <w:t>7</w:t>
            </w:r>
            <w:r w:rsidR="00212146" w:rsidRPr="00D806BD">
              <w:rPr>
                <w:rFonts w:cs="Arial"/>
                <w:sz w:val="20"/>
                <w:szCs w:val="20"/>
              </w:rPr>
              <w:t>.</w:t>
            </w:r>
            <w:r w:rsidR="008D047C" w:rsidRPr="00D806BD">
              <w:rPr>
                <w:rFonts w:cs="Arial"/>
                <w:sz w:val="20"/>
                <w:szCs w:val="20"/>
              </w:rPr>
              <w:t>438</w:t>
            </w:r>
          </w:p>
        </w:tc>
      </w:tr>
    </w:tbl>
    <w:p w:rsidR="00C43BF7" w:rsidRDefault="00C43BF7" w:rsidP="00C43BF7">
      <w:pPr>
        <w:pStyle w:val="Header"/>
        <w:tabs>
          <w:tab w:val="clear" w:pos="4320"/>
          <w:tab w:val="clear" w:pos="8640"/>
        </w:tabs>
      </w:pPr>
    </w:p>
    <w:p w:rsidR="00C43BF7" w:rsidRPr="004265B3" w:rsidRDefault="00C43BF7" w:rsidP="00C43BF7">
      <w:pPr>
        <w:rPr>
          <w:b/>
          <w:bCs/>
          <w:sz w:val="22"/>
          <w:szCs w:val="22"/>
        </w:rPr>
      </w:pPr>
      <w:r w:rsidRPr="004265B3">
        <w:rPr>
          <w:b/>
          <w:bCs/>
          <w:sz w:val="22"/>
          <w:szCs w:val="22"/>
        </w:rPr>
        <w:t xml:space="preserve">The petitioner humbly requests the Commission to approve the gross and </w:t>
      </w:r>
      <w:r w:rsidR="005E2068">
        <w:rPr>
          <w:b/>
          <w:bCs/>
          <w:sz w:val="22"/>
          <w:szCs w:val="22"/>
        </w:rPr>
        <w:t>net generation for all the plants during</w:t>
      </w:r>
      <w:r w:rsidR="004265B3" w:rsidRPr="004265B3">
        <w:rPr>
          <w:b/>
          <w:bCs/>
          <w:sz w:val="22"/>
          <w:szCs w:val="22"/>
        </w:rPr>
        <w:t xml:space="preserve"> the control p</w:t>
      </w:r>
      <w:r w:rsidR="00573A1D">
        <w:rPr>
          <w:b/>
          <w:bCs/>
          <w:sz w:val="22"/>
          <w:szCs w:val="22"/>
        </w:rPr>
        <w:t xml:space="preserve">eriod and the fixed cost </w:t>
      </w:r>
      <w:r w:rsidR="004265B3" w:rsidRPr="004265B3">
        <w:rPr>
          <w:b/>
          <w:bCs/>
          <w:sz w:val="22"/>
          <w:szCs w:val="22"/>
        </w:rPr>
        <w:t xml:space="preserve">be </w:t>
      </w:r>
      <w:r w:rsidR="00573A1D">
        <w:rPr>
          <w:b/>
          <w:bCs/>
          <w:sz w:val="22"/>
          <w:szCs w:val="22"/>
        </w:rPr>
        <w:t xml:space="preserve">allowed to be </w:t>
      </w:r>
      <w:r w:rsidR="004265B3" w:rsidRPr="004265B3">
        <w:rPr>
          <w:b/>
          <w:bCs/>
          <w:sz w:val="22"/>
          <w:szCs w:val="22"/>
        </w:rPr>
        <w:t>recovered based on the above generation targets</w:t>
      </w:r>
      <w:r w:rsidR="00C5764D">
        <w:rPr>
          <w:b/>
          <w:bCs/>
          <w:sz w:val="22"/>
          <w:szCs w:val="22"/>
        </w:rPr>
        <w:t xml:space="preserve"> for FY 2015-16</w:t>
      </w:r>
      <w:r w:rsidR="004265B3" w:rsidRPr="004265B3">
        <w:rPr>
          <w:b/>
          <w:bCs/>
          <w:sz w:val="22"/>
          <w:szCs w:val="22"/>
        </w:rPr>
        <w:t>.</w:t>
      </w:r>
    </w:p>
    <w:p w:rsidR="00BA4601" w:rsidRDefault="00BA4601" w:rsidP="00C43BF7">
      <w:pPr>
        <w:rPr>
          <w:b/>
          <w:bCs/>
          <w:sz w:val="22"/>
          <w:szCs w:val="22"/>
          <w:u w:val="single"/>
        </w:rPr>
      </w:pPr>
    </w:p>
    <w:p w:rsidR="00C43BF7" w:rsidRPr="0020671A" w:rsidRDefault="00C43BF7" w:rsidP="00660CEF">
      <w:pPr>
        <w:rPr>
          <w:b/>
          <w:bCs/>
          <w:sz w:val="22"/>
          <w:szCs w:val="22"/>
        </w:rPr>
      </w:pPr>
      <w:bookmarkStart w:id="37" w:name="_Toc173941679"/>
      <w:r w:rsidRPr="0020671A">
        <w:rPr>
          <w:b/>
          <w:bCs/>
          <w:sz w:val="22"/>
          <w:szCs w:val="22"/>
        </w:rPr>
        <w:lastRenderedPageBreak/>
        <w:t>3.1.3</w:t>
      </w:r>
      <w:r w:rsidRPr="0020671A">
        <w:rPr>
          <w:b/>
          <w:bCs/>
          <w:sz w:val="22"/>
          <w:szCs w:val="22"/>
        </w:rPr>
        <w:tab/>
        <w:t>Variable Cost for proposed operational parameters</w:t>
      </w:r>
      <w:bookmarkEnd w:id="37"/>
    </w:p>
    <w:p w:rsidR="00C43BF7" w:rsidRDefault="00C43BF7" w:rsidP="00C43BF7">
      <w:pPr>
        <w:rPr>
          <w:sz w:val="22"/>
          <w:szCs w:val="22"/>
        </w:rPr>
      </w:pPr>
      <w:r>
        <w:rPr>
          <w:sz w:val="22"/>
          <w:szCs w:val="22"/>
        </w:rPr>
        <w:t>The proposed variable cost</w:t>
      </w:r>
      <w:r w:rsidR="00CA33B8">
        <w:rPr>
          <w:sz w:val="22"/>
          <w:szCs w:val="22"/>
        </w:rPr>
        <w:t xml:space="preserve"> for FY </w:t>
      </w:r>
      <w:r w:rsidR="00AB1292">
        <w:rPr>
          <w:sz w:val="22"/>
          <w:szCs w:val="22"/>
        </w:rPr>
        <w:t>2015-16</w:t>
      </w:r>
      <w:r w:rsidR="00CA33B8">
        <w:rPr>
          <w:sz w:val="22"/>
          <w:szCs w:val="22"/>
        </w:rPr>
        <w:t xml:space="preserve"> </w:t>
      </w:r>
      <w:r>
        <w:rPr>
          <w:sz w:val="22"/>
          <w:szCs w:val="22"/>
        </w:rPr>
        <w:t>is based on the p</w:t>
      </w:r>
      <w:r w:rsidR="00094DF6">
        <w:rPr>
          <w:sz w:val="22"/>
          <w:szCs w:val="22"/>
        </w:rPr>
        <w:t>rojected operational parameters</w:t>
      </w:r>
      <w:r w:rsidR="00CF54D5">
        <w:rPr>
          <w:sz w:val="22"/>
          <w:szCs w:val="22"/>
        </w:rPr>
        <w:t xml:space="preserve">, GCV and price </w:t>
      </w:r>
      <w:r>
        <w:rPr>
          <w:sz w:val="22"/>
          <w:szCs w:val="22"/>
        </w:rPr>
        <w:t>of dif</w:t>
      </w:r>
      <w:r w:rsidR="00D8615B">
        <w:rPr>
          <w:sz w:val="22"/>
          <w:szCs w:val="22"/>
        </w:rPr>
        <w:t>ferent fuels.</w:t>
      </w:r>
    </w:p>
    <w:p w:rsidR="009E1EAB" w:rsidRPr="00BA4601" w:rsidRDefault="009E1EAB" w:rsidP="00C43BF7">
      <w:pPr>
        <w:rPr>
          <w:b/>
          <w:bCs/>
          <w:sz w:val="14"/>
          <w:szCs w:val="22"/>
          <w:u w:val="single"/>
        </w:rPr>
      </w:pPr>
    </w:p>
    <w:p w:rsidR="00C43BF7" w:rsidRPr="009811BB" w:rsidRDefault="00C43BF7" w:rsidP="00C43BF7">
      <w:pPr>
        <w:rPr>
          <w:b/>
          <w:bCs/>
          <w:sz w:val="22"/>
          <w:szCs w:val="22"/>
          <w:u w:val="single"/>
        </w:rPr>
      </w:pPr>
      <w:r w:rsidRPr="009811BB">
        <w:rPr>
          <w:b/>
          <w:bCs/>
          <w:sz w:val="22"/>
          <w:szCs w:val="22"/>
          <w:u w:val="single"/>
        </w:rPr>
        <w:t xml:space="preserve">Fuel </w:t>
      </w:r>
      <w:r w:rsidR="00B651CC" w:rsidRPr="009811BB">
        <w:rPr>
          <w:b/>
          <w:bCs/>
          <w:sz w:val="22"/>
          <w:szCs w:val="22"/>
          <w:u w:val="single"/>
        </w:rPr>
        <w:t>Cost</w:t>
      </w:r>
    </w:p>
    <w:p w:rsidR="009E1EAB" w:rsidRPr="00BA4601" w:rsidRDefault="009E1EAB" w:rsidP="00C43BF7">
      <w:pPr>
        <w:rPr>
          <w:sz w:val="12"/>
          <w:szCs w:val="22"/>
        </w:rPr>
      </w:pPr>
    </w:p>
    <w:p w:rsidR="00C43BF7" w:rsidRDefault="00C43BF7" w:rsidP="00C43BF7">
      <w:pPr>
        <w:rPr>
          <w:sz w:val="22"/>
          <w:szCs w:val="22"/>
        </w:rPr>
      </w:pPr>
      <w:r>
        <w:rPr>
          <w:sz w:val="22"/>
          <w:szCs w:val="22"/>
        </w:rPr>
        <w:t xml:space="preserve">IPGCL plants can be broadly divided as: </w:t>
      </w:r>
    </w:p>
    <w:p w:rsidR="009E1EAB" w:rsidRPr="00BA4601" w:rsidRDefault="009E1EAB" w:rsidP="00C43BF7">
      <w:pPr>
        <w:rPr>
          <w:sz w:val="12"/>
          <w:szCs w:val="22"/>
        </w:rPr>
      </w:pPr>
    </w:p>
    <w:p w:rsidR="00C43BF7" w:rsidRDefault="00D8615B" w:rsidP="005925C7">
      <w:pPr>
        <w:numPr>
          <w:ilvl w:val="0"/>
          <w:numId w:val="9"/>
        </w:numPr>
        <w:ind w:firstLine="0"/>
        <w:rPr>
          <w:b/>
          <w:bCs/>
          <w:sz w:val="22"/>
          <w:szCs w:val="22"/>
        </w:rPr>
      </w:pPr>
      <w:r>
        <w:rPr>
          <w:b/>
          <w:bCs/>
          <w:sz w:val="22"/>
          <w:szCs w:val="22"/>
        </w:rPr>
        <w:t>Coal Based</w:t>
      </w:r>
      <w:r w:rsidR="00C43BF7">
        <w:rPr>
          <w:b/>
          <w:bCs/>
          <w:sz w:val="22"/>
          <w:szCs w:val="22"/>
        </w:rPr>
        <w:t xml:space="preserve"> Plants: </w:t>
      </w:r>
      <w:r w:rsidR="00C43BF7">
        <w:rPr>
          <w:sz w:val="22"/>
          <w:szCs w:val="22"/>
        </w:rPr>
        <w:t>Rajghat Power Station</w:t>
      </w:r>
      <w:r>
        <w:rPr>
          <w:sz w:val="22"/>
          <w:szCs w:val="22"/>
        </w:rPr>
        <w:t>s</w:t>
      </w:r>
    </w:p>
    <w:p w:rsidR="00C43BF7" w:rsidRDefault="00C43BF7" w:rsidP="005925C7">
      <w:pPr>
        <w:numPr>
          <w:ilvl w:val="0"/>
          <w:numId w:val="9"/>
        </w:numPr>
        <w:ind w:firstLine="0"/>
        <w:rPr>
          <w:b/>
          <w:bCs/>
          <w:sz w:val="22"/>
          <w:szCs w:val="22"/>
        </w:rPr>
      </w:pPr>
      <w:r>
        <w:rPr>
          <w:b/>
          <w:bCs/>
          <w:sz w:val="22"/>
          <w:szCs w:val="22"/>
        </w:rPr>
        <w:t xml:space="preserve">Gas Based Station: </w:t>
      </w:r>
      <w:r>
        <w:rPr>
          <w:sz w:val="22"/>
          <w:szCs w:val="22"/>
        </w:rPr>
        <w:t>GT Power Station</w:t>
      </w:r>
    </w:p>
    <w:p w:rsidR="009E1EAB" w:rsidRDefault="009E1EAB" w:rsidP="00B56F96">
      <w:pPr>
        <w:spacing w:line="240" w:lineRule="auto"/>
        <w:rPr>
          <w:b/>
          <w:bCs/>
          <w:sz w:val="22"/>
          <w:szCs w:val="22"/>
          <w:u w:val="single"/>
        </w:rPr>
      </w:pPr>
    </w:p>
    <w:p w:rsidR="00C43BF7" w:rsidRDefault="00C43BF7" w:rsidP="00C43BF7">
      <w:pPr>
        <w:rPr>
          <w:b/>
          <w:bCs/>
          <w:sz w:val="22"/>
          <w:szCs w:val="22"/>
          <w:u w:val="single"/>
        </w:rPr>
      </w:pPr>
      <w:r w:rsidRPr="009811BB">
        <w:rPr>
          <w:b/>
          <w:bCs/>
          <w:sz w:val="22"/>
          <w:szCs w:val="22"/>
          <w:u w:val="single"/>
        </w:rPr>
        <w:t>Fuel Price</w:t>
      </w:r>
    </w:p>
    <w:p w:rsidR="00D5074F" w:rsidRPr="009811BB" w:rsidRDefault="00D5074F" w:rsidP="00B56F96">
      <w:pPr>
        <w:spacing w:line="240" w:lineRule="auto"/>
        <w:rPr>
          <w:b/>
          <w:bCs/>
          <w:sz w:val="22"/>
          <w:szCs w:val="22"/>
          <w:u w:val="single"/>
        </w:rPr>
      </w:pPr>
    </w:p>
    <w:p w:rsidR="00C43BF7" w:rsidRDefault="00C43BF7" w:rsidP="00C43BF7">
      <w:pPr>
        <w:rPr>
          <w:sz w:val="22"/>
          <w:szCs w:val="22"/>
        </w:rPr>
      </w:pPr>
      <w:r>
        <w:rPr>
          <w:sz w:val="22"/>
          <w:szCs w:val="22"/>
        </w:rPr>
        <w:t xml:space="preserve">IPGCL has considered </w:t>
      </w:r>
      <w:r w:rsidR="000357A3">
        <w:rPr>
          <w:sz w:val="22"/>
          <w:szCs w:val="22"/>
        </w:rPr>
        <w:t xml:space="preserve">weighted average </w:t>
      </w:r>
      <w:r w:rsidR="0052129A">
        <w:rPr>
          <w:sz w:val="22"/>
          <w:szCs w:val="22"/>
        </w:rPr>
        <w:t>price of</w:t>
      </w:r>
      <w:r w:rsidR="000357A3">
        <w:rPr>
          <w:sz w:val="22"/>
          <w:szCs w:val="22"/>
        </w:rPr>
        <w:t xml:space="preserve"> </w:t>
      </w:r>
      <w:r w:rsidR="00C86B79">
        <w:rPr>
          <w:sz w:val="22"/>
          <w:szCs w:val="22"/>
        </w:rPr>
        <w:t xml:space="preserve">fuels e.g. Coal, Oil and Gas prevailing during the </w:t>
      </w:r>
      <w:r w:rsidR="00855C88">
        <w:rPr>
          <w:sz w:val="22"/>
          <w:szCs w:val="22"/>
        </w:rPr>
        <w:t>three</w:t>
      </w:r>
      <w:r w:rsidR="00005041">
        <w:rPr>
          <w:sz w:val="22"/>
          <w:szCs w:val="22"/>
        </w:rPr>
        <w:t xml:space="preserve"> months of </w:t>
      </w:r>
      <w:r w:rsidR="00FA779F">
        <w:rPr>
          <w:sz w:val="22"/>
          <w:szCs w:val="22"/>
        </w:rPr>
        <w:t xml:space="preserve">FY </w:t>
      </w:r>
      <w:r w:rsidR="00AC3A02">
        <w:rPr>
          <w:sz w:val="22"/>
          <w:szCs w:val="22"/>
        </w:rPr>
        <w:t>2015-16</w:t>
      </w:r>
      <w:r w:rsidR="00855C88">
        <w:rPr>
          <w:sz w:val="22"/>
          <w:szCs w:val="22"/>
        </w:rPr>
        <w:t xml:space="preserve"> i.e. </w:t>
      </w:r>
      <w:r w:rsidR="00686733">
        <w:rPr>
          <w:sz w:val="22"/>
          <w:szCs w:val="22"/>
        </w:rPr>
        <w:t>October to December, 2014</w:t>
      </w:r>
      <w:r w:rsidR="00855C88">
        <w:rPr>
          <w:sz w:val="22"/>
          <w:szCs w:val="22"/>
        </w:rPr>
        <w:t xml:space="preserve"> in line with the Regulations, 2011</w:t>
      </w:r>
      <w:r w:rsidR="00363913">
        <w:rPr>
          <w:sz w:val="22"/>
          <w:szCs w:val="22"/>
        </w:rPr>
        <w:t>.</w:t>
      </w:r>
      <w:r>
        <w:rPr>
          <w:sz w:val="22"/>
          <w:szCs w:val="22"/>
        </w:rPr>
        <w:t xml:space="preserve"> These prices are </w:t>
      </w:r>
      <w:r w:rsidR="00855C88">
        <w:rPr>
          <w:sz w:val="22"/>
          <w:szCs w:val="22"/>
        </w:rPr>
        <w:t xml:space="preserve">kept constant </w:t>
      </w:r>
      <w:r>
        <w:rPr>
          <w:sz w:val="22"/>
          <w:szCs w:val="22"/>
        </w:rPr>
        <w:t xml:space="preserve">for </w:t>
      </w:r>
      <w:r w:rsidR="00855C88">
        <w:rPr>
          <w:sz w:val="22"/>
          <w:szCs w:val="22"/>
        </w:rPr>
        <w:t xml:space="preserve">determination of fuel cost for </w:t>
      </w:r>
      <w:r w:rsidR="00D7500C">
        <w:rPr>
          <w:sz w:val="22"/>
          <w:szCs w:val="22"/>
        </w:rPr>
        <w:t xml:space="preserve">FY </w:t>
      </w:r>
      <w:r w:rsidR="00686733">
        <w:rPr>
          <w:sz w:val="22"/>
          <w:szCs w:val="22"/>
        </w:rPr>
        <w:t>2015-16</w:t>
      </w:r>
      <w:r>
        <w:rPr>
          <w:sz w:val="22"/>
          <w:szCs w:val="22"/>
        </w:rPr>
        <w:t xml:space="preserve">. </w:t>
      </w:r>
    </w:p>
    <w:p w:rsidR="009E1EAB" w:rsidRDefault="009E1EAB" w:rsidP="00C43BF7">
      <w:pPr>
        <w:rPr>
          <w:sz w:val="22"/>
          <w:szCs w:val="22"/>
        </w:rPr>
      </w:pPr>
    </w:p>
    <w:p w:rsidR="00C43BF7" w:rsidRDefault="00C43BF7" w:rsidP="00C43BF7">
      <w:pPr>
        <w:pStyle w:val="BodyText"/>
        <w:rPr>
          <w:rFonts w:ascii="Century Gothic" w:hAnsi="Century Gothic"/>
          <w:szCs w:val="22"/>
        </w:rPr>
      </w:pPr>
      <w:r>
        <w:rPr>
          <w:b/>
          <w:bCs/>
          <w:szCs w:val="22"/>
        </w:rPr>
        <w:t>1. Indigenous Coal/ Washed Coal</w:t>
      </w:r>
      <w:r w:rsidR="006C7E3C">
        <w:rPr>
          <w:b/>
          <w:bCs/>
          <w:szCs w:val="22"/>
        </w:rPr>
        <w:t xml:space="preserve">: </w:t>
      </w:r>
      <w:r>
        <w:rPr>
          <w:rFonts w:ascii="Century Gothic" w:hAnsi="Century Gothic"/>
          <w:szCs w:val="22"/>
        </w:rPr>
        <w:t xml:space="preserve">The price of coal is dependent on the distance of the power station from the coal mines. Apart from above, the coal prices also vary from mine to mine depending upon the factors related to the mines, including grade of coal. </w:t>
      </w:r>
      <w:r w:rsidR="009A2230">
        <w:rPr>
          <w:rFonts w:ascii="Century Gothic" w:hAnsi="Century Gothic"/>
          <w:szCs w:val="22"/>
        </w:rPr>
        <w:t xml:space="preserve"> IPGCL is using washed coal of less than 34% ash </w:t>
      </w:r>
      <w:r w:rsidR="000630F2">
        <w:rPr>
          <w:rFonts w:ascii="Century Gothic" w:hAnsi="Century Gothic"/>
          <w:szCs w:val="22"/>
        </w:rPr>
        <w:t xml:space="preserve">content </w:t>
      </w:r>
      <w:r w:rsidR="009A2230">
        <w:rPr>
          <w:rFonts w:ascii="Century Gothic" w:hAnsi="Century Gothic"/>
          <w:szCs w:val="22"/>
        </w:rPr>
        <w:t xml:space="preserve">as per the directive of the </w:t>
      </w:r>
      <w:r w:rsidR="00B0115D">
        <w:rPr>
          <w:rFonts w:ascii="Century Gothic" w:hAnsi="Century Gothic"/>
          <w:szCs w:val="22"/>
        </w:rPr>
        <w:t xml:space="preserve">Hon’ble </w:t>
      </w:r>
      <w:r w:rsidR="0041781B">
        <w:rPr>
          <w:rFonts w:ascii="Century Gothic" w:hAnsi="Century Gothic"/>
          <w:szCs w:val="22"/>
        </w:rPr>
        <w:t>Supreme C</w:t>
      </w:r>
      <w:r w:rsidR="009A2230">
        <w:rPr>
          <w:rFonts w:ascii="Century Gothic" w:hAnsi="Century Gothic"/>
          <w:szCs w:val="22"/>
        </w:rPr>
        <w:t xml:space="preserve">ourt. </w:t>
      </w:r>
    </w:p>
    <w:p w:rsidR="00D5074F" w:rsidRDefault="00D5074F" w:rsidP="00C43BF7">
      <w:pPr>
        <w:pStyle w:val="BodyText"/>
        <w:rPr>
          <w:rFonts w:ascii="Century Gothic" w:hAnsi="Century Gothic"/>
          <w:szCs w:val="22"/>
        </w:rPr>
      </w:pPr>
    </w:p>
    <w:p w:rsidR="00C43BF7" w:rsidRDefault="0084053E" w:rsidP="00C43BF7">
      <w:pPr>
        <w:pStyle w:val="BodyText"/>
        <w:rPr>
          <w:rFonts w:ascii="Century Gothic" w:hAnsi="Century Gothic"/>
          <w:szCs w:val="22"/>
        </w:rPr>
      </w:pPr>
      <w:r>
        <w:rPr>
          <w:rFonts w:ascii="Century Gothic" w:hAnsi="Century Gothic"/>
          <w:szCs w:val="22"/>
        </w:rPr>
        <w:t xml:space="preserve">It is submitted that </w:t>
      </w:r>
      <w:r w:rsidR="001E59F0">
        <w:rPr>
          <w:rFonts w:ascii="Century Gothic" w:hAnsi="Century Gothic"/>
          <w:szCs w:val="22"/>
        </w:rPr>
        <w:t>Govt. of India</w:t>
      </w:r>
      <w:r>
        <w:rPr>
          <w:rFonts w:ascii="Century Gothic" w:hAnsi="Century Gothic"/>
          <w:szCs w:val="22"/>
        </w:rPr>
        <w:t xml:space="preserve"> has decided to impose service tax of 3% on the freight charge of coal w.e.f. </w:t>
      </w:r>
      <w:r w:rsidR="0017178F">
        <w:rPr>
          <w:rFonts w:ascii="Century Gothic" w:hAnsi="Century Gothic"/>
          <w:szCs w:val="22"/>
        </w:rPr>
        <w:t>01.04.2012</w:t>
      </w:r>
      <w:r>
        <w:rPr>
          <w:rFonts w:ascii="Century Gothic" w:hAnsi="Century Gothic"/>
          <w:szCs w:val="22"/>
        </w:rPr>
        <w:t>. The freight charges constitute around 50% of the landed cost of coal. However, the service tax is not considered but it is requested to the Hon’ble Commission to consider the same.</w:t>
      </w:r>
      <w:r w:rsidR="0019106E">
        <w:rPr>
          <w:rFonts w:ascii="Century Gothic" w:hAnsi="Century Gothic"/>
          <w:szCs w:val="22"/>
        </w:rPr>
        <w:t xml:space="preserve"> </w:t>
      </w:r>
    </w:p>
    <w:p w:rsidR="00BF4392" w:rsidRDefault="00BF4392" w:rsidP="00C43BF7">
      <w:pPr>
        <w:pStyle w:val="BodyText"/>
        <w:rPr>
          <w:rFonts w:ascii="Century Gothic" w:hAnsi="Century Gothic"/>
          <w:szCs w:val="22"/>
        </w:rPr>
      </w:pPr>
      <w:r>
        <w:rPr>
          <w:rFonts w:ascii="Century Gothic" w:hAnsi="Century Gothic"/>
          <w:szCs w:val="22"/>
        </w:rPr>
        <w:t xml:space="preserve">It is further submitted that Ministry of Coal, Govt. of India has revised the coal prices w.e.f. 01.01.2012.  </w:t>
      </w:r>
      <w:r w:rsidR="000132D0">
        <w:rPr>
          <w:rFonts w:ascii="Century Gothic" w:hAnsi="Century Gothic"/>
          <w:szCs w:val="22"/>
        </w:rPr>
        <w:t>Further, NCL has raised the bills for UP Forest transit fee as per following details :</w:t>
      </w:r>
    </w:p>
    <w:p w:rsidR="00687C32" w:rsidRDefault="00687C32" w:rsidP="00687C32">
      <w:pPr>
        <w:pStyle w:val="BodyText"/>
        <w:spacing w:line="240" w:lineRule="auto"/>
        <w:rPr>
          <w:rFonts w:ascii="Century Gothic" w:hAnsi="Century Gothic"/>
          <w:szCs w:val="22"/>
        </w:rPr>
      </w:pPr>
    </w:p>
    <w:p w:rsidR="00F10322" w:rsidRDefault="00F10322" w:rsidP="00F10322">
      <w:pPr>
        <w:pStyle w:val="BodyText"/>
        <w:numPr>
          <w:ilvl w:val="0"/>
          <w:numId w:val="36"/>
        </w:numPr>
        <w:rPr>
          <w:rFonts w:ascii="Century Gothic" w:hAnsi="Century Gothic"/>
          <w:szCs w:val="22"/>
        </w:rPr>
      </w:pPr>
      <w:r>
        <w:rPr>
          <w:rFonts w:ascii="Century Gothic" w:hAnsi="Century Gothic"/>
          <w:szCs w:val="22"/>
        </w:rPr>
        <w:t xml:space="preserve">NCL has raised the bills of Rs.40,91,64,309.24 for UP forest transit fee (Rs.20,84,04,150.43 for RPH and Rs.20,07,60,158.81 for IP Stn.) for the </w:t>
      </w:r>
      <w:r w:rsidR="00DE41C5">
        <w:rPr>
          <w:rFonts w:ascii="Century Gothic" w:hAnsi="Century Gothic"/>
          <w:szCs w:val="22"/>
        </w:rPr>
        <w:t>period from 21.01.1999 to 31.03.2012.</w:t>
      </w:r>
    </w:p>
    <w:p w:rsidR="00DE41C5" w:rsidRDefault="00DE41C5" w:rsidP="00F10322">
      <w:pPr>
        <w:pStyle w:val="BodyText"/>
        <w:numPr>
          <w:ilvl w:val="0"/>
          <w:numId w:val="36"/>
        </w:numPr>
        <w:rPr>
          <w:rFonts w:ascii="Century Gothic" w:hAnsi="Century Gothic"/>
          <w:szCs w:val="22"/>
        </w:rPr>
      </w:pPr>
      <w:r>
        <w:rPr>
          <w:rFonts w:ascii="Century Gothic" w:hAnsi="Century Gothic"/>
          <w:szCs w:val="22"/>
        </w:rPr>
        <w:lastRenderedPageBreak/>
        <w:t xml:space="preserve">IPGCL for its power Station RPH is procuring coal till date from NCL and for IP Stn. </w:t>
      </w:r>
      <w:r w:rsidR="00F66EA1">
        <w:rPr>
          <w:rFonts w:ascii="Century Gothic" w:hAnsi="Century Gothic"/>
          <w:szCs w:val="22"/>
        </w:rPr>
        <w:t>(</w:t>
      </w:r>
      <w:r>
        <w:rPr>
          <w:rFonts w:ascii="Century Gothic" w:hAnsi="Century Gothic"/>
          <w:szCs w:val="22"/>
        </w:rPr>
        <w:t>closed on 31.12.2009</w:t>
      </w:r>
      <w:r w:rsidR="00F66EA1">
        <w:rPr>
          <w:rFonts w:ascii="Century Gothic" w:hAnsi="Century Gothic"/>
          <w:szCs w:val="22"/>
        </w:rPr>
        <w:t>)</w:t>
      </w:r>
      <w:r>
        <w:rPr>
          <w:rFonts w:ascii="Century Gothic" w:hAnsi="Century Gothic"/>
          <w:szCs w:val="22"/>
        </w:rPr>
        <w:t xml:space="preserve"> coal was procured from NCL.</w:t>
      </w:r>
    </w:p>
    <w:p w:rsidR="00C43BF7" w:rsidRPr="00D20334" w:rsidRDefault="00236A97" w:rsidP="00C43BF7">
      <w:pPr>
        <w:pStyle w:val="BodyText"/>
        <w:numPr>
          <w:ilvl w:val="0"/>
          <w:numId w:val="36"/>
        </w:numPr>
        <w:rPr>
          <w:szCs w:val="22"/>
        </w:rPr>
      </w:pPr>
      <w:r w:rsidRPr="004E17C9">
        <w:rPr>
          <w:rFonts w:ascii="Century Gothic" w:hAnsi="Century Gothic"/>
          <w:szCs w:val="22"/>
        </w:rPr>
        <w:t xml:space="preserve">As the claim of UP forest transit fee is a part of variable cost (fuel) the same is required to be claimed from the </w:t>
      </w:r>
      <w:r w:rsidR="00E36E44" w:rsidRPr="004E17C9">
        <w:rPr>
          <w:rFonts w:ascii="Century Gothic" w:hAnsi="Century Gothic"/>
          <w:szCs w:val="22"/>
        </w:rPr>
        <w:t>receptive</w:t>
      </w:r>
      <w:r w:rsidRPr="004E17C9">
        <w:rPr>
          <w:rFonts w:ascii="Century Gothic" w:hAnsi="Century Gothic"/>
          <w:szCs w:val="22"/>
        </w:rPr>
        <w:t xml:space="preserve"> distribution companies i.e. from Delhi Transco Ltd. For the period from 01.p7.2002 to 31.03.2007 and from other DISCOMs i.e. BYPL, BRPL, TPDDL (then NDPL), HVPNL and NDMC from 01.04.2007 to 31.03.2012.</w:t>
      </w:r>
      <w:r w:rsidR="00E36E44" w:rsidRPr="004E17C9">
        <w:rPr>
          <w:rFonts w:ascii="Century Gothic" w:hAnsi="Century Gothic"/>
          <w:szCs w:val="22"/>
        </w:rPr>
        <w:t xml:space="preserve">  </w:t>
      </w:r>
    </w:p>
    <w:p w:rsidR="00D20334" w:rsidRDefault="00D20334" w:rsidP="00D20334">
      <w:pPr>
        <w:pStyle w:val="BodyText"/>
        <w:ind w:left="720"/>
        <w:rPr>
          <w:rFonts w:ascii="Century Gothic" w:hAnsi="Century Gothic"/>
          <w:szCs w:val="22"/>
        </w:rPr>
      </w:pPr>
      <w:r>
        <w:rPr>
          <w:rFonts w:ascii="Century Gothic" w:hAnsi="Century Gothic"/>
          <w:szCs w:val="22"/>
        </w:rPr>
        <w:t xml:space="preserve">In this regard petitioner may like to submit that IPGCL is further taking up clarification from NCL in this regard. </w:t>
      </w:r>
      <w:r w:rsidR="00F21FF7">
        <w:rPr>
          <w:rFonts w:ascii="Century Gothic" w:hAnsi="Century Gothic"/>
          <w:szCs w:val="22"/>
        </w:rPr>
        <w:t xml:space="preserve">However if payable additional Liability </w:t>
      </w:r>
      <w:r w:rsidR="00C1702A">
        <w:rPr>
          <w:rFonts w:ascii="Century Gothic" w:hAnsi="Century Gothic"/>
          <w:szCs w:val="22"/>
        </w:rPr>
        <w:t>in</w:t>
      </w:r>
      <w:r w:rsidR="00F21FF7">
        <w:rPr>
          <w:rFonts w:ascii="Century Gothic" w:hAnsi="Century Gothic"/>
          <w:szCs w:val="22"/>
        </w:rPr>
        <w:t xml:space="preserve"> form</w:t>
      </w:r>
      <w:r w:rsidR="003B024F">
        <w:rPr>
          <w:rFonts w:ascii="Century Gothic" w:hAnsi="Century Gothic"/>
          <w:szCs w:val="22"/>
        </w:rPr>
        <w:t xml:space="preserve"> </w:t>
      </w:r>
      <w:r w:rsidR="00CB0DE1">
        <w:rPr>
          <w:rFonts w:ascii="Century Gothic" w:hAnsi="Century Gothic"/>
          <w:szCs w:val="22"/>
        </w:rPr>
        <w:t xml:space="preserve">of </w:t>
      </w:r>
      <w:r w:rsidR="00F21FF7">
        <w:rPr>
          <w:rFonts w:ascii="Century Gothic" w:hAnsi="Century Gothic"/>
          <w:szCs w:val="22"/>
        </w:rPr>
        <w:t xml:space="preserve"> Duty as above will be payable</w:t>
      </w:r>
      <w:r w:rsidR="00F55027">
        <w:rPr>
          <w:rFonts w:ascii="Century Gothic" w:hAnsi="Century Gothic"/>
          <w:szCs w:val="22"/>
        </w:rPr>
        <w:t xml:space="preserve"> by beneficiaries of IPGCL for Rajghat Power Station</w:t>
      </w:r>
      <w:r w:rsidR="00F21FF7">
        <w:rPr>
          <w:rFonts w:ascii="Century Gothic" w:hAnsi="Century Gothic"/>
          <w:szCs w:val="22"/>
        </w:rPr>
        <w:t xml:space="preserve"> for above period. </w:t>
      </w:r>
    </w:p>
    <w:p w:rsidR="008C55DF" w:rsidRPr="004E17C9" w:rsidRDefault="008C55DF" w:rsidP="008C55DF">
      <w:pPr>
        <w:pStyle w:val="BodyText"/>
        <w:spacing w:line="240" w:lineRule="auto"/>
        <w:ind w:left="720"/>
        <w:rPr>
          <w:szCs w:val="22"/>
        </w:rPr>
      </w:pPr>
    </w:p>
    <w:p w:rsidR="00C43BF7" w:rsidRPr="008C55DF" w:rsidRDefault="00C43BF7" w:rsidP="008C55DF">
      <w:pPr>
        <w:numPr>
          <w:ilvl w:val="0"/>
          <w:numId w:val="9"/>
        </w:numPr>
        <w:rPr>
          <w:b/>
          <w:bCs/>
          <w:szCs w:val="22"/>
        </w:rPr>
      </w:pPr>
      <w:r w:rsidRPr="008C55DF">
        <w:rPr>
          <w:b/>
          <w:bCs/>
          <w:sz w:val="22"/>
          <w:szCs w:val="22"/>
        </w:rPr>
        <w:t>Gas</w:t>
      </w:r>
      <w:r w:rsidRPr="008C55DF">
        <w:rPr>
          <w:b/>
          <w:bCs/>
          <w:szCs w:val="22"/>
        </w:rPr>
        <w:tab/>
      </w:r>
    </w:p>
    <w:p w:rsidR="002212AF" w:rsidRPr="00C6351A" w:rsidRDefault="00C43BF7" w:rsidP="006C7E3C">
      <w:pPr>
        <w:rPr>
          <w:sz w:val="22"/>
          <w:szCs w:val="22"/>
        </w:rPr>
      </w:pPr>
      <w:r w:rsidRPr="001A6FAE">
        <w:rPr>
          <w:sz w:val="22"/>
          <w:szCs w:val="22"/>
        </w:rPr>
        <w:t>GT Power Station of IPGCL run</w:t>
      </w:r>
      <w:r w:rsidR="006437C1">
        <w:rPr>
          <w:sz w:val="22"/>
          <w:szCs w:val="22"/>
        </w:rPr>
        <w:t>s</w:t>
      </w:r>
      <w:r w:rsidRPr="001A6FAE">
        <w:rPr>
          <w:sz w:val="22"/>
          <w:szCs w:val="22"/>
        </w:rPr>
        <w:t xml:space="preserve"> on the Natural Gas being supplied by GAIL</w:t>
      </w:r>
      <w:r w:rsidR="006437C1">
        <w:rPr>
          <w:sz w:val="22"/>
          <w:szCs w:val="22"/>
        </w:rPr>
        <w:t xml:space="preserve"> and Liquid Fuel supplied by IOCL</w:t>
      </w:r>
      <w:r w:rsidRPr="001A6FAE">
        <w:rPr>
          <w:sz w:val="22"/>
          <w:szCs w:val="22"/>
        </w:rPr>
        <w:t xml:space="preserve">. </w:t>
      </w:r>
      <w:r w:rsidR="004265B3">
        <w:rPr>
          <w:sz w:val="22"/>
          <w:szCs w:val="22"/>
        </w:rPr>
        <w:t xml:space="preserve"> The total (APM+PMT+LNG) allocation for GTPS </w:t>
      </w:r>
      <w:r w:rsidR="006C7E3C" w:rsidRPr="001A6FAE">
        <w:rPr>
          <w:sz w:val="22"/>
          <w:szCs w:val="22"/>
        </w:rPr>
        <w:t>was 1.44 MMSCM</w:t>
      </w:r>
      <w:r w:rsidR="00CD59FD">
        <w:rPr>
          <w:sz w:val="22"/>
          <w:szCs w:val="22"/>
        </w:rPr>
        <w:t>D</w:t>
      </w:r>
      <w:r w:rsidR="006C7E3C" w:rsidRPr="001A6FAE">
        <w:rPr>
          <w:sz w:val="22"/>
          <w:szCs w:val="22"/>
        </w:rPr>
        <w:t xml:space="preserve"> which is </w:t>
      </w:r>
      <w:r w:rsidR="006C1A8B" w:rsidRPr="001A6FAE">
        <w:rPr>
          <w:sz w:val="22"/>
          <w:szCs w:val="22"/>
        </w:rPr>
        <w:t>sufficient to</w:t>
      </w:r>
      <w:r w:rsidR="006C7E3C" w:rsidRPr="001A6FAE">
        <w:rPr>
          <w:sz w:val="22"/>
          <w:szCs w:val="22"/>
        </w:rPr>
        <w:t xml:space="preserve"> run six gas turbines.  This allocation was reduced to 1.3</w:t>
      </w:r>
      <w:r w:rsidR="00E1208C">
        <w:rPr>
          <w:sz w:val="22"/>
          <w:szCs w:val="22"/>
        </w:rPr>
        <w:t>2</w:t>
      </w:r>
      <w:r w:rsidR="006C7E3C" w:rsidRPr="001A6FAE">
        <w:rPr>
          <w:sz w:val="22"/>
          <w:szCs w:val="22"/>
        </w:rPr>
        <w:t xml:space="preserve"> MMSCMD during the</w:t>
      </w:r>
      <w:r w:rsidR="000808A8">
        <w:rPr>
          <w:sz w:val="22"/>
          <w:szCs w:val="22"/>
        </w:rPr>
        <w:t xml:space="preserve"> FY 2006-07</w:t>
      </w:r>
      <w:r w:rsidR="006C7E3C" w:rsidRPr="001A6FAE">
        <w:rPr>
          <w:sz w:val="22"/>
          <w:szCs w:val="22"/>
        </w:rPr>
        <w:t>. Out of the t</w:t>
      </w:r>
      <w:r w:rsidR="00E1208C">
        <w:rPr>
          <w:sz w:val="22"/>
          <w:szCs w:val="22"/>
        </w:rPr>
        <w:t>otal allocation of 1.32</w:t>
      </w:r>
      <w:r w:rsidR="006C7E3C" w:rsidRPr="001A6FAE">
        <w:rPr>
          <w:sz w:val="22"/>
          <w:szCs w:val="22"/>
        </w:rPr>
        <w:t xml:space="preserve"> MMSCMD</w:t>
      </w:r>
      <w:r w:rsidR="00611CB5">
        <w:rPr>
          <w:sz w:val="22"/>
          <w:szCs w:val="22"/>
        </w:rPr>
        <w:t>,</w:t>
      </w:r>
      <w:r w:rsidR="006C7E3C" w:rsidRPr="001A6FAE">
        <w:rPr>
          <w:sz w:val="22"/>
          <w:szCs w:val="22"/>
        </w:rPr>
        <w:t xml:space="preserve"> th</w:t>
      </w:r>
      <w:r w:rsidR="00F1104D" w:rsidRPr="001A6FAE">
        <w:rPr>
          <w:sz w:val="22"/>
          <w:szCs w:val="22"/>
        </w:rPr>
        <w:t>e contracted quantity of R-LNG is 0.6</w:t>
      </w:r>
      <w:r w:rsidR="009F66E2">
        <w:rPr>
          <w:sz w:val="22"/>
          <w:szCs w:val="22"/>
        </w:rPr>
        <w:t>0</w:t>
      </w:r>
      <w:r w:rsidR="00F1104D" w:rsidRPr="001A6FAE">
        <w:rPr>
          <w:sz w:val="22"/>
          <w:szCs w:val="22"/>
        </w:rPr>
        <w:t xml:space="preserve"> MMSCMD and </w:t>
      </w:r>
      <w:r w:rsidR="006C7E3C" w:rsidRPr="001A6FAE">
        <w:rPr>
          <w:sz w:val="22"/>
          <w:szCs w:val="22"/>
        </w:rPr>
        <w:t>balance i.e.  0.7</w:t>
      </w:r>
      <w:r w:rsidR="00E1208C">
        <w:rPr>
          <w:sz w:val="22"/>
          <w:szCs w:val="22"/>
        </w:rPr>
        <w:t>2</w:t>
      </w:r>
      <w:r w:rsidR="006C7E3C" w:rsidRPr="001A6FAE">
        <w:rPr>
          <w:sz w:val="22"/>
          <w:szCs w:val="22"/>
        </w:rPr>
        <w:t xml:space="preserve"> MMSCMD </w:t>
      </w:r>
      <w:r w:rsidR="00F1104D" w:rsidRPr="001A6FAE">
        <w:rPr>
          <w:sz w:val="22"/>
          <w:szCs w:val="22"/>
        </w:rPr>
        <w:t xml:space="preserve">comes from APM </w:t>
      </w:r>
      <w:r w:rsidR="006C7E3C" w:rsidRPr="001A6FAE">
        <w:rPr>
          <w:sz w:val="22"/>
          <w:szCs w:val="22"/>
        </w:rPr>
        <w:t>and PMT</w:t>
      </w:r>
      <w:r w:rsidR="00EB3C6A">
        <w:rPr>
          <w:sz w:val="22"/>
          <w:szCs w:val="22"/>
        </w:rPr>
        <w:t xml:space="preserve"> </w:t>
      </w:r>
      <w:r w:rsidR="001940D9">
        <w:rPr>
          <w:sz w:val="22"/>
          <w:szCs w:val="22"/>
        </w:rPr>
        <w:t xml:space="preserve">and </w:t>
      </w:r>
      <w:r w:rsidR="001940D9" w:rsidRPr="001A6FAE">
        <w:rPr>
          <w:sz w:val="22"/>
          <w:szCs w:val="22"/>
        </w:rPr>
        <w:t>these</w:t>
      </w:r>
      <w:r w:rsidR="00EB3C6A" w:rsidRPr="001A6FAE">
        <w:rPr>
          <w:sz w:val="22"/>
          <w:szCs w:val="22"/>
        </w:rPr>
        <w:t xml:space="preserve"> quantities </w:t>
      </w:r>
      <w:r w:rsidR="00562AA0">
        <w:rPr>
          <w:sz w:val="22"/>
          <w:szCs w:val="22"/>
        </w:rPr>
        <w:t xml:space="preserve">were further </w:t>
      </w:r>
      <w:r w:rsidR="006C7E3C" w:rsidRPr="001A6FAE">
        <w:rPr>
          <w:sz w:val="22"/>
          <w:szCs w:val="22"/>
        </w:rPr>
        <w:t xml:space="preserve">subject to daily cuts </w:t>
      </w:r>
      <w:r w:rsidR="00C92BC0">
        <w:rPr>
          <w:sz w:val="22"/>
          <w:szCs w:val="22"/>
        </w:rPr>
        <w:t xml:space="preserve">in the </w:t>
      </w:r>
      <w:r w:rsidR="001940D9">
        <w:rPr>
          <w:sz w:val="22"/>
          <w:szCs w:val="22"/>
        </w:rPr>
        <w:t>range of</w:t>
      </w:r>
      <w:r w:rsidR="00C92BC0">
        <w:rPr>
          <w:sz w:val="22"/>
          <w:szCs w:val="22"/>
        </w:rPr>
        <w:t xml:space="preserve"> 15% </w:t>
      </w:r>
      <w:r w:rsidR="006C7E3C" w:rsidRPr="001A6FAE">
        <w:rPr>
          <w:sz w:val="22"/>
          <w:szCs w:val="22"/>
        </w:rPr>
        <w:t xml:space="preserve">depending on the availability.  </w:t>
      </w:r>
      <w:r w:rsidR="00C92BC0">
        <w:rPr>
          <w:sz w:val="22"/>
          <w:szCs w:val="22"/>
        </w:rPr>
        <w:t xml:space="preserve">In view </w:t>
      </w:r>
      <w:r w:rsidR="005F0210">
        <w:rPr>
          <w:sz w:val="22"/>
          <w:szCs w:val="22"/>
        </w:rPr>
        <w:t>of non</w:t>
      </w:r>
      <w:r w:rsidR="002212AF">
        <w:rPr>
          <w:sz w:val="22"/>
          <w:szCs w:val="22"/>
        </w:rPr>
        <w:t xml:space="preserve"> availability of sufficient gas, Hon’ble Commission has approved the conversi</w:t>
      </w:r>
      <w:r w:rsidR="00611CB5">
        <w:rPr>
          <w:sz w:val="22"/>
          <w:szCs w:val="22"/>
        </w:rPr>
        <w:t>on of two Gas Turbines on dual f</w:t>
      </w:r>
      <w:r w:rsidR="002212AF">
        <w:rPr>
          <w:sz w:val="22"/>
          <w:szCs w:val="22"/>
        </w:rPr>
        <w:t>uel system in FY 2008-09.</w:t>
      </w:r>
      <w:r w:rsidR="001940D9">
        <w:rPr>
          <w:sz w:val="22"/>
          <w:szCs w:val="22"/>
        </w:rPr>
        <w:t xml:space="preserve"> </w:t>
      </w:r>
      <w:r w:rsidR="006F3D42">
        <w:rPr>
          <w:sz w:val="22"/>
          <w:szCs w:val="22"/>
        </w:rPr>
        <w:t xml:space="preserve"> </w:t>
      </w:r>
      <w:r w:rsidR="001940D9" w:rsidRPr="00C6351A">
        <w:rPr>
          <w:sz w:val="22"/>
          <w:szCs w:val="22"/>
        </w:rPr>
        <w:t xml:space="preserve">MoP&amp;NG has </w:t>
      </w:r>
      <w:r w:rsidR="00843AFD">
        <w:rPr>
          <w:sz w:val="22"/>
          <w:szCs w:val="22"/>
        </w:rPr>
        <w:t xml:space="preserve">further </w:t>
      </w:r>
      <w:r w:rsidR="001940D9" w:rsidRPr="00C6351A">
        <w:rPr>
          <w:sz w:val="22"/>
          <w:szCs w:val="22"/>
        </w:rPr>
        <w:t>allocated 0.2</w:t>
      </w:r>
      <w:r w:rsidR="008D7F00" w:rsidRPr="00C6351A">
        <w:rPr>
          <w:sz w:val="22"/>
          <w:szCs w:val="22"/>
        </w:rPr>
        <w:t>3</w:t>
      </w:r>
      <w:r w:rsidR="001940D9" w:rsidRPr="00C6351A">
        <w:rPr>
          <w:sz w:val="22"/>
          <w:szCs w:val="22"/>
        </w:rPr>
        <w:t xml:space="preserve"> MMSCMD non-APM ONGC gas whose supply has been commenced from mid October, 2011</w:t>
      </w:r>
      <w:r w:rsidR="00235E34">
        <w:rPr>
          <w:sz w:val="22"/>
          <w:szCs w:val="22"/>
        </w:rPr>
        <w:t>.</w:t>
      </w:r>
    </w:p>
    <w:p w:rsidR="001940D9" w:rsidRPr="001940D9" w:rsidRDefault="001940D9" w:rsidP="006C7E3C">
      <w:pPr>
        <w:rPr>
          <w:sz w:val="12"/>
          <w:szCs w:val="12"/>
        </w:rPr>
      </w:pPr>
    </w:p>
    <w:p w:rsidR="00E0675B" w:rsidRDefault="006C7E3C" w:rsidP="006C7E3C">
      <w:pPr>
        <w:rPr>
          <w:sz w:val="22"/>
          <w:szCs w:val="22"/>
        </w:rPr>
      </w:pPr>
      <w:r w:rsidRPr="001A6FAE">
        <w:rPr>
          <w:sz w:val="22"/>
          <w:szCs w:val="22"/>
        </w:rPr>
        <w:t xml:space="preserve">The Company </w:t>
      </w:r>
      <w:r w:rsidR="00D12E93">
        <w:rPr>
          <w:sz w:val="22"/>
          <w:szCs w:val="22"/>
        </w:rPr>
        <w:t>has</w:t>
      </w:r>
      <w:r w:rsidRPr="001A6FAE">
        <w:rPr>
          <w:sz w:val="22"/>
          <w:szCs w:val="22"/>
        </w:rPr>
        <w:t xml:space="preserve"> an agreement </w:t>
      </w:r>
      <w:r w:rsidR="00F1104D" w:rsidRPr="001A6FAE">
        <w:rPr>
          <w:sz w:val="22"/>
          <w:szCs w:val="22"/>
        </w:rPr>
        <w:t xml:space="preserve">with GAIL for supply of </w:t>
      </w:r>
      <w:r w:rsidR="00355094" w:rsidRPr="001A6FAE">
        <w:rPr>
          <w:sz w:val="22"/>
          <w:szCs w:val="22"/>
        </w:rPr>
        <w:t>0.6 M</w:t>
      </w:r>
      <w:r w:rsidR="00355094">
        <w:rPr>
          <w:sz w:val="22"/>
          <w:szCs w:val="22"/>
        </w:rPr>
        <w:t>MS</w:t>
      </w:r>
      <w:r w:rsidR="00355094" w:rsidRPr="001A6FAE">
        <w:rPr>
          <w:sz w:val="22"/>
          <w:szCs w:val="22"/>
        </w:rPr>
        <w:t>CMD</w:t>
      </w:r>
      <w:r w:rsidR="00355094">
        <w:rPr>
          <w:sz w:val="22"/>
          <w:szCs w:val="22"/>
        </w:rPr>
        <w:t xml:space="preserve"> </w:t>
      </w:r>
      <w:r w:rsidR="00D12E93">
        <w:rPr>
          <w:sz w:val="22"/>
          <w:szCs w:val="22"/>
        </w:rPr>
        <w:t>R-</w:t>
      </w:r>
      <w:r w:rsidR="00F1104D" w:rsidRPr="001A6FAE">
        <w:rPr>
          <w:sz w:val="22"/>
          <w:szCs w:val="22"/>
        </w:rPr>
        <w:t xml:space="preserve">LNG. </w:t>
      </w:r>
      <w:r w:rsidR="00DC7FD5">
        <w:rPr>
          <w:sz w:val="22"/>
          <w:szCs w:val="22"/>
        </w:rPr>
        <w:t>As per the agreement with GAIL, th</w:t>
      </w:r>
      <w:r w:rsidR="00F1104D" w:rsidRPr="001A6FAE">
        <w:rPr>
          <w:sz w:val="22"/>
          <w:szCs w:val="22"/>
        </w:rPr>
        <w:t xml:space="preserve">e </w:t>
      </w:r>
      <w:r w:rsidR="005F0210">
        <w:rPr>
          <w:sz w:val="22"/>
          <w:szCs w:val="22"/>
        </w:rPr>
        <w:t>contracted</w:t>
      </w:r>
      <w:r w:rsidR="00DC7FD5">
        <w:rPr>
          <w:sz w:val="22"/>
          <w:szCs w:val="22"/>
        </w:rPr>
        <w:t xml:space="preserve"> quantity is subject </w:t>
      </w:r>
      <w:r w:rsidR="006535B9">
        <w:rPr>
          <w:sz w:val="22"/>
          <w:szCs w:val="22"/>
        </w:rPr>
        <w:t>to Take</w:t>
      </w:r>
      <w:r w:rsidR="00DC7FD5">
        <w:rPr>
          <w:sz w:val="22"/>
          <w:szCs w:val="22"/>
        </w:rPr>
        <w:t xml:space="preserve"> or Pay clause. Accordingly, the </w:t>
      </w:r>
      <w:r w:rsidR="00F1104D" w:rsidRPr="001A6FAE">
        <w:rPr>
          <w:sz w:val="22"/>
          <w:szCs w:val="22"/>
        </w:rPr>
        <w:t xml:space="preserve">Company </w:t>
      </w:r>
      <w:r w:rsidRPr="001A6FAE">
        <w:rPr>
          <w:sz w:val="22"/>
          <w:szCs w:val="22"/>
        </w:rPr>
        <w:t xml:space="preserve">is to bear the cost of this contracted quantity even if there is no off take of supply. </w:t>
      </w:r>
      <w:r w:rsidR="0041769D">
        <w:rPr>
          <w:sz w:val="22"/>
          <w:szCs w:val="22"/>
        </w:rPr>
        <w:t xml:space="preserve">IPGCL </w:t>
      </w:r>
      <w:r w:rsidR="00690E04">
        <w:rPr>
          <w:sz w:val="22"/>
          <w:szCs w:val="22"/>
        </w:rPr>
        <w:t xml:space="preserve">is </w:t>
      </w:r>
      <w:r w:rsidR="0041769D">
        <w:rPr>
          <w:sz w:val="22"/>
          <w:szCs w:val="22"/>
        </w:rPr>
        <w:t xml:space="preserve">also </w:t>
      </w:r>
      <w:r w:rsidR="00690E04">
        <w:rPr>
          <w:sz w:val="22"/>
          <w:szCs w:val="22"/>
        </w:rPr>
        <w:t xml:space="preserve">using </w:t>
      </w:r>
      <w:r w:rsidR="0041769D">
        <w:rPr>
          <w:sz w:val="22"/>
          <w:szCs w:val="22"/>
        </w:rPr>
        <w:t>spot R-LNG</w:t>
      </w:r>
      <w:r w:rsidR="00235E34">
        <w:rPr>
          <w:sz w:val="22"/>
          <w:szCs w:val="22"/>
        </w:rPr>
        <w:t>,</w:t>
      </w:r>
      <w:r w:rsidR="006535B9">
        <w:rPr>
          <w:sz w:val="22"/>
          <w:szCs w:val="22"/>
        </w:rPr>
        <w:t xml:space="preserve"> subject to availability </w:t>
      </w:r>
      <w:r w:rsidR="0041769D">
        <w:rPr>
          <w:sz w:val="22"/>
          <w:szCs w:val="22"/>
        </w:rPr>
        <w:t>on take and pay basis</w:t>
      </w:r>
      <w:r w:rsidR="006535B9">
        <w:rPr>
          <w:sz w:val="22"/>
          <w:szCs w:val="22"/>
        </w:rPr>
        <w:t>.</w:t>
      </w:r>
    </w:p>
    <w:p w:rsidR="007C049F" w:rsidRPr="007C049F" w:rsidRDefault="007C049F" w:rsidP="006C7E3C">
      <w:pPr>
        <w:rPr>
          <w:sz w:val="12"/>
          <w:szCs w:val="22"/>
        </w:rPr>
      </w:pPr>
    </w:p>
    <w:p w:rsidR="00251DEC" w:rsidRDefault="00144344" w:rsidP="00396D20">
      <w:pPr>
        <w:pStyle w:val="BodyText"/>
        <w:rPr>
          <w:rFonts w:ascii="Century Gothic" w:hAnsi="Century Gothic"/>
          <w:szCs w:val="24"/>
        </w:rPr>
      </w:pPr>
      <w:r w:rsidRPr="00D24982">
        <w:rPr>
          <w:rFonts w:ascii="Century Gothic" w:hAnsi="Century Gothic"/>
        </w:rPr>
        <w:t xml:space="preserve">One module of the station </w:t>
      </w:r>
      <w:r w:rsidR="00887A59">
        <w:rPr>
          <w:rFonts w:ascii="Century Gothic" w:hAnsi="Century Gothic"/>
        </w:rPr>
        <w:t xml:space="preserve">has </w:t>
      </w:r>
      <w:r w:rsidR="001C758E">
        <w:rPr>
          <w:rFonts w:ascii="Century Gothic" w:hAnsi="Century Gothic"/>
        </w:rPr>
        <w:t xml:space="preserve">been </w:t>
      </w:r>
      <w:r w:rsidR="001C758E" w:rsidRPr="00D24982">
        <w:rPr>
          <w:rFonts w:ascii="Century Gothic" w:hAnsi="Century Gothic"/>
        </w:rPr>
        <w:t>converted</w:t>
      </w:r>
      <w:r w:rsidRPr="00D24982">
        <w:rPr>
          <w:rFonts w:ascii="Century Gothic" w:hAnsi="Century Gothic"/>
        </w:rPr>
        <w:t xml:space="preserve"> on liquid fuel</w:t>
      </w:r>
      <w:r w:rsidR="005E2A33" w:rsidRPr="00D24982">
        <w:rPr>
          <w:rFonts w:ascii="Century Gothic" w:hAnsi="Century Gothic"/>
        </w:rPr>
        <w:t>.</w:t>
      </w:r>
      <w:r w:rsidR="00FB3AD8">
        <w:rPr>
          <w:rFonts w:ascii="Century Gothic" w:hAnsi="Century Gothic"/>
        </w:rPr>
        <w:t xml:space="preserve"> </w:t>
      </w:r>
      <w:r w:rsidR="00251DEC" w:rsidRPr="00D24982">
        <w:rPr>
          <w:rFonts w:ascii="Century Gothic" w:hAnsi="Century Gothic"/>
        </w:rPr>
        <w:t xml:space="preserve">The quantum of open cycle generation calculated in terms of percentage is around </w:t>
      </w:r>
      <w:r w:rsidR="000279ED" w:rsidRPr="00D806BD">
        <w:rPr>
          <w:rFonts w:ascii="Century Gothic" w:hAnsi="Century Gothic"/>
        </w:rPr>
        <w:t>1</w:t>
      </w:r>
      <w:r w:rsidR="00C50E41" w:rsidRPr="00D806BD">
        <w:rPr>
          <w:rFonts w:ascii="Century Gothic" w:hAnsi="Century Gothic"/>
        </w:rPr>
        <w:t>.</w:t>
      </w:r>
      <w:r w:rsidR="00251DEC" w:rsidRPr="00D806BD">
        <w:rPr>
          <w:rFonts w:ascii="Century Gothic" w:hAnsi="Century Gothic"/>
        </w:rPr>
        <w:t>5%</w:t>
      </w:r>
      <w:r w:rsidR="00251DEC" w:rsidRPr="00D24982">
        <w:rPr>
          <w:rFonts w:ascii="Century Gothic" w:hAnsi="Century Gothic"/>
        </w:rPr>
        <w:t xml:space="preserve"> of the total generation of the station</w:t>
      </w:r>
      <w:r w:rsidR="002E6746">
        <w:rPr>
          <w:rFonts w:ascii="Century Gothic" w:hAnsi="Century Gothic"/>
        </w:rPr>
        <w:t xml:space="preserve"> in FY 2012-13 to 2014-15</w:t>
      </w:r>
      <w:r w:rsidR="00251DEC" w:rsidRPr="00D24982">
        <w:rPr>
          <w:rFonts w:ascii="Century Gothic" w:hAnsi="Century Gothic"/>
        </w:rPr>
        <w:t xml:space="preserve">. </w:t>
      </w:r>
      <w:r w:rsidR="000E49E1">
        <w:rPr>
          <w:rFonts w:ascii="Century Gothic" w:hAnsi="Century Gothic"/>
        </w:rPr>
        <w:t>However, t</w:t>
      </w:r>
      <w:r w:rsidR="005E2A33" w:rsidRPr="00D24982">
        <w:rPr>
          <w:rFonts w:ascii="Century Gothic" w:hAnsi="Century Gothic"/>
        </w:rPr>
        <w:t xml:space="preserve">he fuel requirement for </w:t>
      </w:r>
      <w:r w:rsidR="000E49E1">
        <w:rPr>
          <w:rFonts w:ascii="Century Gothic" w:hAnsi="Century Gothic"/>
        </w:rPr>
        <w:t>FY 2015</w:t>
      </w:r>
      <w:r w:rsidR="002E6746">
        <w:rPr>
          <w:rFonts w:ascii="Century Gothic" w:hAnsi="Century Gothic"/>
        </w:rPr>
        <w:t>-16</w:t>
      </w:r>
      <w:r w:rsidR="005E2A33" w:rsidRPr="00D24982">
        <w:rPr>
          <w:rFonts w:ascii="Century Gothic" w:hAnsi="Century Gothic"/>
        </w:rPr>
        <w:t xml:space="preserve"> has been computed based upon the type of fuel and </w:t>
      </w:r>
      <w:r w:rsidR="005E2A33" w:rsidRPr="00D24982">
        <w:rPr>
          <w:rFonts w:ascii="Century Gothic" w:hAnsi="Century Gothic"/>
        </w:rPr>
        <w:lastRenderedPageBreak/>
        <w:t xml:space="preserve">also </w:t>
      </w:r>
      <w:r w:rsidR="000E49E1">
        <w:rPr>
          <w:rFonts w:ascii="Century Gothic" w:hAnsi="Century Gothic"/>
        </w:rPr>
        <w:t>the o</w:t>
      </w:r>
      <w:r w:rsidR="005E2A33" w:rsidRPr="00D24982">
        <w:rPr>
          <w:rFonts w:ascii="Century Gothic" w:hAnsi="Century Gothic"/>
        </w:rPr>
        <w:t xml:space="preserve">peration </w:t>
      </w:r>
      <w:r w:rsidR="000E49E1">
        <w:rPr>
          <w:rFonts w:ascii="Century Gothic" w:hAnsi="Century Gothic"/>
        </w:rPr>
        <w:t xml:space="preserve">of module </w:t>
      </w:r>
      <w:r w:rsidR="005E2A33" w:rsidRPr="00D24982">
        <w:rPr>
          <w:rFonts w:ascii="Century Gothic" w:hAnsi="Century Gothic"/>
        </w:rPr>
        <w:t>in combined cycle mode</w:t>
      </w:r>
      <w:r w:rsidR="000E49E1">
        <w:rPr>
          <w:rFonts w:ascii="Century Gothic" w:hAnsi="Century Gothic"/>
        </w:rPr>
        <w:t>.</w:t>
      </w:r>
      <w:r w:rsidR="005E2A33" w:rsidRPr="00D24982">
        <w:rPr>
          <w:rFonts w:ascii="Century Gothic" w:hAnsi="Century Gothic"/>
        </w:rPr>
        <w:t xml:space="preserve"> </w:t>
      </w:r>
      <w:r w:rsidR="003E0C8F">
        <w:rPr>
          <w:rFonts w:ascii="Century Gothic" w:hAnsi="Century Gothic"/>
        </w:rPr>
        <w:t xml:space="preserve"> This fuel consumption is </w:t>
      </w:r>
      <w:r w:rsidR="0099444E">
        <w:rPr>
          <w:rFonts w:ascii="Century Gothic" w:hAnsi="Century Gothic"/>
        </w:rPr>
        <w:t>projected</w:t>
      </w:r>
      <w:r w:rsidR="003E0C8F">
        <w:rPr>
          <w:rFonts w:ascii="Century Gothic" w:hAnsi="Century Gothic"/>
        </w:rPr>
        <w:t xml:space="preserve"> on the </w:t>
      </w:r>
      <w:r w:rsidR="00251DEC">
        <w:rPr>
          <w:rFonts w:ascii="Century Gothic" w:hAnsi="Century Gothic"/>
          <w:szCs w:val="24"/>
        </w:rPr>
        <w:t xml:space="preserve">heat rate </w:t>
      </w:r>
      <w:r w:rsidR="00251DEC" w:rsidRPr="004D069B">
        <w:rPr>
          <w:rFonts w:ascii="Century Gothic" w:hAnsi="Century Gothic"/>
          <w:szCs w:val="24"/>
        </w:rPr>
        <w:t>of 2</w:t>
      </w:r>
      <w:r w:rsidR="003E0C8F" w:rsidRPr="004D069B">
        <w:rPr>
          <w:rFonts w:ascii="Century Gothic" w:hAnsi="Century Gothic"/>
          <w:szCs w:val="24"/>
        </w:rPr>
        <w:t>5</w:t>
      </w:r>
      <w:r w:rsidR="00B470BE">
        <w:rPr>
          <w:rFonts w:ascii="Century Gothic" w:hAnsi="Century Gothic"/>
          <w:szCs w:val="24"/>
        </w:rPr>
        <w:t>0</w:t>
      </w:r>
      <w:r w:rsidR="003E0C8F" w:rsidRPr="004D069B">
        <w:rPr>
          <w:rFonts w:ascii="Century Gothic" w:hAnsi="Century Gothic"/>
          <w:szCs w:val="24"/>
        </w:rPr>
        <w:t>0</w:t>
      </w:r>
      <w:r w:rsidR="00251DEC" w:rsidRPr="004D069B">
        <w:rPr>
          <w:rFonts w:ascii="Century Gothic" w:hAnsi="Century Gothic"/>
          <w:szCs w:val="24"/>
        </w:rPr>
        <w:t>kCal</w:t>
      </w:r>
      <w:r w:rsidR="00251DEC">
        <w:rPr>
          <w:rFonts w:ascii="Century Gothic" w:hAnsi="Century Gothic"/>
          <w:szCs w:val="24"/>
        </w:rPr>
        <w:t xml:space="preserve">/kWh in combined cycle mode at the gross </w:t>
      </w:r>
      <w:r w:rsidR="003E0C8F">
        <w:rPr>
          <w:rFonts w:ascii="Century Gothic" w:hAnsi="Century Gothic"/>
          <w:szCs w:val="24"/>
        </w:rPr>
        <w:t xml:space="preserve">calorific value of </w:t>
      </w:r>
      <w:r w:rsidR="00C50E41" w:rsidRPr="00D806BD">
        <w:rPr>
          <w:rFonts w:ascii="Century Gothic" w:hAnsi="Century Gothic"/>
          <w:szCs w:val="24"/>
        </w:rPr>
        <w:t>9695</w:t>
      </w:r>
      <w:r w:rsidR="00952B90" w:rsidRPr="00D806BD">
        <w:rPr>
          <w:rFonts w:ascii="Century Gothic" w:hAnsi="Century Gothic"/>
          <w:szCs w:val="24"/>
        </w:rPr>
        <w:t xml:space="preserve"> </w:t>
      </w:r>
      <w:r w:rsidR="003E0C8F" w:rsidRPr="00D806BD">
        <w:rPr>
          <w:rFonts w:ascii="Century Gothic" w:hAnsi="Century Gothic"/>
          <w:szCs w:val="24"/>
        </w:rPr>
        <w:t>kCal/SCM</w:t>
      </w:r>
      <w:r w:rsidR="007E1D66" w:rsidRPr="00D806BD">
        <w:rPr>
          <w:rFonts w:ascii="Century Gothic" w:hAnsi="Century Gothic"/>
          <w:szCs w:val="24"/>
        </w:rPr>
        <w:t xml:space="preserve"> for gas and 8946kCal/</w:t>
      </w:r>
      <w:r w:rsidR="002B32E2" w:rsidRPr="00D806BD">
        <w:rPr>
          <w:rFonts w:ascii="Century Gothic" w:hAnsi="Century Gothic"/>
          <w:szCs w:val="24"/>
        </w:rPr>
        <w:t>ltr for</w:t>
      </w:r>
      <w:r w:rsidR="007E1D66" w:rsidRPr="00D806BD">
        <w:rPr>
          <w:rFonts w:ascii="Century Gothic" w:hAnsi="Century Gothic"/>
          <w:szCs w:val="24"/>
        </w:rPr>
        <w:t xml:space="preserve"> liquid fuel</w:t>
      </w:r>
      <w:r w:rsidR="003E0C8F" w:rsidRPr="00C50E41">
        <w:rPr>
          <w:rFonts w:ascii="Century Gothic" w:hAnsi="Century Gothic"/>
          <w:color w:val="00B0F0"/>
          <w:szCs w:val="24"/>
        </w:rPr>
        <w:t>.</w:t>
      </w:r>
      <w:r w:rsidR="00251DEC">
        <w:rPr>
          <w:rFonts w:ascii="Century Gothic" w:hAnsi="Century Gothic"/>
          <w:szCs w:val="24"/>
        </w:rPr>
        <w:t xml:space="preserve"> </w:t>
      </w:r>
    </w:p>
    <w:p w:rsidR="00E0675B" w:rsidRPr="007C049F" w:rsidRDefault="00E0675B" w:rsidP="00E34364">
      <w:pPr>
        <w:spacing w:line="240" w:lineRule="auto"/>
        <w:rPr>
          <w:szCs w:val="22"/>
        </w:rPr>
      </w:pPr>
    </w:p>
    <w:p w:rsidR="00C43BF7" w:rsidRDefault="00C43BF7" w:rsidP="00397E52">
      <w:pPr>
        <w:pStyle w:val="BodyText"/>
        <w:rPr>
          <w:b/>
          <w:bCs/>
        </w:rPr>
      </w:pPr>
      <w:r>
        <w:rPr>
          <w:b/>
          <w:bCs/>
        </w:rPr>
        <w:t>3. Secondary oil</w:t>
      </w:r>
    </w:p>
    <w:p w:rsidR="00D5074F" w:rsidRPr="007C049F" w:rsidRDefault="00D5074F" w:rsidP="00E34364">
      <w:pPr>
        <w:pStyle w:val="BodyText"/>
        <w:spacing w:line="240" w:lineRule="auto"/>
        <w:rPr>
          <w:b/>
          <w:bCs/>
          <w:sz w:val="26"/>
        </w:rPr>
      </w:pPr>
    </w:p>
    <w:p w:rsidR="004D5ADC" w:rsidRDefault="002B32E2" w:rsidP="00C43BF7">
      <w:pPr>
        <w:rPr>
          <w:sz w:val="22"/>
          <w:szCs w:val="22"/>
        </w:rPr>
      </w:pPr>
      <w:r>
        <w:rPr>
          <w:sz w:val="22"/>
          <w:szCs w:val="22"/>
        </w:rPr>
        <w:t xml:space="preserve">The cost of secondary fuel has been computed based upon the average price and GCV for the months of </w:t>
      </w:r>
      <w:r w:rsidR="003607C1">
        <w:rPr>
          <w:sz w:val="22"/>
          <w:szCs w:val="22"/>
        </w:rPr>
        <w:t>October to December, 2014</w:t>
      </w:r>
      <w:r>
        <w:rPr>
          <w:sz w:val="22"/>
          <w:szCs w:val="22"/>
        </w:rPr>
        <w:t xml:space="preserve"> and no escalation has been provided. </w:t>
      </w:r>
      <w:r w:rsidR="00091DA3">
        <w:rPr>
          <w:sz w:val="22"/>
          <w:szCs w:val="22"/>
        </w:rPr>
        <w:t>It is further submitted</w:t>
      </w:r>
      <w:r w:rsidR="00763F34">
        <w:rPr>
          <w:sz w:val="22"/>
          <w:szCs w:val="22"/>
        </w:rPr>
        <w:t xml:space="preserve"> earlier Hon’ble Commission in its Regulation 2011, and tariff order for RPH for FY 2012-13 to 2014-15 had allowed to </w:t>
      </w:r>
      <w:r w:rsidR="00824B08">
        <w:rPr>
          <w:sz w:val="22"/>
          <w:szCs w:val="22"/>
        </w:rPr>
        <w:t xml:space="preserve">secondary </w:t>
      </w:r>
      <w:r w:rsidR="00091DA3">
        <w:rPr>
          <w:sz w:val="22"/>
          <w:szCs w:val="22"/>
        </w:rPr>
        <w:t>fuel</w:t>
      </w:r>
      <w:r w:rsidR="00824B08">
        <w:rPr>
          <w:sz w:val="22"/>
          <w:szCs w:val="22"/>
        </w:rPr>
        <w:t xml:space="preserve"> oil for R</w:t>
      </w:r>
      <w:r w:rsidR="00763F34">
        <w:rPr>
          <w:sz w:val="22"/>
          <w:szCs w:val="22"/>
        </w:rPr>
        <w:t>PH for FY 2012-13 to FY 2014-15 as under:</w:t>
      </w:r>
    </w:p>
    <w:p w:rsidR="003705AB" w:rsidRDefault="003705AB" w:rsidP="003705AB">
      <w:pPr>
        <w:pStyle w:val="Caption"/>
        <w:keepNext/>
        <w:jc w:val="center"/>
      </w:pPr>
      <w:bookmarkStart w:id="38" w:name="_Toc411603991"/>
      <w:r>
        <w:t xml:space="preserve">Table </w:t>
      </w:r>
      <w:fldSimple w:instr=" SEQ Table \* ARABIC ">
        <w:r w:rsidR="002326CE">
          <w:rPr>
            <w:noProof/>
          </w:rPr>
          <w:t>14</w:t>
        </w:r>
      </w:fldSimple>
      <w:r>
        <w:t xml:space="preserve"> : Norms of Secondary Fuel allowed for RPH</w:t>
      </w:r>
      <w:bookmarkEnd w:id="38"/>
    </w:p>
    <w:tbl>
      <w:tblPr>
        <w:tblStyle w:val="TableGrid"/>
        <w:tblW w:w="9544" w:type="dxa"/>
        <w:tblLook w:val="04A0"/>
      </w:tblPr>
      <w:tblGrid>
        <w:gridCol w:w="5958"/>
        <w:gridCol w:w="1170"/>
        <w:gridCol w:w="1156"/>
        <w:gridCol w:w="1260"/>
      </w:tblGrid>
      <w:tr w:rsidR="005A1E23" w:rsidTr="00A0339C">
        <w:tc>
          <w:tcPr>
            <w:tcW w:w="5958" w:type="dxa"/>
            <w:shd w:val="clear" w:color="auto" w:fill="002060"/>
          </w:tcPr>
          <w:p w:rsidR="005A1E23" w:rsidRDefault="005A1E23" w:rsidP="00C43BF7">
            <w:pPr>
              <w:rPr>
                <w:sz w:val="22"/>
                <w:szCs w:val="22"/>
              </w:rPr>
            </w:pPr>
            <w:r>
              <w:rPr>
                <w:sz w:val="22"/>
                <w:szCs w:val="22"/>
              </w:rPr>
              <w:t>Parameters</w:t>
            </w:r>
          </w:p>
        </w:tc>
        <w:tc>
          <w:tcPr>
            <w:tcW w:w="1170" w:type="dxa"/>
            <w:shd w:val="clear" w:color="auto" w:fill="002060"/>
          </w:tcPr>
          <w:p w:rsidR="005A1E23" w:rsidRDefault="005A1E23" w:rsidP="00C43BF7">
            <w:pPr>
              <w:rPr>
                <w:sz w:val="22"/>
                <w:szCs w:val="22"/>
              </w:rPr>
            </w:pPr>
            <w:r>
              <w:rPr>
                <w:sz w:val="22"/>
                <w:szCs w:val="22"/>
              </w:rPr>
              <w:t>2012-13</w:t>
            </w:r>
          </w:p>
        </w:tc>
        <w:tc>
          <w:tcPr>
            <w:tcW w:w="1156" w:type="dxa"/>
            <w:shd w:val="clear" w:color="auto" w:fill="002060"/>
          </w:tcPr>
          <w:p w:rsidR="005A1E23" w:rsidRDefault="005A1E23" w:rsidP="00C43BF7">
            <w:pPr>
              <w:rPr>
                <w:sz w:val="22"/>
                <w:szCs w:val="22"/>
              </w:rPr>
            </w:pPr>
            <w:r>
              <w:rPr>
                <w:sz w:val="22"/>
                <w:szCs w:val="22"/>
              </w:rPr>
              <w:t>2013-14</w:t>
            </w:r>
          </w:p>
        </w:tc>
        <w:tc>
          <w:tcPr>
            <w:tcW w:w="1260" w:type="dxa"/>
            <w:shd w:val="clear" w:color="auto" w:fill="002060"/>
          </w:tcPr>
          <w:p w:rsidR="005A1E23" w:rsidRDefault="005A1E23" w:rsidP="00C43BF7">
            <w:pPr>
              <w:rPr>
                <w:sz w:val="22"/>
                <w:szCs w:val="22"/>
              </w:rPr>
            </w:pPr>
            <w:r>
              <w:rPr>
                <w:sz w:val="22"/>
                <w:szCs w:val="22"/>
              </w:rPr>
              <w:t>2014-15</w:t>
            </w:r>
          </w:p>
        </w:tc>
      </w:tr>
      <w:tr w:rsidR="005A1E23" w:rsidTr="005A1E23">
        <w:tc>
          <w:tcPr>
            <w:tcW w:w="5958" w:type="dxa"/>
          </w:tcPr>
          <w:p w:rsidR="005A1E23" w:rsidRDefault="005A1E23" w:rsidP="00C43BF7">
            <w:pPr>
              <w:rPr>
                <w:sz w:val="22"/>
                <w:szCs w:val="22"/>
              </w:rPr>
            </w:pPr>
            <w:r>
              <w:rPr>
                <w:sz w:val="22"/>
                <w:szCs w:val="22"/>
              </w:rPr>
              <w:t>Secondary Fuel Oil (LDO) Consumption (ml/kWh)</w:t>
            </w:r>
          </w:p>
        </w:tc>
        <w:tc>
          <w:tcPr>
            <w:tcW w:w="1170" w:type="dxa"/>
          </w:tcPr>
          <w:p w:rsidR="005A1E23" w:rsidRPr="00F26346" w:rsidRDefault="005A1E23" w:rsidP="00C43BF7">
            <w:pPr>
              <w:rPr>
                <w:sz w:val="22"/>
                <w:szCs w:val="22"/>
              </w:rPr>
            </w:pPr>
            <w:r w:rsidRPr="00F26346">
              <w:rPr>
                <w:sz w:val="22"/>
                <w:szCs w:val="22"/>
              </w:rPr>
              <w:t>1.50</w:t>
            </w:r>
          </w:p>
        </w:tc>
        <w:tc>
          <w:tcPr>
            <w:tcW w:w="1156" w:type="dxa"/>
          </w:tcPr>
          <w:p w:rsidR="005A1E23" w:rsidRPr="00F26346" w:rsidRDefault="005A1E23" w:rsidP="00C43BF7">
            <w:pPr>
              <w:rPr>
                <w:sz w:val="22"/>
                <w:szCs w:val="22"/>
              </w:rPr>
            </w:pPr>
            <w:r w:rsidRPr="00F26346">
              <w:rPr>
                <w:sz w:val="22"/>
                <w:szCs w:val="22"/>
              </w:rPr>
              <w:t>1.50</w:t>
            </w:r>
          </w:p>
        </w:tc>
        <w:tc>
          <w:tcPr>
            <w:tcW w:w="1260" w:type="dxa"/>
          </w:tcPr>
          <w:p w:rsidR="005A1E23" w:rsidRPr="00F26346" w:rsidRDefault="005A1E23" w:rsidP="00C43BF7">
            <w:pPr>
              <w:rPr>
                <w:sz w:val="22"/>
                <w:szCs w:val="22"/>
              </w:rPr>
            </w:pPr>
            <w:r w:rsidRPr="00F26346">
              <w:rPr>
                <w:sz w:val="22"/>
                <w:szCs w:val="22"/>
              </w:rPr>
              <w:t>1.50</w:t>
            </w:r>
          </w:p>
        </w:tc>
      </w:tr>
      <w:tr w:rsidR="005A1E23" w:rsidTr="005A1E23">
        <w:tc>
          <w:tcPr>
            <w:tcW w:w="5958" w:type="dxa"/>
          </w:tcPr>
          <w:p w:rsidR="005A1E23" w:rsidRDefault="005A1E23" w:rsidP="005A1E23">
            <w:pPr>
              <w:rPr>
                <w:sz w:val="22"/>
                <w:szCs w:val="22"/>
              </w:rPr>
            </w:pPr>
            <w:r>
              <w:rPr>
                <w:sz w:val="22"/>
                <w:szCs w:val="22"/>
              </w:rPr>
              <w:t>Secondary Fuel Oil (LSHS) Consumption (gm/kWh)</w:t>
            </w:r>
          </w:p>
        </w:tc>
        <w:tc>
          <w:tcPr>
            <w:tcW w:w="1170" w:type="dxa"/>
          </w:tcPr>
          <w:p w:rsidR="005A1E23" w:rsidRPr="00F26346" w:rsidRDefault="005A1E23" w:rsidP="00C43BF7">
            <w:pPr>
              <w:rPr>
                <w:sz w:val="22"/>
                <w:szCs w:val="22"/>
              </w:rPr>
            </w:pPr>
            <w:r w:rsidRPr="00F26346">
              <w:rPr>
                <w:sz w:val="22"/>
                <w:szCs w:val="22"/>
              </w:rPr>
              <w:t>3.75</w:t>
            </w:r>
          </w:p>
        </w:tc>
        <w:tc>
          <w:tcPr>
            <w:tcW w:w="1156" w:type="dxa"/>
          </w:tcPr>
          <w:p w:rsidR="005A1E23" w:rsidRPr="00F26346" w:rsidRDefault="005A1E23" w:rsidP="00C43BF7">
            <w:pPr>
              <w:rPr>
                <w:sz w:val="22"/>
                <w:szCs w:val="22"/>
              </w:rPr>
            </w:pPr>
            <w:r w:rsidRPr="00F26346">
              <w:rPr>
                <w:sz w:val="22"/>
                <w:szCs w:val="22"/>
              </w:rPr>
              <w:t>3.75</w:t>
            </w:r>
          </w:p>
        </w:tc>
        <w:tc>
          <w:tcPr>
            <w:tcW w:w="1260" w:type="dxa"/>
          </w:tcPr>
          <w:p w:rsidR="005A1E23" w:rsidRPr="00F26346" w:rsidRDefault="005A1E23" w:rsidP="00C43BF7">
            <w:pPr>
              <w:rPr>
                <w:sz w:val="22"/>
                <w:szCs w:val="22"/>
              </w:rPr>
            </w:pPr>
            <w:r w:rsidRPr="00F26346">
              <w:rPr>
                <w:sz w:val="22"/>
                <w:szCs w:val="22"/>
              </w:rPr>
              <w:t>3.75</w:t>
            </w:r>
          </w:p>
        </w:tc>
      </w:tr>
    </w:tbl>
    <w:p w:rsidR="004D5ADC" w:rsidRDefault="004D5ADC" w:rsidP="00C43BF7">
      <w:pPr>
        <w:rPr>
          <w:sz w:val="22"/>
          <w:szCs w:val="22"/>
        </w:rPr>
      </w:pPr>
    </w:p>
    <w:p w:rsidR="00D5074F" w:rsidRDefault="00824B08" w:rsidP="00C43BF7">
      <w:pPr>
        <w:rPr>
          <w:sz w:val="22"/>
          <w:szCs w:val="22"/>
        </w:rPr>
      </w:pPr>
      <w:r>
        <w:rPr>
          <w:sz w:val="22"/>
          <w:szCs w:val="22"/>
        </w:rPr>
        <w:t xml:space="preserve"> </w:t>
      </w:r>
      <w:r w:rsidR="00951464">
        <w:rPr>
          <w:sz w:val="22"/>
          <w:szCs w:val="22"/>
        </w:rPr>
        <w:t xml:space="preserve"> The cost of the secondary fuel has been </w:t>
      </w:r>
      <w:r w:rsidR="007754A5">
        <w:rPr>
          <w:sz w:val="22"/>
          <w:szCs w:val="22"/>
        </w:rPr>
        <w:t>considered as part of</w:t>
      </w:r>
      <w:r w:rsidR="00951464">
        <w:rPr>
          <w:sz w:val="22"/>
          <w:szCs w:val="22"/>
        </w:rPr>
        <w:t xml:space="preserve"> fixed cost as per the Regulations</w:t>
      </w:r>
      <w:r w:rsidR="003E6BC1">
        <w:rPr>
          <w:sz w:val="22"/>
          <w:szCs w:val="22"/>
        </w:rPr>
        <w:t>, 2011</w:t>
      </w:r>
      <w:r w:rsidR="00BC06DB">
        <w:rPr>
          <w:sz w:val="22"/>
          <w:szCs w:val="22"/>
        </w:rPr>
        <w:t xml:space="preserve"> from FY 2012-13 to FY 2014-15</w:t>
      </w:r>
      <w:r w:rsidR="00951464">
        <w:rPr>
          <w:sz w:val="22"/>
          <w:szCs w:val="22"/>
        </w:rPr>
        <w:t>.</w:t>
      </w:r>
      <w:r w:rsidR="00091DA3">
        <w:rPr>
          <w:sz w:val="22"/>
          <w:szCs w:val="22"/>
        </w:rPr>
        <w:t xml:space="preserve"> </w:t>
      </w:r>
      <w:r w:rsidR="00F01C85">
        <w:rPr>
          <w:sz w:val="22"/>
          <w:szCs w:val="22"/>
        </w:rPr>
        <w:t>However, from November, 2011 petitioner is using on</w:t>
      </w:r>
      <w:r w:rsidR="006514CC">
        <w:rPr>
          <w:sz w:val="22"/>
          <w:szCs w:val="22"/>
        </w:rPr>
        <w:t xml:space="preserve">ly HSD in place of LDO and LSHS.  </w:t>
      </w:r>
      <w:r w:rsidR="00706F27">
        <w:rPr>
          <w:sz w:val="22"/>
          <w:szCs w:val="22"/>
        </w:rPr>
        <w:t>The year wise consumption of the same during previous years of current MYT period is furnished as under :</w:t>
      </w:r>
    </w:p>
    <w:p w:rsidR="00FC5D52" w:rsidRPr="00F26346" w:rsidRDefault="00FC5D52" w:rsidP="00FC5D52">
      <w:pPr>
        <w:pStyle w:val="Caption"/>
        <w:keepNext/>
        <w:jc w:val="center"/>
      </w:pPr>
      <w:bookmarkStart w:id="39" w:name="_Toc411603992"/>
      <w:r w:rsidRPr="00F26346">
        <w:t xml:space="preserve">Table </w:t>
      </w:r>
      <w:fldSimple w:instr=" SEQ Table \* ARABIC ">
        <w:r w:rsidR="002326CE">
          <w:rPr>
            <w:noProof/>
          </w:rPr>
          <w:t>15</w:t>
        </w:r>
      </w:fldSimple>
      <w:r w:rsidRPr="00F26346">
        <w:t xml:space="preserve"> : Actual  Secondary Fuel consumption for RPH</w:t>
      </w:r>
      <w:bookmarkEnd w:id="39"/>
    </w:p>
    <w:tbl>
      <w:tblPr>
        <w:tblStyle w:val="TableGrid"/>
        <w:tblW w:w="9544" w:type="dxa"/>
        <w:tblLook w:val="04A0"/>
      </w:tblPr>
      <w:tblGrid>
        <w:gridCol w:w="5958"/>
        <w:gridCol w:w="1170"/>
        <w:gridCol w:w="1156"/>
        <w:gridCol w:w="1260"/>
      </w:tblGrid>
      <w:tr w:rsidR="00015A50" w:rsidTr="007C610F">
        <w:tc>
          <w:tcPr>
            <w:tcW w:w="5958" w:type="dxa"/>
            <w:shd w:val="clear" w:color="auto" w:fill="7030A0"/>
          </w:tcPr>
          <w:p w:rsidR="00015A50" w:rsidRPr="00A0339C" w:rsidRDefault="00015A50" w:rsidP="00527F23">
            <w:pPr>
              <w:rPr>
                <w:color w:val="FFFFFF" w:themeColor="background1"/>
                <w:sz w:val="22"/>
                <w:szCs w:val="22"/>
              </w:rPr>
            </w:pPr>
            <w:r w:rsidRPr="00A0339C">
              <w:rPr>
                <w:color w:val="FFFFFF" w:themeColor="background1"/>
                <w:sz w:val="22"/>
                <w:szCs w:val="22"/>
              </w:rPr>
              <w:t>Parameters</w:t>
            </w:r>
          </w:p>
        </w:tc>
        <w:tc>
          <w:tcPr>
            <w:tcW w:w="1170" w:type="dxa"/>
            <w:shd w:val="clear" w:color="auto" w:fill="7030A0"/>
          </w:tcPr>
          <w:p w:rsidR="00015A50" w:rsidRPr="00A0339C" w:rsidRDefault="00015A50" w:rsidP="00527F23">
            <w:pPr>
              <w:rPr>
                <w:color w:val="FFFFFF" w:themeColor="background1"/>
                <w:sz w:val="22"/>
                <w:szCs w:val="22"/>
              </w:rPr>
            </w:pPr>
            <w:r w:rsidRPr="00A0339C">
              <w:rPr>
                <w:color w:val="FFFFFF" w:themeColor="background1"/>
                <w:sz w:val="22"/>
                <w:szCs w:val="22"/>
              </w:rPr>
              <w:t>2012-13</w:t>
            </w:r>
          </w:p>
        </w:tc>
        <w:tc>
          <w:tcPr>
            <w:tcW w:w="1156" w:type="dxa"/>
            <w:shd w:val="clear" w:color="auto" w:fill="7030A0"/>
          </w:tcPr>
          <w:p w:rsidR="00015A50" w:rsidRPr="00A0339C" w:rsidRDefault="00015A50" w:rsidP="00527F23">
            <w:pPr>
              <w:rPr>
                <w:color w:val="FFFFFF" w:themeColor="background1"/>
                <w:sz w:val="22"/>
                <w:szCs w:val="22"/>
              </w:rPr>
            </w:pPr>
            <w:r w:rsidRPr="00A0339C">
              <w:rPr>
                <w:color w:val="FFFFFF" w:themeColor="background1"/>
                <w:sz w:val="22"/>
                <w:szCs w:val="22"/>
              </w:rPr>
              <w:t>2013-14</w:t>
            </w:r>
          </w:p>
        </w:tc>
        <w:tc>
          <w:tcPr>
            <w:tcW w:w="1260" w:type="dxa"/>
            <w:shd w:val="clear" w:color="auto" w:fill="7030A0"/>
          </w:tcPr>
          <w:p w:rsidR="00015A50" w:rsidRPr="00A0339C" w:rsidRDefault="00015A50" w:rsidP="00527F23">
            <w:pPr>
              <w:rPr>
                <w:color w:val="FFFFFF" w:themeColor="background1"/>
                <w:sz w:val="22"/>
                <w:szCs w:val="22"/>
              </w:rPr>
            </w:pPr>
            <w:r w:rsidRPr="00A0339C">
              <w:rPr>
                <w:color w:val="FFFFFF" w:themeColor="background1"/>
                <w:sz w:val="22"/>
                <w:szCs w:val="22"/>
              </w:rPr>
              <w:t>2014-15</w:t>
            </w:r>
          </w:p>
        </w:tc>
      </w:tr>
      <w:tr w:rsidR="00015A50" w:rsidTr="00527F23">
        <w:tc>
          <w:tcPr>
            <w:tcW w:w="5958" w:type="dxa"/>
          </w:tcPr>
          <w:p w:rsidR="00015A50" w:rsidRDefault="00015A50" w:rsidP="00FD35A1">
            <w:pPr>
              <w:rPr>
                <w:sz w:val="22"/>
                <w:szCs w:val="22"/>
              </w:rPr>
            </w:pPr>
            <w:r>
              <w:rPr>
                <w:sz w:val="22"/>
                <w:szCs w:val="22"/>
              </w:rPr>
              <w:t>Secondary Fuel Oil (</w:t>
            </w:r>
            <w:r w:rsidR="00FD35A1">
              <w:rPr>
                <w:sz w:val="22"/>
                <w:szCs w:val="22"/>
              </w:rPr>
              <w:t>HSD</w:t>
            </w:r>
            <w:r>
              <w:rPr>
                <w:sz w:val="22"/>
                <w:szCs w:val="22"/>
              </w:rPr>
              <w:t>) Consumption (ml/kWh)</w:t>
            </w:r>
          </w:p>
        </w:tc>
        <w:tc>
          <w:tcPr>
            <w:tcW w:w="1170" w:type="dxa"/>
          </w:tcPr>
          <w:p w:rsidR="00015A50" w:rsidRPr="00F26346" w:rsidRDefault="003913C5" w:rsidP="00527F23">
            <w:pPr>
              <w:rPr>
                <w:sz w:val="22"/>
                <w:szCs w:val="22"/>
              </w:rPr>
            </w:pPr>
            <w:r w:rsidRPr="00F26346">
              <w:rPr>
                <w:sz w:val="22"/>
                <w:szCs w:val="22"/>
              </w:rPr>
              <w:t>3.74</w:t>
            </w:r>
          </w:p>
        </w:tc>
        <w:tc>
          <w:tcPr>
            <w:tcW w:w="1156" w:type="dxa"/>
          </w:tcPr>
          <w:p w:rsidR="00015A50" w:rsidRPr="00F26346" w:rsidRDefault="00D25DF7" w:rsidP="00B703B5">
            <w:pPr>
              <w:rPr>
                <w:sz w:val="22"/>
                <w:szCs w:val="22"/>
              </w:rPr>
            </w:pPr>
            <w:r w:rsidRPr="00F26346">
              <w:rPr>
                <w:sz w:val="22"/>
                <w:szCs w:val="22"/>
              </w:rPr>
              <w:t>5.</w:t>
            </w:r>
            <w:r w:rsidR="00B703B5" w:rsidRPr="00F26346">
              <w:rPr>
                <w:sz w:val="22"/>
                <w:szCs w:val="22"/>
              </w:rPr>
              <w:t xml:space="preserve"> </w:t>
            </w:r>
            <w:r w:rsidRPr="00F26346">
              <w:rPr>
                <w:sz w:val="22"/>
                <w:szCs w:val="22"/>
              </w:rPr>
              <w:t>9</w:t>
            </w:r>
            <w:r w:rsidR="00B703B5" w:rsidRPr="00F26346">
              <w:rPr>
                <w:sz w:val="22"/>
                <w:szCs w:val="22"/>
              </w:rPr>
              <w:t>3</w:t>
            </w:r>
          </w:p>
        </w:tc>
        <w:tc>
          <w:tcPr>
            <w:tcW w:w="1260" w:type="dxa"/>
          </w:tcPr>
          <w:p w:rsidR="00015A50" w:rsidRPr="00F26346" w:rsidRDefault="003913C5" w:rsidP="00527F23">
            <w:pPr>
              <w:rPr>
                <w:sz w:val="22"/>
                <w:szCs w:val="22"/>
              </w:rPr>
            </w:pPr>
            <w:r w:rsidRPr="00F26346">
              <w:rPr>
                <w:sz w:val="22"/>
                <w:szCs w:val="22"/>
              </w:rPr>
              <w:t>3.23</w:t>
            </w:r>
          </w:p>
        </w:tc>
      </w:tr>
    </w:tbl>
    <w:p w:rsidR="00523B86" w:rsidRDefault="00523B86" w:rsidP="00E801F4"/>
    <w:p w:rsidR="00E801F4" w:rsidRPr="00E801F4" w:rsidRDefault="00E801F4" w:rsidP="00E801F4">
      <w:r>
        <w:tab/>
        <w:t>Hon’ble Commission is therefore</w:t>
      </w:r>
      <w:r w:rsidR="00C40CC5">
        <w:t xml:space="preserve"> requested to allow</w:t>
      </w:r>
      <w:r>
        <w:t xml:space="preserve"> recovery of HSD charges as secondary fuel as part of fixed charges as per </w:t>
      </w:r>
      <w:r w:rsidR="005E3F84">
        <w:t>Clause 7.1 (1) of MYT Regulat</w:t>
      </w:r>
      <w:r w:rsidR="003913C5">
        <w:t xml:space="preserve">ion, 2011. </w:t>
      </w:r>
      <w:r w:rsidR="005F19F3">
        <w:t>The equivalent normative HSD calculated on weighted average heat content of per unit LDO, LSHS and HSD is 5.876 ml/kWh.  The details of the GCV taken for individual fuel and equivalent HSD is tabulated in Table No. 16 as under :</w:t>
      </w:r>
    </w:p>
    <w:p w:rsidR="007C049F" w:rsidRDefault="00FC5D52" w:rsidP="00B745B5">
      <w:pPr>
        <w:pStyle w:val="Caption"/>
        <w:keepNext/>
        <w:jc w:val="center"/>
        <w:rPr>
          <w:sz w:val="34"/>
          <w:szCs w:val="22"/>
        </w:rPr>
      </w:pPr>
      <w:bookmarkStart w:id="40" w:name="_Toc411603993"/>
      <w:r>
        <w:lastRenderedPageBreak/>
        <w:t xml:space="preserve">Table </w:t>
      </w:r>
      <w:fldSimple w:instr=" SEQ Table \* ARABIC ">
        <w:r w:rsidR="002326CE">
          <w:rPr>
            <w:noProof/>
          </w:rPr>
          <w:t>16</w:t>
        </w:r>
      </w:fldSimple>
      <w:r>
        <w:t xml:space="preserve"> : Equivalent HSD in lieu of LDO and LSHS</w:t>
      </w:r>
      <w:bookmarkEnd w:id="40"/>
    </w:p>
    <w:tbl>
      <w:tblPr>
        <w:tblW w:w="887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9"/>
        <w:gridCol w:w="1673"/>
        <w:gridCol w:w="849"/>
        <w:gridCol w:w="1895"/>
        <w:gridCol w:w="1856"/>
        <w:gridCol w:w="1788"/>
      </w:tblGrid>
      <w:tr w:rsidR="00A0339C" w:rsidRPr="00E7567C" w:rsidTr="007C610F">
        <w:trPr>
          <w:trHeight w:val="1198"/>
        </w:trPr>
        <w:tc>
          <w:tcPr>
            <w:tcW w:w="809" w:type="dxa"/>
            <w:shd w:val="clear" w:color="auto" w:fill="7030A0"/>
            <w:hideMark/>
          </w:tcPr>
          <w:p w:rsidR="00E7567C" w:rsidRPr="00E7567C" w:rsidRDefault="00E7567C" w:rsidP="00774B30">
            <w:pPr>
              <w:spacing w:line="240" w:lineRule="auto"/>
              <w:jc w:val="center"/>
              <w:rPr>
                <w:rFonts w:ascii="Calibri" w:hAnsi="Calibri" w:cs="Times New Roman"/>
                <w:color w:val="FFFFFF" w:themeColor="background1"/>
                <w:sz w:val="22"/>
                <w:szCs w:val="22"/>
              </w:rPr>
            </w:pPr>
            <w:r w:rsidRPr="00E7567C">
              <w:rPr>
                <w:rFonts w:ascii="Calibri" w:hAnsi="Calibri" w:cs="Times New Roman"/>
                <w:color w:val="FFFFFF" w:themeColor="background1"/>
                <w:sz w:val="22"/>
                <w:szCs w:val="22"/>
              </w:rPr>
              <w:t>Sr. No</w:t>
            </w:r>
          </w:p>
        </w:tc>
        <w:tc>
          <w:tcPr>
            <w:tcW w:w="1673" w:type="dxa"/>
            <w:shd w:val="clear" w:color="auto" w:fill="7030A0"/>
            <w:hideMark/>
          </w:tcPr>
          <w:p w:rsidR="00E7567C" w:rsidRPr="00E7567C" w:rsidRDefault="00E7567C" w:rsidP="00774B30">
            <w:pPr>
              <w:spacing w:line="240" w:lineRule="auto"/>
              <w:jc w:val="center"/>
              <w:rPr>
                <w:rFonts w:ascii="Calibri" w:hAnsi="Calibri" w:cs="Times New Roman"/>
                <w:color w:val="FFFFFF" w:themeColor="background1"/>
                <w:sz w:val="22"/>
                <w:szCs w:val="22"/>
              </w:rPr>
            </w:pPr>
            <w:r w:rsidRPr="00E7567C">
              <w:rPr>
                <w:rFonts w:ascii="Calibri" w:hAnsi="Calibri" w:cs="Times New Roman"/>
                <w:color w:val="FFFFFF" w:themeColor="background1"/>
                <w:sz w:val="22"/>
                <w:szCs w:val="22"/>
              </w:rPr>
              <w:t>Secondary fuel used in RPH</w:t>
            </w:r>
          </w:p>
        </w:tc>
        <w:tc>
          <w:tcPr>
            <w:tcW w:w="849" w:type="dxa"/>
            <w:shd w:val="clear" w:color="auto" w:fill="7030A0"/>
            <w:hideMark/>
          </w:tcPr>
          <w:p w:rsidR="00E7567C" w:rsidRPr="00E7567C" w:rsidRDefault="00E7567C" w:rsidP="00774B30">
            <w:pPr>
              <w:spacing w:line="240" w:lineRule="auto"/>
              <w:jc w:val="center"/>
              <w:rPr>
                <w:rFonts w:ascii="Calibri" w:hAnsi="Calibri" w:cs="Times New Roman"/>
                <w:color w:val="FFFFFF" w:themeColor="background1"/>
                <w:sz w:val="22"/>
                <w:szCs w:val="22"/>
              </w:rPr>
            </w:pPr>
            <w:r w:rsidRPr="00E7567C">
              <w:rPr>
                <w:rFonts w:ascii="Calibri" w:hAnsi="Calibri" w:cs="Times New Roman"/>
                <w:color w:val="FFFFFF" w:themeColor="background1"/>
                <w:sz w:val="22"/>
                <w:szCs w:val="22"/>
              </w:rPr>
              <w:t>Unit</w:t>
            </w:r>
          </w:p>
        </w:tc>
        <w:tc>
          <w:tcPr>
            <w:tcW w:w="1895" w:type="dxa"/>
            <w:shd w:val="clear" w:color="auto" w:fill="7030A0"/>
            <w:hideMark/>
          </w:tcPr>
          <w:p w:rsidR="00E7567C" w:rsidRPr="00E7567C" w:rsidRDefault="00E7567C" w:rsidP="00774B30">
            <w:pPr>
              <w:spacing w:line="240" w:lineRule="auto"/>
              <w:jc w:val="center"/>
              <w:rPr>
                <w:rFonts w:ascii="Calibri" w:hAnsi="Calibri" w:cs="Times New Roman"/>
                <w:color w:val="FFFFFF" w:themeColor="background1"/>
                <w:sz w:val="22"/>
                <w:szCs w:val="22"/>
              </w:rPr>
            </w:pPr>
            <w:r w:rsidRPr="00E7567C">
              <w:rPr>
                <w:rFonts w:ascii="Calibri" w:hAnsi="Calibri" w:cs="Times New Roman"/>
                <w:color w:val="FFFFFF" w:themeColor="background1"/>
                <w:sz w:val="22"/>
                <w:szCs w:val="22"/>
              </w:rPr>
              <w:t>GCV of Secondary fuel</w:t>
            </w:r>
            <w:r w:rsidR="00DE38FF" w:rsidRPr="00A0339C">
              <w:rPr>
                <w:rFonts w:ascii="Calibri" w:hAnsi="Calibri" w:cs="Times New Roman"/>
                <w:color w:val="FFFFFF" w:themeColor="background1"/>
                <w:sz w:val="22"/>
                <w:szCs w:val="22"/>
              </w:rPr>
              <w:t xml:space="preserve"> (Kcal/ltr,gm)</w:t>
            </w:r>
          </w:p>
        </w:tc>
        <w:tc>
          <w:tcPr>
            <w:tcW w:w="1856" w:type="dxa"/>
            <w:shd w:val="clear" w:color="auto" w:fill="7030A0"/>
            <w:hideMark/>
          </w:tcPr>
          <w:p w:rsidR="00E7567C" w:rsidRPr="00A0339C" w:rsidRDefault="00E7567C" w:rsidP="00774B30">
            <w:pPr>
              <w:spacing w:line="240" w:lineRule="auto"/>
              <w:jc w:val="center"/>
              <w:rPr>
                <w:rFonts w:ascii="Calibri" w:hAnsi="Calibri" w:cs="Times New Roman"/>
                <w:color w:val="FFFFFF" w:themeColor="background1"/>
                <w:sz w:val="22"/>
                <w:szCs w:val="22"/>
              </w:rPr>
            </w:pPr>
            <w:r w:rsidRPr="00E7567C">
              <w:rPr>
                <w:rFonts w:ascii="Calibri" w:hAnsi="Calibri" w:cs="Times New Roman"/>
                <w:color w:val="FFFFFF" w:themeColor="background1"/>
                <w:sz w:val="22"/>
                <w:szCs w:val="22"/>
              </w:rPr>
              <w:t xml:space="preserve">Sp. Cons. Allowed by </w:t>
            </w:r>
            <w:r w:rsidR="00DE38FF" w:rsidRPr="00A0339C">
              <w:rPr>
                <w:rFonts w:ascii="Calibri" w:hAnsi="Calibri" w:cs="Times New Roman"/>
                <w:color w:val="FFFFFF" w:themeColor="background1"/>
                <w:sz w:val="22"/>
                <w:szCs w:val="22"/>
              </w:rPr>
              <w:t>Commission</w:t>
            </w:r>
          </w:p>
          <w:p w:rsidR="00DE38FF" w:rsidRPr="00E7567C" w:rsidRDefault="00DE38FF" w:rsidP="00774B30">
            <w:pPr>
              <w:spacing w:line="240" w:lineRule="auto"/>
              <w:jc w:val="center"/>
              <w:rPr>
                <w:rFonts w:ascii="Calibri" w:hAnsi="Calibri" w:cs="Times New Roman"/>
                <w:color w:val="FFFFFF" w:themeColor="background1"/>
                <w:sz w:val="22"/>
                <w:szCs w:val="22"/>
              </w:rPr>
            </w:pPr>
            <w:r w:rsidRPr="00A0339C">
              <w:rPr>
                <w:rFonts w:ascii="Calibri" w:hAnsi="Calibri" w:cs="Times New Roman"/>
                <w:color w:val="FFFFFF" w:themeColor="background1"/>
                <w:sz w:val="22"/>
                <w:szCs w:val="22"/>
              </w:rPr>
              <w:t>(Kcal/kWh)</w:t>
            </w:r>
          </w:p>
        </w:tc>
        <w:tc>
          <w:tcPr>
            <w:tcW w:w="1788" w:type="dxa"/>
            <w:shd w:val="clear" w:color="auto" w:fill="7030A0"/>
            <w:hideMark/>
          </w:tcPr>
          <w:p w:rsidR="00E7567C" w:rsidRPr="00E7567C" w:rsidRDefault="00E7567C" w:rsidP="00774B30">
            <w:pPr>
              <w:spacing w:line="240" w:lineRule="auto"/>
              <w:jc w:val="center"/>
              <w:rPr>
                <w:rFonts w:ascii="Calibri" w:hAnsi="Calibri" w:cs="Times New Roman"/>
                <w:color w:val="FFFFFF" w:themeColor="background1"/>
                <w:sz w:val="22"/>
                <w:szCs w:val="22"/>
              </w:rPr>
            </w:pPr>
            <w:r w:rsidRPr="00E7567C">
              <w:rPr>
                <w:rFonts w:ascii="Calibri" w:hAnsi="Calibri" w:cs="Times New Roman"/>
                <w:color w:val="FFFFFF" w:themeColor="background1"/>
                <w:sz w:val="22"/>
                <w:szCs w:val="22"/>
              </w:rPr>
              <w:t xml:space="preserve">Sp. </w:t>
            </w:r>
            <w:r w:rsidR="000801FC" w:rsidRPr="00A0339C">
              <w:rPr>
                <w:rFonts w:ascii="Calibri" w:hAnsi="Calibri" w:cs="Times New Roman"/>
                <w:color w:val="FFFFFF" w:themeColor="background1"/>
                <w:sz w:val="22"/>
                <w:szCs w:val="22"/>
              </w:rPr>
              <w:t xml:space="preserve">HSD </w:t>
            </w:r>
            <w:r w:rsidRPr="00E7567C">
              <w:rPr>
                <w:rFonts w:ascii="Calibri" w:hAnsi="Calibri" w:cs="Times New Roman"/>
                <w:color w:val="FFFFFF" w:themeColor="background1"/>
                <w:sz w:val="22"/>
                <w:szCs w:val="22"/>
              </w:rPr>
              <w:t xml:space="preserve">Con. Equivalent to LSHS &amp; LDO </w:t>
            </w:r>
            <w:r w:rsidR="000801FC" w:rsidRPr="00A0339C">
              <w:rPr>
                <w:rFonts w:ascii="Calibri" w:hAnsi="Calibri" w:cs="Times New Roman"/>
                <w:color w:val="FFFFFF" w:themeColor="background1"/>
                <w:sz w:val="22"/>
                <w:szCs w:val="22"/>
              </w:rPr>
              <w:t>(ml/kWh)</w:t>
            </w:r>
          </w:p>
        </w:tc>
      </w:tr>
      <w:tr w:rsidR="00E7567C" w:rsidRPr="00E7567C" w:rsidTr="00B745B5">
        <w:trPr>
          <w:trHeight w:val="345"/>
        </w:trPr>
        <w:tc>
          <w:tcPr>
            <w:tcW w:w="809" w:type="dxa"/>
            <w:shd w:val="clear" w:color="auto" w:fill="auto"/>
            <w:vAlign w:val="center"/>
            <w:hideMark/>
          </w:tcPr>
          <w:p w:rsidR="00E7567C" w:rsidRPr="00E7567C" w:rsidRDefault="00E7567C" w:rsidP="00B745B5">
            <w:pPr>
              <w:spacing w:line="240" w:lineRule="auto"/>
              <w:jc w:val="center"/>
              <w:rPr>
                <w:rFonts w:ascii="Calibri" w:hAnsi="Calibri" w:cs="Times New Roman"/>
                <w:color w:val="000000"/>
                <w:sz w:val="22"/>
                <w:szCs w:val="22"/>
              </w:rPr>
            </w:pPr>
            <w:r w:rsidRPr="00E7567C">
              <w:rPr>
                <w:rFonts w:ascii="Calibri" w:hAnsi="Calibri" w:cs="Times New Roman"/>
                <w:color w:val="000000"/>
                <w:sz w:val="22"/>
                <w:szCs w:val="22"/>
              </w:rPr>
              <w:t>1</w:t>
            </w:r>
          </w:p>
        </w:tc>
        <w:tc>
          <w:tcPr>
            <w:tcW w:w="1673" w:type="dxa"/>
            <w:shd w:val="clear" w:color="auto" w:fill="auto"/>
            <w:vAlign w:val="center"/>
            <w:hideMark/>
          </w:tcPr>
          <w:p w:rsidR="00E7567C" w:rsidRPr="00E7567C" w:rsidRDefault="00E7567C" w:rsidP="00B745B5">
            <w:pPr>
              <w:spacing w:line="240" w:lineRule="auto"/>
              <w:jc w:val="center"/>
              <w:rPr>
                <w:rFonts w:ascii="Calibri" w:hAnsi="Calibri" w:cs="Times New Roman"/>
                <w:color w:val="000000"/>
                <w:sz w:val="22"/>
                <w:szCs w:val="22"/>
              </w:rPr>
            </w:pPr>
            <w:r w:rsidRPr="00E7567C">
              <w:rPr>
                <w:rFonts w:ascii="Calibri" w:hAnsi="Calibri" w:cs="Times New Roman"/>
                <w:color w:val="000000"/>
                <w:sz w:val="22"/>
                <w:szCs w:val="22"/>
              </w:rPr>
              <w:t>LSHS</w:t>
            </w:r>
          </w:p>
        </w:tc>
        <w:tc>
          <w:tcPr>
            <w:tcW w:w="849" w:type="dxa"/>
            <w:shd w:val="clear" w:color="auto" w:fill="auto"/>
            <w:vAlign w:val="center"/>
            <w:hideMark/>
          </w:tcPr>
          <w:p w:rsidR="00E7567C" w:rsidRPr="00E7567C" w:rsidRDefault="00E7567C" w:rsidP="00B745B5">
            <w:pPr>
              <w:spacing w:line="240" w:lineRule="auto"/>
              <w:jc w:val="center"/>
              <w:rPr>
                <w:rFonts w:ascii="Calibri" w:hAnsi="Calibri" w:cs="Times New Roman"/>
                <w:color w:val="000000"/>
                <w:sz w:val="22"/>
                <w:szCs w:val="22"/>
              </w:rPr>
            </w:pPr>
            <w:r w:rsidRPr="00E7567C">
              <w:rPr>
                <w:rFonts w:ascii="Calibri" w:hAnsi="Calibri" w:cs="Times New Roman"/>
                <w:color w:val="000000"/>
                <w:sz w:val="22"/>
                <w:szCs w:val="22"/>
              </w:rPr>
              <w:t>MT</w:t>
            </w:r>
          </w:p>
        </w:tc>
        <w:tc>
          <w:tcPr>
            <w:tcW w:w="1895"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r w:rsidRPr="00F26346">
              <w:rPr>
                <w:rFonts w:ascii="Calibri" w:hAnsi="Calibri" w:cs="Times New Roman"/>
                <w:sz w:val="22"/>
                <w:szCs w:val="22"/>
              </w:rPr>
              <w:t>10360</w:t>
            </w:r>
          </w:p>
        </w:tc>
        <w:tc>
          <w:tcPr>
            <w:tcW w:w="1856"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r w:rsidRPr="00F26346">
              <w:rPr>
                <w:rFonts w:ascii="Calibri" w:hAnsi="Calibri" w:cs="Times New Roman"/>
                <w:sz w:val="22"/>
                <w:szCs w:val="22"/>
              </w:rPr>
              <w:t>3.75</w:t>
            </w:r>
          </w:p>
        </w:tc>
        <w:tc>
          <w:tcPr>
            <w:tcW w:w="1788"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p>
        </w:tc>
      </w:tr>
      <w:tr w:rsidR="00E7567C" w:rsidRPr="00E7567C" w:rsidTr="00B745B5">
        <w:trPr>
          <w:trHeight w:val="345"/>
        </w:trPr>
        <w:tc>
          <w:tcPr>
            <w:tcW w:w="809" w:type="dxa"/>
            <w:shd w:val="clear" w:color="auto" w:fill="auto"/>
            <w:vAlign w:val="center"/>
            <w:hideMark/>
          </w:tcPr>
          <w:p w:rsidR="00E7567C" w:rsidRPr="00E7567C" w:rsidRDefault="00E7567C" w:rsidP="00B745B5">
            <w:pPr>
              <w:spacing w:line="240" w:lineRule="auto"/>
              <w:jc w:val="center"/>
              <w:rPr>
                <w:rFonts w:ascii="Calibri" w:hAnsi="Calibri" w:cs="Times New Roman"/>
                <w:color w:val="000000"/>
                <w:sz w:val="22"/>
                <w:szCs w:val="22"/>
              </w:rPr>
            </w:pPr>
            <w:r w:rsidRPr="00E7567C">
              <w:rPr>
                <w:rFonts w:ascii="Calibri" w:hAnsi="Calibri" w:cs="Times New Roman"/>
                <w:color w:val="000000"/>
                <w:sz w:val="22"/>
                <w:szCs w:val="22"/>
              </w:rPr>
              <w:t>2</w:t>
            </w:r>
          </w:p>
        </w:tc>
        <w:tc>
          <w:tcPr>
            <w:tcW w:w="1673" w:type="dxa"/>
            <w:shd w:val="clear" w:color="auto" w:fill="auto"/>
            <w:vAlign w:val="center"/>
            <w:hideMark/>
          </w:tcPr>
          <w:p w:rsidR="00E7567C" w:rsidRPr="00E7567C" w:rsidRDefault="00E7567C" w:rsidP="00B745B5">
            <w:pPr>
              <w:spacing w:line="240" w:lineRule="auto"/>
              <w:jc w:val="center"/>
              <w:rPr>
                <w:rFonts w:ascii="Calibri" w:hAnsi="Calibri" w:cs="Times New Roman"/>
                <w:color w:val="000000"/>
                <w:sz w:val="22"/>
                <w:szCs w:val="22"/>
              </w:rPr>
            </w:pPr>
            <w:r w:rsidRPr="00E7567C">
              <w:rPr>
                <w:rFonts w:ascii="Calibri" w:hAnsi="Calibri" w:cs="Times New Roman"/>
                <w:color w:val="000000"/>
                <w:sz w:val="22"/>
                <w:szCs w:val="22"/>
              </w:rPr>
              <w:t>LDO</w:t>
            </w:r>
          </w:p>
        </w:tc>
        <w:tc>
          <w:tcPr>
            <w:tcW w:w="849" w:type="dxa"/>
            <w:shd w:val="clear" w:color="auto" w:fill="auto"/>
            <w:vAlign w:val="center"/>
            <w:hideMark/>
          </w:tcPr>
          <w:p w:rsidR="00E7567C" w:rsidRPr="00E7567C" w:rsidRDefault="00DE38FF" w:rsidP="00B745B5">
            <w:pPr>
              <w:spacing w:line="240" w:lineRule="auto"/>
              <w:jc w:val="center"/>
              <w:rPr>
                <w:rFonts w:ascii="Calibri" w:hAnsi="Calibri" w:cs="Times New Roman"/>
                <w:color w:val="000000"/>
                <w:sz w:val="22"/>
                <w:szCs w:val="22"/>
              </w:rPr>
            </w:pPr>
            <w:r>
              <w:rPr>
                <w:rFonts w:ascii="Calibri" w:hAnsi="Calibri" w:cs="Times New Roman"/>
                <w:color w:val="000000"/>
                <w:sz w:val="22"/>
                <w:szCs w:val="22"/>
              </w:rPr>
              <w:t>KL</w:t>
            </w:r>
          </w:p>
        </w:tc>
        <w:tc>
          <w:tcPr>
            <w:tcW w:w="1895"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r w:rsidRPr="00F26346">
              <w:rPr>
                <w:rFonts w:ascii="Calibri" w:hAnsi="Calibri" w:cs="Times New Roman"/>
                <w:sz w:val="22"/>
                <w:szCs w:val="22"/>
              </w:rPr>
              <w:t>9027</w:t>
            </w:r>
          </w:p>
        </w:tc>
        <w:tc>
          <w:tcPr>
            <w:tcW w:w="1856"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r w:rsidRPr="00F26346">
              <w:rPr>
                <w:rFonts w:ascii="Calibri" w:hAnsi="Calibri" w:cs="Times New Roman"/>
                <w:sz w:val="22"/>
                <w:szCs w:val="22"/>
              </w:rPr>
              <w:t>1.5</w:t>
            </w:r>
          </w:p>
        </w:tc>
        <w:tc>
          <w:tcPr>
            <w:tcW w:w="1788"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p>
        </w:tc>
      </w:tr>
      <w:tr w:rsidR="00E7567C" w:rsidRPr="00E7567C" w:rsidTr="00B745B5">
        <w:trPr>
          <w:trHeight w:val="345"/>
        </w:trPr>
        <w:tc>
          <w:tcPr>
            <w:tcW w:w="809" w:type="dxa"/>
            <w:shd w:val="clear" w:color="auto" w:fill="auto"/>
            <w:vAlign w:val="center"/>
            <w:hideMark/>
          </w:tcPr>
          <w:p w:rsidR="00E7567C" w:rsidRPr="00E7567C" w:rsidRDefault="00E7567C" w:rsidP="00B745B5">
            <w:pPr>
              <w:spacing w:line="240" w:lineRule="auto"/>
              <w:jc w:val="center"/>
              <w:rPr>
                <w:rFonts w:ascii="Calibri" w:hAnsi="Calibri" w:cs="Times New Roman"/>
                <w:color w:val="000000"/>
                <w:sz w:val="22"/>
                <w:szCs w:val="22"/>
              </w:rPr>
            </w:pPr>
            <w:r w:rsidRPr="00E7567C">
              <w:rPr>
                <w:rFonts w:ascii="Calibri" w:hAnsi="Calibri" w:cs="Times New Roman"/>
                <w:color w:val="000000"/>
                <w:sz w:val="22"/>
                <w:szCs w:val="22"/>
              </w:rPr>
              <w:t>3</w:t>
            </w:r>
          </w:p>
        </w:tc>
        <w:tc>
          <w:tcPr>
            <w:tcW w:w="1673" w:type="dxa"/>
            <w:shd w:val="clear" w:color="auto" w:fill="auto"/>
            <w:vAlign w:val="center"/>
            <w:hideMark/>
          </w:tcPr>
          <w:p w:rsidR="00E7567C" w:rsidRPr="00E7567C" w:rsidRDefault="00E7567C" w:rsidP="00B745B5">
            <w:pPr>
              <w:spacing w:line="240" w:lineRule="auto"/>
              <w:jc w:val="center"/>
              <w:rPr>
                <w:rFonts w:ascii="Calibri" w:hAnsi="Calibri" w:cs="Times New Roman"/>
                <w:color w:val="000000"/>
                <w:sz w:val="22"/>
                <w:szCs w:val="22"/>
              </w:rPr>
            </w:pPr>
            <w:r w:rsidRPr="00E7567C">
              <w:rPr>
                <w:rFonts w:ascii="Calibri" w:hAnsi="Calibri" w:cs="Times New Roman"/>
                <w:color w:val="000000"/>
                <w:sz w:val="22"/>
                <w:szCs w:val="22"/>
              </w:rPr>
              <w:t>HSD</w:t>
            </w:r>
          </w:p>
        </w:tc>
        <w:tc>
          <w:tcPr>
            <w:tcW w:w="849" w:type="dxa"/>
            <w:shd w:val="clear" w:color="auto" w:fill="auto"/>
            <w:vAlign w:val="center"/>
            <w:hideMark/>
          </w:tcPr>
          <w:p w:rsidR="00E7567C" w:rsidRPr="00E7567C" w:rsidRDefault="00DE38FF" w:rsidP="00B745B5">
            <w:pPr>
              <w:spacing w:line="240" w:lineRule="auto"/>
              <w:jc w:val="center"/>
              <w:rPr>
                <w:rFonts w:ascii="Calibri" w:hAnsi="Calibri" w:cs="Times New Roman"/>
                <w:color w:val="000000"/>
                <w:sz w:val="22"/>
                <w:szCs w:val="22"/>
              </w:rPr>
            </w:pPr>
            <w:r>
              <w:rPr>
                <w:rFonts w:ascii="Calibri" w:hAnsi="Calibri" w:cs="Times New Roman"/>
                <w:color w:val="000000"/>
                <w:sz w:val="22"/>
                <w:szCs w:val="22"/>
              </w:rPr>
              <w:t>KL</w:t>
            </w:r>
          </w:p>
        </w:tc>
        <w:tc>
          <w:tcPr>
            <w:tcW w:w="1895"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r w:rsidRPr="00F26346">
              <w:rPr>
                <w:rFonts w:ascii="Calibri" w:hAnsi="Calibri" w:cs="Times New Roman"/>
                <w:sz w:val="22"/>
                <w:szCs w:val="22"/>
              </w:rPr>
              <w:t>8916</w:t>
            </w:r>
          </w:p>
        </w:tc>
        <w:tc>
          <w:tcPr>
            <w:tcW w:w="1856"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p>
        </w:tc>
        <w:tc>
          <w:tcPr>
            <w:tcW w:w="1788" w:type="dxa"/>
            <w:shd w:val="clear" w:color="auto" w:fill="auto"/>
            <w:vAlign w:val="center"/>
            <w:hideMark/>
          </w:tcPr>
          <w:p w:rsidR="00E7567C" w:rsidRPr="00F26346" w:rsidRDefault="00E7567C" w:rsidP="00B745B5">
            <w:pPr>
              <w:spacing w:line="240" w:lineRule="auto"/>
              <w:jc w:val="center"/>
              <w:rPr>
                <w:rFonts w:ascii="Calibri" w:hAnsi="Calibri" w:cs="Times New Roman"/>
                <w:sz w:val="22"/>
                <w:szCs w:val="22"/>
              </w:rPr>
            </w:pPr>
            <w:r w:rsidRPr="00F26346">
              <w:rPr>
                <w:rFonts w:ascii="Calibri" w:hAnsi="Calibri" w:cs="Times New Roman"/>
                <w:sz w:val="22"/>
                <w:szCs w:val="22"/>
              </w:rPr>
              <w:t>5.876</w:t>
            </w:r>
          </w:p>
        </w:tc>
      </w:tr>
    </w:tbl>
    <w:p w:rsidR="00D57076" w:rsidRDefault="00D57076" w:rsidP="003A23A9">
      <w:pPr>
        <w:spacing w:line="240" w:lineRule="auto"/>
        <w:rPr>
          <w:sz w:val="34"/>
          <w:szCs w:val="22"/>
        </w:rPr>
      </w:pPr>
    </w:p>
    <w:p w:rsidR="00D57076" w:rsidRPr="00774B30" w:rsidRDefault="002F2EFD" w:rsidP="00C43BF7">
      <w:pPr>
        <w:rPr>
          <w:sz w:val="22"/>
          <w:szCs w:val="22"/>
        </w:rPr>
      </w:pPr>
      <w:r>
        <w:rPr>
          <w:sz w:val="34"/>
          <w:szCs w:val="22"/>
        </w:rPr>
        <w:tab/>
      </w:r>
      <w:r w:rsidRPr="00774B30">
        <w:rPr>
          <w:sz w:val="22"/>
          <w:szCs w:val="22"/>
        </w:rPr>
        <w:t>Petitioner therefore request Hon’ble Commission to allow 5.876 ml/kWh of HSD in lieu of 1.5 ml/kWh LDO and 3.7</w:t>
      </w:r>
      <w:r w:rsidR="00191270">
        <w:rPr>
          <w:sz w:val="22"/>
          <w:szCs w:val="22"/>
        </w:rPr>
        <w:t>5</w:t>
      </w:r>
      <w:r w:rsidRPr="00774B30">
        <w:rPr>
          <w:sz w:val="22"/>
          <w:szCs w:val="22"/>
        </w:rPr>
        <w:t xml:space="preserve"> gm/kWh LSHS</w:t>
      </w:r>
      <w:r w:rsidR="00DE38FF" w:rsidRPr="00774B30">
        <w:rPr>
          <w:sz w:val="22"/>
          <w:szCs w:val="22"/>
        </w:rPr>
        <w:t xml:space="preserve">.  </w:t>
      </w:r>
    </w:p>
    <w:p w:rsidR="00C43BF7" w:rsidRPr="009811BB" w:rsidRDefault="00C43BF7" w:rsidP="00C43BF7">
      <w:pPr>
        <w:rPr>
          <w:b/>
          <w:bCs/>
          <w:u w:val="single"/>
        </w:rPr>
      </w:pPr>
      <w:r w:rsidRPr="009811BB">
        <w:rPr>
          <w:b/>
          <w:bCs/>
          <w:u w:val="single"/>
        </w:rPr>
        <w:t>Projected Fuel Cost</w:t>
      </w:r>
    </w:p>
    <w:p w:rsidR="00401DCC" w:rsidRPr="007C049F" w:rsidRDefault="00401DCC" w:rsidP="003A23A9">
      <w:pPr>
        <w:pStyle w:val="Heading6"/>
        <w:numPr>
          <w:ilvl w:val="0"/>
          <w:numId w:val="0"/>
        </w:numPr>
        <w:spacing w:before="0" w:after="0" w:line="240" w:lineRule="auto"/>
        <w:rPr>
          <w:sz w:val="14"/>
        </w:rPr>
      </w:pPr>
    </w:p>
    <w:p w:rsidR="004265B3" w:rsidRDefault="00C43BF7" w:rsidP="00080B6E">
      <w:pPr>
        <w:pStyle w:val="Heading6"/>
        <w:numPr>
          <w:ilvl w:val="0"/>
          <w:numId w:val="0"/>
        </w:numPr>
        <w:spacing w:before="0" w:after="0"/>
      </w:pPr>
      <w:r>
        <w:t xml:space="preserve">Considering the Gross Generation of the plant, SHR of the station, Gross Calorific Value and the Fuel Prices as explained above, total Fuel cost for each of the station </w:t>
      </w:r>
      <w:r w:rsidR="009C566B">
        <w:t xml:space="preserve">works out </w:t>
      </w:r>
      <w:r>
        <w:t xml:space="preserve">as </w:t>
      </w:r>
      <w:r w:rsidR="009C566B">
        <w:t>under</w:t>
      </w:r>
      <w:r>
        <w:t>:</w:t>
      </w:r>
      <w:bookmarkStart w:id="41" w:name="_Toc173941699"/>
    </w:p>
    <w:p w:rsidR="00401DCC" w:rsidRPr="009661F0" w:rsidRDefault="00401DCC" w:rsidP="009661F0">
      <w:pPr>
        <w:spacing w:line="240" w:lineRule="auto"/>
        <w:rPr>
          <w:sz w:val="18"/>
        </w:rPr>
      </w:pPr>
    </w:p>
    <w:p w:rsidR="00385EF8" w:rsidRDefault="00171CC4" w:rsidP="00471B6A">
      <w:pPr>
        <w:pStyle w:val="Caption"/>
        <w:spacing w:before="0" w:after="0" w:line="240" w:lineRule="auto"/>
        <w:jc w:val="both"/>
      </w:pPr>
      <w:bookmarkStart w:id="42" w:name="_Toc411603994"/>
      <w:bookmarkEnd w:id="41"/>
      <w:r>
        <w:t xml:space="preserve">Table </w:t>
      </w:r>
      <w:fldSimple w:instr=" SEQ Table \* ARABIC ">
        <w:r w:rsidR="002326CE">
          <w:rPr>
            <w:noProof/>
          </w:rPr>
          <w:t>17</w:t>
        </w:r>
      </w:fldSimple>
      <w:r>
        <w:t xml:space="preserve"> : </w:t>
      </w:r>
      <w:r w:rsidRPr="00171CC4">
        <w:t>Variable Cost for R</w:t>
      </w:r>
      <w:r w:rsidR="00D351AC">
        <w:t>PH</w:t>
      </w:r>
      <w:bookmarkEnd w:id="42"/>
      <w:r w:rsidR="00D351AC">
        <w:t xml:space="preserve"> </w:t>
      </w:r>
    </w:p>
    <w:p w:rsidR="003A23A9" w:rsidRDefault="00D351AC" w:rsidP="00471B6A">
      <w:pPr>
        <w:pStyle w:val="Caption"/>
        <w:spacing w:before="0" w:after="0" w:line="240" w:lineRule="auto"/>
        <w:ind w:left="720" w:firstLine="540"/>
        <w:jc w:val="both"/>
      </w:pPr>
      <w:r>
        <w:t xml:space="preserve">(for FY </w:t>
      </w:r>
      <w:r w:rsidR="00817F39">
        <w:t>2012-13 to 2014-15 &amp; extended</w:t>
      </w:r>
      <w:r w:rsidR="003A23A9">
        <w:t xml:space="preserve"> </w:t>
      </w:r>
      <w:r w:rsidR="00817F39">
        <w:t>period 2015-16</w:t>
      </w:r>
      <w:r>
        <w:t>)</w:t>
      </w:r>
    </w:p>
    <w:p w:rsidR="00471B6A" w:rsidRPr="00471B6A" w:rsidRDefault="00471B6A" w:rsidP="00471B6A"/>
    <w:tbl>
      <w:tblPr>
        <w:tblW w:w="9270" w:type="dxa"/>
        <w:tblInd w:w="-162" w:type="dxa"/>
        <w:tblLayout w:type="fixed"/>
        <w:tblLook w:val="0000"/>
      </w:tblPr>
      <w:tblGrid>
        <w:gridCol w:w="2880"/>
        <w:gridCol w:w="1501"/>
        <w:gridCol w:w="1403"/>
        <w:gridCol w:w="1683"/>
        <w:gridCol w:w="1803"/>
      </w:tblGrid>
      <w:tr w:rsidR="00B86593" w:rsidRPr="00E6427D" w:rsidTr="00471B6A">
        <w:trPr>
          <w:trHeight w:val="292"/>
        </w:trPr>
        <w:tc>
          <w:tcPr>
            <w:tcW w:w="2880" w:type="dxa"/>
            <w:tcBorders>
              <w:top w:val="single" w:sz="4" w:space="0" w:color="auto"/>
              <w:left w:val="single" w:sz="4" w:space="0" w:color="auto"/>
              <w:bottom w:val="single" w:sz="4" w:space="0" w:color="auto"/>
              <w:right w:val="single" w:sz="4" w:space="0" w:color="auto"/>
            </w:tcBorders>
            <w:shd w:val="clear" w:color="auto" w:fill="003366"/>
            <w:vAlign w:val="center"/>
          </w:tcPr>
          <w:p w:rsidR="00B86593" w:rsidRPr="00E6427D" w:rsidRDefault="00B86593" w:rsidP="00523B86">
            <w:pPr>
              <w:spacing w:line="240" w:lineRule="auto"/>
              <w:jc w:val="left"/>
              <w:rPr>
                <w:b/>
                <w:bCs/>
                <w:color w:val="FFFFFF"/>
                <w:sz w:val="20"/>
                <w:szCs w:val="20"/>
              </w:rPr>
            </w:pPr>
            <w:bookmarkStart w:id="43" w:name="_Toc173941701"/>
            <w:r w:rsidRPr="00E6427D">
              <w:rPr>
                <w:b/>
                <w:bCs/>
                <w:color w:val="FFFFFF"/>
                <w:sz w:val="20"/>
                <w:szCs w:val="20"/>
              </w:rPr>
              <w:t>Description</w:t>
            </w:r>
          </w:p>
        </w:tc>
        <w:tc>
          <w:tcPr>
            <w:tcW w:w="1501" w:type="dxa"/>
            <w:tcBorders>
              <w:top w:val="single" w:sz="4" w:space="0" w:color="auto"/>
              <w:left w:val="nil"/>
              <w:bottom w:val="single" w:sz="4" w:space="0" w:color="auto"/>
              <w:right w:val="single" w:sz="4" w:space="0" w:color="auto"/>
            </w:tcBorders>
            <w:shd w:val="clear" w:color="auto" w:fill="003366"/>
          </w:tcPr>
          <w:p w:rsidR="00B86593" w:rsidRDefault="00B86593" w:rsidP="00523B86">
            <w:pPr>
              <w:spacing w:line="240" w:lineRule="auto"/>
              <w:jc w:val="center"/>
              <w:rPr>
                <w:sz w:val="22"/>
                <w:szCs w:val="22"/>
              </w:rPr>
            </w:pPr>
            <w:r>
              <w:rPr>
                <w:sz w:val="22"/>
                <w:szCs w:val="22"/>
              </w:rPr>
              <w:t>12-13</w:t>
            </w:r>
          </w:p>
        </w:tc>
        <w:tc>
          <w:tcPr>
            <w:tcW w:w="1403" w:type="dxa"/>
            <w:tcBorders>
              <w:top w:val="single" w:sz="4" w:space="0" w:color="auto"/>
              <w:left w:val="nil"/>
              <w:bottom w:val="single" w:sz="4" w:space="0" w:color="auto"/>
              <w:right w:val="single" w:sz="4" w:space="0" w:color="auto"/>
            </w:tcBorders>
            <w:shd w:val="clear" w:color="auto" w:fill="003366"/>
          </w:tcPr>
          <w:p w:rsidR="00B86593" w:rsidRDefault="00B86593" w:rsidP="00523B86">
            <w:pPr>
              <w:spacing w:line="240" w:lineRule="auto"/>
              <w:jc w:val="center"/>
              <w:rPr>
                <w:sz w:val="22"/>
                <w:szCs w:val="22"/>
              </w:rPr>
            </w:pPr>
            <w:r>
              <w:rPr>
                <w:sz w:val="22"/>
                <w:szCs w:val="22"/>
              </w:rPr>
              <w:t>13-14</w:t>
            </w:r>
          </w:p>
        </w:tc>
        <w:tc>
          <w:tcPr>
            <w:tcW w:w="1683" w:type="dxa"/>
            <w:tcBorders>
              <w:top w:val="single" w:sz="4" w:space="0" w:color="auto"/>
              <w:left w:val="nil"/>
              <w:bottom w:val="single" w:sz="4" w:space="0" w:color="auto"/>
              <w:right w:val="single" w:sz="4" w:space="0" w:color="auto"/>
            </w:tcBorders>
            <w:shd w:val="clear" w:color="auto" w:fill="003366"/>
          </w:tcPr>
          <w:p w:rsidR="00385EF8" w:rsidRDefault="00B86593" w:rsidP="00523B86">
            <w:pPr>
              <w:spacing w:line="240" w:lineRule="auto"/>
              <w:jc w:val="center"/>
              <w:rPr>
                <w:sz w:val="22"/>
                <w:szCs w:val="22"/>
              </w:rPr>
            </w:pPr>
            <w:r>
              <w:rPr>
                <w:sz w:val="22"/>
                <w:szCs w:val="22"/>
              </w:rPr>
              <w:t>14-15</w:t>
            </w:r>
          </w:p>
          <w:p w:rsidR="00B86593" w:rsidRDefault="003913C5" w:rsidP="00523B86">
            <w:pPr>
              <w:spacing w:line="240" w:lineRule="auto"/>
              <w:jc w:val="center"/>
              <w:rPr>
                <w:sz w:val="22"/>
                <w:szCs w:val="22"/>
              </w:rPr>
            </w:pPr>
            <w:r>
              <w:rPr>
                <w:sz w:val="22"/>
                <w:szCs w:val="22"/>
              </w:rPr>
              <w:t>(Upto Dec)</w:t>
            </w:r>
          </w:p>
        </w:tc>
        <w:tc>
          <w:tcPr>
            <w:tcW w:w="1803" w:type="dxa"/>
            <w:tcBorders>
              <w:top w:val="single" w:sz="4" w:space="0" w:color="auto"/>
              <w:left w:val="nil"/>
              <w:bottom w:val="single" w:sz="4" w:space="0" w:color="auto"/>
              <w:right w:val="single" w:sz="4" w:space="0" w:color="auto"/>
            </w:tcBorders>
            <w:shd w:val="clear" w:color="auto" w:fill="003366"/>
          </w:tcPr>
          <w:p w:rsidR="00B86593" w:rsidRDefault="00B86593" w:rsidP="00523B86">
            <w:pPr>
              <w:spacing w:line="240" w:lineRule="auto"/>
              <w:jc w:val="center"/>
              <w:rPr>
                <w:sz w:val="22"/>
                <w:szCs w:val="22"/>
              </w:rPr>
            </w:pPr>
            <w:r>
              <w:rPr>
                <w:sz w:val="22"/>
                <w:szCs w:val="22"/>
              </w:rPr>
              <w:t>15-16</w:t>
            </w:r>
            <w:r w:rsidR="00385EF8">
              <w:rPr>
                <w:sz w:val="22"/>
                <w:szCs w:val="22"/>
              </w:rPr>
              <w:t xml:space="preserve"> </w:t>
            </w:r>
            <w:r w:rsidR="006D7748">
              <w:rPr>
                <w:sz w:val="22"/>
                <w:szCs w:val="22"/>
              </w:rPr>
              <w:t>(Estimated)</w:t>
            </w:r>
          </w:p>
        </w:tc>
      </w:tr>
      <w:tr w:rsidR="00B86593" w:rsidRPr="00E6427D" w:rsidTr="00471B6A">
        <w:trPr>
          <w:trHeight w:val="292"/>
        </w:trPr>
        <w:tc>
          <w:tcPr>
            <w:tcW w:w="2880" w:type="dxa"/>
            <w:tcBorders>
              <w:top w:val="nil"/>
              <w:left w:val="single" w:sz="4" w:space="0" w:color="auto"/>
              <w:bottom w:val="single" w:sz="4" w:space="0" w:color="auto"/>
              <w:right w:val="single" w:sz="4" w:space="0" w:color="auto"/>
            </w:tcBorders>
            <w:shd w:val="clear" w:color="auto" w:fill="auto"/>
            <w:vAlign w:val="center"/>
          </w:tcPr>
          <w:p w:rsidR="00B86593" w:rsidRPr="00F26346" w:rsidRDefault="00B86593" w:rsidP="00523B86">
            <w:pPr>
              <w:spacing w:line="240" w:lineRule="auto"/>
              <w:jc w:val="left"/>
              <w:rPr>
                <w:sz w:val="20"/>
                <w:szCs w:val="20"/>
              </w:rPr>
            </w:pPr>
            <w:r w:rsidRPr="00F26346">
              <w:rPr>
                <w:sz w:val="20"/>
                <w:szCs w:val="20"/>
              </w:rPr>
              <w:t>Gross Generation (MU)</w:t>
            </w:r>
          </w:p>
        </w:tc>
        <w:tc>
          <w:tcPr>
            <w:tcW w:w="1501" w:type="dxa"/>
            <w:tcBorders>
              <w:top w:val="nil"/>
              <w:left w:val="nil"/>
              <w:bottom w:val="single" w:sz="4" w:space="0" w:color="auto"/>
              <w:right w:val="single" w:sz="4" w:space="0" w:color="auto"/>
            </w:tcBorders>
            <w:shd w:val="clear" w:color="auto" w:fill="auto"/>
            <w:noWrap/>
            <w:vAlign w:val="center"/>
          </w:tcPr>
          <w:p w:rsidR="00B86593" w:rsidRPr="00185A19" w:rsidRDefault="00660B6B" w:rsidP="00523B86">
            <w:pPr>
              <w:spacing w:line="240" w:lineRule="auto"/>
              <w:jc w:val="center"/>
              <w:rPr>
                <w:sz w:val="20"/>
                <w:szCs w:val="20"/>
              </w:rPr>
            </w:pPr>
            <w:r w:rsidRPr="00185A19">
              <w:rPr>
                <w:sz w:val="20"/>
                <w:szCs w:val="20"/>
              </w:rPr>
              <w:t>792.</w:t>
            </w:r>
            <w:r w:rsidR="006D7748" w:rsidRPr="00185A19">
              <w:rPr>
                <w:sz w:val="20"/>
                <w:szCs w:val="20"/>
              </w:rPr>
              <w:t>799</w:t>
            </w:r>
          </w:p>
        </w:tc>
        <w:tc>
          <w:tcPr>
            <w:tcW w:w="1403" w:type="dxa"/>
            <w:tcBorders>
              <w:top w:val="nil"/>
              <w:left w:val="nil"/>
              <w:bottom w:val="single" w:sz="4" w:space="0" w:color="auto"/>
              <w:right w:val="single" w:sz="4" w:space="0" w:color="auto"/>
            </w:tcBorders>
            <w:shd w:val="clear" w:color="auto" w:fill="auto"/>
            <w:noWrap/>
            <w:vAlign w:val="center"/>
          </w:tcPr>
          <w:p w:rsidR="00B86593" w:rsidRPr="00185A19" w:rsidRDefault="00660B6B" w:rsidP="00523B86">
            <w:pPr>
              <w:spacing w:line="240" w:lineRule="auto"/>
              <w:jc w:val="center"/>
              <w:rPr>
                <w:sz w:val="20"/>
                <w:szCs w:val="20"/>
              </w:rPr>
            </w:pPr>
            <w:r w:rsidRPr="00185A19">
              <w:rPr>
                <w:sz w:val="20"/>
                <w:szCs w:val="20"/>
              </w:rPr>
              <w:t>379.8</w:t>
            </w:r>
            <w:r w:rsidR="006D7748" w:rsidRPr="00185A19">
              <w:rPr>
                <w:sz w:val="20"/>
                <w:szCs w:val="20"/>
              </w:rPr>
              <w:t>83</w:t>
            </w:r>
          </w:p>
        </w:tc>
        <w:tc>
          <w:tcPr>
            <w:tcW w:w="1683" w:type="dxa"/>
            <w:tcBorders>
              <w:top w:val="nil"/>
              <w:left w:val="nil"/>
              <w:bottom w:val="single" w:sz="4" w:space="0" w:color="auto"/>
              <w:right w:val="single" w:sz="4" w:space="0" w:color="auto"/>
            </w:tcBorders>
            <w:shd w:val="clear" w:color="auto" w:fill="auto"/>
            <w:noWrap/>
            <w:vAlign w:val="center"/>
          </w:tcPr>
          <w:p w:rsidR="00B86593" w:rsidRPr="00185A19" w:rsidRDefault="00660B6B" w:rsidP="00523B86">
            <w:pPr>
              <w:spacing w:line="240" w:lineRule="auto"/>
              <w:jc w:val="center"/>
              <w:rPr>
                <w:sz w:val="20"/>
                <w:szCs w:val="20"/>
              </w:rPr>
            </w:pPr>
            <w:r w:rsidRPr="00185A19">
              <w:rPr>
                <w:sz w:val="20"/>
                <w:szCs w:val="20"/>
              </w:rPr>
              <w:t>340.427</w:t>
            </w:r>
          </w:p>
        </w:tc>
        <w:tc>
          <w:tcPr>
            <w:tcW w:w="1803" w:type="dxa"/>
            <w:tcBorders>
              <w:top w:val="nil"/>
              <w:left w:val="nil"/>
              <w:bottom w:val="single" w:sz="4" w:space="0" w:color="auto"/>
              <w:right w:val="single" w:sz="4" w:space="0" w:color="auto"/>
            </w:tcBorders>
            <w:shd w:val="clear" w:color="auto" w:fill="auto"/>
            <w:noWrap/>
            <w:vAlign w:val="center"/>
          </w:tcPr>
          <w:p w:rsidR="00B86593" w:rsidRPr="00185A19" w:rsidRDefault="00660B6B" w:rsidP="00523B86">
            <w:pPr>
              <w:spacing w:line="240" w:lineRule="auto"/>
              <w:jc w:val="center"/>
              <w:rPr>
                <w:sz w:val="20"/>
                <w:szCs w:val="20"/>
              </w:rPr>
            </w:pPr>
            <w:r w:rsidRPr="00185A19">
              <w:rPr>
                <w:sz w:val="20"/>
                <w:szCs w:val="20"/>
              </w:rPr>
              <w:t>889.380</w:t>
            </w:r>
          </w:p>
        </w:tc>
      </w:tr>
      <w:tr w:rsidR="00B86593" w:rsidRPr="00E6427D" w:rsidTr="00471B6A">
        <w:trPr>
          <w:trHeight w:val="292"/>
        </w:trPr>
        <w:tc>
          <w:tcPr>
            <w:tcW w:w="2880" w:type="dxa"/>
            <w:tcBorders>
              <w:top w:val="nil"/>
              <w:left w:val="single" w:sz="4" w:space="0" w:color="auto"/>
              <w:bottom w:val="single" w:sz="4" w:space="0" w:color="auto"/>
              <w:right w:val="single" w:sz="4" w:space="0" w:color="auto"/>
            </w:tcBorders>
            <w:shd w:val="clear" w:color="auto" w:fill="auto"/>
            <w:vAlign w:val="center"/>
          </w:tcPr>
          <w:p w:rsidR="00B86593" w:rsidRPr="00F26346" w:rsidRDefault="00B86593" w:rsidP="00523B86">
            <w:pPr>
              <w:spacing w:line="240" w:lineRule="auto"/>
              <w:jc w:val="left"/>
              <w:rPr>
                <w:sz w:val="20"/>
                <w:szCs w:val="20"/>
              </w:rPr>
            </w:pPr>
            <w:r w:rsidRPr="00F26346">
              <w:rPr>
                <w:sz w:val="20"/>
                <w:szCs w:val="20"/>
              </w:rPr>
              <w:t>Net Generation (MU)</w:t>
            </w:r>
          </w:p>
        </w:tc>
        <w:tc>
          <w:tcPr>
            <w:tcW w:w="1501" w:type="dxa"/>
            <w:tcBorders>
              <w:top w:val="nil"/>
              <w:left w:val="nil"/>
              <w:bottom w:val="single" w:sz="4" w:space="0" w:color="auto"/>
              <w:right w:val="single" w:sz="4" w:space="0" w:color="auto"/>
            </w:tcBorders>
            <w:shd w:val="clear" w:color="auto" w:fill="auto"/>
            <w:noWrap/>
            <w:vAlign w:val="center"/>
          </w:tcPr>
          <w:p w:rsidR="00B86593" w:rsidRPr="00185A19" w:rsidRDefault="00660B6B" w:rsidP="00523B86">
            <w:pPr>
              <w:spacing w:line="240" w:lineRule="auto"/>
              <w:jc w:val="center"/>
              <w:rPr>
                <w:sz w:val="20"/>
                <w:szCs w:val="20"/>
              </w:rPr>
            </w:pPr>
            <w:r w:rsidRPr="00185A19">
              <w:rPr>
                <w:sz w:val="20"/>
                <w:szCs w:val="20"/>
              </w:rPr>
              <w:t>687.5</w:t>
            </w:r>
            <w:r w:rsidR="006D7748" w:rsidRPr="00185A19">
              <w:rPr>
                <w:sz w:val="20"/>
                <w:szCs w:val="20"/>
              </w:rPr>
              <w:t>77</w:t>
            </w:r>
          </w:p>
        </w:tc>
        <w:tc>
          <w:tcPr>
            <w:tcW w:w="1403" w:type="dxa"/>
            <w:tcBorders>
              <w:top w:val="nil"/>
              <w:left w:val="nil"/>
              <w:bottom w:val="single" w:sz="4" w:space="0" w:color="auto"/>
              <w:right w:val="single" w:sz="4" w:space="0" w:color="auto"/>
            </w:tcBorders>
            <w:shd w:val="clear" w:color="auto" w:fill="auto"/>
            <w:noWrap/>
            <w:vAlign w:val="center"/>
          </w:tcPr>
          <w:p w:rsidR="00B86593" w:rsidRPr="00185A19" w:rsidRDefault="00660B6B" w:rsidP="00523B86">
            <w:pPr>
              <w:spacing w:line="240" w:lineRule="auto"/>
              <w:jc w:val="center"/>
              <w:rPr>
                <w:sz w:val="20"/>
                <w:szCs w:val="20"/>
              </w:rPr>
            </w:pPr>
            <w:r w:rsidRPr="00185A19">
              <w:rPr>
                <w:sz w:val="20"/>
                <w:szCs w:val="20"/>
              </w:rPr>
              <w:t>322.</w:t>
            </w:r>
            <w:r w:rsidR="006D7748" w:rsidRPr="00185A19">
              <w:rPr>
                <w:sz w:val="20"/>
                <w:szCs w:val="20"/>
              </w:rPr>
              <w:t>301</w:t>
            </w:r>
          </w:p>
        </w:tc>
        <w:tc>
          <w:tcPr>
            <w:tcW w:w="1683" w:type="dxa"/>
            <w:tcBorders>
              <w:top w:val="nil"/>
              <w:left w:val="nil"/>
              <w:bottom w:val="single" w:sz="4" w:space="0" w:color="auto"/>
              <w:right w:val="single" w:sz="4" w:space="0" w:color="auto"/>
            </w:tcBorders>
            <w:shd w:val="clear" w:color="auto" w:fill="auto"/>
            <w:noWrap/>
            <w:vAlign w:val="center"/>
          </w:tcPr>
          <w:p w:rsidR="00B86593" w:rsidRPr="00185A19" w:rsidRDefault="00660B6B" w:rsidP="00523B86">
            <w:pPr>
              <w:spacing w:line="240" w:lineRule="auto"/>
              <w:jc w:val="center"/>
              <w:rPr>
                <w:sz w:val="20"/>
                <w:szCs w:val="20"/>
              </w:rPr>
            </w:pPr>
            <w:r w:rsidRPr="00185A19">
              <w:rPr>
                <w:sz w:val="20"/>
                <w:szCs w:val="20"/>
              </w:rPr>
              <w:t>289.282</w:t>
            </w:r>
          </w:p>
        </w:tc>
        <w:tc>
          <w:tcPr>
            <w:tcW w:w="1803" w:type="dxa"/>
            <w:tcBorders>
              <w:top w:val="nil"/>
              <w:left w:val="nil"/>
              <w:bottom w:val="single" w:sz="4" w:space="0" w:color="auto"/>
              <w:right w:val="single" w:sz="4" w:space="0" w:color="auto"/>
            </w:tcBorders>
            <w:shd w:val="clear" w:color="auto" w:fill="auto"/>
            <w:noWrap/>
            <w:vAlign w:val="center"/>
          </w:tcPr>
          <w:p w:rsidR="00B86593" w:rsidRPr="00185A19" w:rsidRDefault="006D7748" w:rsidP="00523B86">
            <w:pPr>
              <w:spacing w:line="240" w:lineRule="auto"/>
              <w:jc w:val="center"/>
              <w:rPr>
                <w:sz w:val="20"/>
                <w:szCs w:val="20"/>
              </w:rPr>
            </w:pPr>
            <w:r w:rsidRPr="00185A19">
              <w:rPr>
                <w:sz w:val="20"/>
                <w:szCs w:val="20"/>
              </w:rPr>
              <w:t>778.208</w:t>
            </w:r>
          </w:p>
        </w:tc>
      </w:tr>
      <w:tr w:rsidR="00B86593" w:rsidRPr="00E6427D" w:rsidTr="00471B6A">
        <w:trPr>
          <w:trHeight w:val="292"/>
        </w:trPr>
        <w:tc>
          <w:tcPr>
            <w:tcW w:w="2880" w:type="dxa"/>
            <w:tcBorders>
              <w:top w:val="nil"/>
              <w:left w:val="single" w:sz="4" w:space="0" w:color="auto"/>
              <w:bottom w:val="single" w:sz="4" w:space="0" w:color="auto"/>
              <w:right w:val="single" w:sz="4" w:space="0" w:color="auto"/>
            </w:tcBorders>
            <w:shd w:val="clear" w:color="auto" w:fill="auto"/>
            <w:vAlign w:val="center"/>
          </w:tcPr>
          <w:p w:rsidR="00B86593" w:rsidRPr="00F26346" w:rsidRDefault="00B86593" w:rsidP="00523B86">
            <w:pPr>
              <w:spacing w:line="240" w:lineRule="auto"/>
              <w:jc w:val="left"/>
              <w:rPr>
                <w:sz w:val="20"/>
                <w:szCs w:val="20"/>
              </w:rPr>
            </w:pPr>
            <w:r w:rsidRPr="00F26346">
              <w:rPr>
                <w:sz w:val="20"/>
                <w:szCs w:val="20"/>
              </w:rPr>
              <w:t>Coal Consumption (MT)</w:t>
            </w:r>
          </w:p>
        </w:tc>
        <w:tc>
          <w:tcPr>
            <w:tcW w:w="1501"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717153.01</w:t>
            </w:r>
          </w:p>
        </w:tc>
        <w:tc>
          <w:tcPr>
            <w:tcW w:w="1403"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346849.39</w:t>
            </w:r>
          </w:p>
        </w:tc>
        <w:tc>
          <w:tcPr>
            <w:tcW w:w="1683" w:type="dxa"/>
            <w:tcBorders>
              <w:top w:val="nil"/>
              <w:left w:val="nil"/>
              <w:bottom w:val="single" w:sz="4" w:space="0" w:color="auto"/>
              <w:right w:val="single" w:sz="4" w:space="0" w:color="auto"/>
            </w:tcBorders>
            <w:shd w:val="clear" w:color="auto" w:fill="auto"/>
            <w:vAlign w:val="center"/>
          </w:tcPr>
          <w:p w:rsidR="00B86593" w:rsidRPr="00185A19" w:rsidRDefault="006D7748" w:rsidP="00523B86">
            <w:pPr>
              <w:spacing w:line="240" w:lineRule="auto"/>
              <w:jc w:val="center"/>
              <w:rPr>
                <w:sz w:val="20"/>
                <w:szCs w:val="20"/>
              </w:rPr>
            </w:pPr>
            <w:r w:rsidRPr="00185A19">
              <w:rPr>
                <w:sz w:val="20"/>
                <w:szCs w:val="20"/>
              </w:rPr>
              <w:t>310241.72</w:t>
            </w:r>
          </w:p>
        </w:tc>
        <w:tc>
          <w:tcPr>
            <w:tcW w:w="1803"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7</w:t>
            </w:r>
            <w:r w:rsidR="006D7748" w:rsidRPr="00185A19">
              <w:rPr>
                <w:sz w:val="20"/>
                <w:szCs w:val="20"/>
              </w:rPr>
              <w:t>84548.14</w:t>
            </w:r>
          </w:p>
        </w:tc>
      </w:tr>
      <w:tr w:rsidR="00B86593" w:rsidRPr="00E6427D" w:rsidTr="00471B6A">
        <w:trPr>
          <w:trHeight w:val="292"/>
        </w:trPr>
        <w:tc>
          <w:tcPr>
            <w:tcW w:w="2880" w:type="dxa"/>
            <w:tcBorders>
              <w:top w:val="nil"/>
              <w:left w:val="single" w:sz="4" w:space="0" w:color="auto"/>
              <w:bottom w:val="single" w:sz="4" w:space="0" w:color="auto"/>
              <w:right w:val="single" w:sz="4" w:space="0" w:color="auto"/>
            </w:tcBorders>
            <w:shd w:val="clear" w:color="auto" w:fill="auto"/>
            <w:vAlign w:val="center"/>
          </w:tcPr>
          <w:p w:rsidR="00B86593" w:rsidRPr="00F26346" w:rsidRDefault="00B86593" w:rsidP="00523B86">
            <w:pPr>
              <w:spacing w:line="240" w:lineRule="auto"/>
              <w:jc w:val="left"/>
              <w:rPr>
                <w:sz w:val="20"/>
                <w:szCs w:val="20"/>
              </w:rPr>
            </w:pPr>
            <w:r w:rsidRPr="00F26346">
              <w:rPr>
                <w:sz w:val="20"/>
                <w:szCs w:val="20"/>
              </w:rPr>
              <w:t>Cost per Tone of Coal(Rs/MT)</w:t>
            </w:r>
          </w:p>
        </w:tc>
        <w:tc>
          <w:tcPr>
            <w:tcW w:w="1501"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3095.82</w:t>
            </w:r>
          </w:p>
        </w:tc>
        <w:tc>
          <w:tcPr>
            <w:tcW w:w="1403"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3331.28</w:t>
            </w:r>
          </w:p>
        </w:tc>
        <w:tc>
          <w:tcPr>
            <w:tcW w:w="1683" w:type="dxa"/>
            <w:tcBorders>
              <w:top w:val="nil"/>
              <w:left w:val="nil"/>
              <w:bottom w:val="single" w:sz="4" w:space="0" w:color="auto"/>
              <w:right w:val="single" w:sz="4" w:space="0" w:color="auto"/>
            </w:tcBorders>
            <w:shd w:val="clear" w:color="auto" w:fill="auto"/>
            <w:vAlign w:val="center"/>
          </w:tcPr>
          <w:p w:rsidR="00B86593" w:rsidRPr="00185A19" w:rsidRDefault="006D7748" w:rsidP="00523B86">
            <w:pPr>
              <w:spacing w:line="240" w:lineRule="auto"/>
              <w:jc w:val="center"/>
              <w:rPr>
                <w:sz w:val="20"/>
                <w:szCs w:val="20"/>
              </w:rPr>
            </w:pPr>
            <w:r w:rsidRPr="00185A19">
              <w:rPr>
                <w:sz w:val="20"/>
                <w:szCs w:val="20"/>
              </w:rPr>
              <w:t>34</w:t>
            </w:r>
            <w:r w:rsidR="002B3162" w:rsidRPr="00185A19">
              <w:rPr>
                <w:sz w:val="20"/>
                <w:szCs w:val="20"/>
              </w:rPr>
              <w:t>60</w:t>
            </w:r>
          </w:p>
        </w:tc>
        <w:tc>
          <w:tcPr>
            <w:tcW w:w="1803"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34</w:t>
            </w:r>
            <w:r w:rsidR="002B3162" w:rsidRPr="00185A19">
              <w:rPr>
                <w:sz w:val="20"/>
                <w:szCs w:val="20"/>
              </w:rPr>
              <w:t>38</w:t>
            </w:r>
          </w:p>
        </w:tc>
      </w:tr>
      <w:tr w:rsidR="00B86593" w:rsidRPr="00E6427D" w:rsidTr="00471B6A">
        <w:trPr>
          <w:trHeight w:val="676"/>
        </w:trPr>
        <w:tc>
          <w:tcPr>
            <w:tcW w:w="2880" w:type="dxa"/>
            <w:tcBorders>
              <w:top w:val="nil"/>
              <w:left w:val="single" w:sz="4" w:space="0" w:color="auto"/>
              <w:bottom w:val="single" w:sz="4" w:space="0" w:color="auto"/>
              <w:right w:val="single" w:sz="4" w:space="0" w:color="auto"/>
            </w:tcBorders>
            <w:shd w:val="clear" w:color="auto" w:fill="auto"/>
            <w:vAlign w:val="center"/>
          </w:tcPr>
          <w:p w:rsidR="00B86593" w:rsidRPr="00F26346" w:rsidRDefault="00B86593" w:rsidP="00523B86">
            <w:pPr>
              <w:spacing w:line="240" w:lineRule="auto"/>
              <w:jc w:val="left"/>
              <w:rPr>
                <w:sz w:val="20"/>
                <w:szCs w:val="20"/>
              </w:rPr>
            </w:pPr>
            <w:r w:rsidRPr="00F26346">
              <w:rPr>
                <w:sz w:val="20"/>
                <w:szCs w:val="20"/>
              </w:rPr>
              <w:t>Secondary Oil Consumption- HSD(Kl)</w:t>
            </w:r>
          </w:p>
        </w:tc>
        <w:tc>
          <w:tcPr>
            <w:tcW w:w="1501"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2984.85</w:t>
            </w:r>
          </w:p>
        </w:tc>
        <w:tc>
          <w:tcPr>
            <w:tcW w:w="1403"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2254.56</w:t>
            </w:r>
          </w:p>
        </w:tc>
        <w:tc>
          <w:tcPr>
            <w:tcW w:w="1683" w:type="dxa"/>
            <w:tcBorders>
              <w:top w:val="nil"/>
              <w:left w:val="nil"/>
              <w:bottom w:val="single" w:sz="4" w:space="0" w:color="auto"/>
              <w:right w:val="single" w:sz="4" w:space="0" w:color="auto"/>
            </w:tcBorders>
            <w:shd w:val="clear" w:color="auto" w:fill="auto"/>
            <w:vAlign w:val="center"/>
          </w:tcPr>
          <w:p w:rsidR="00B86593" w:rsidRPr="00185A19" w:rsidRDefault="002B3162" w:rsidP="00523B86">
            <w:pPr>
              <w:spacing w:line="240" w:lineRule="auto"/>
              <w:jc w:val="center"/>
              <w:rPr>
                <w:sz w:val="20"/>
                <w:szCs w:val="20"/>
              </w:rPr>
            </w:pPr>
            <w:r w:rsidRPr="00185A19">
              <w:rPr>
                <w:sz w:val="20"/>
                <w:szCs w:val="20"/>
              </w:rPr>
              <w:t>1100.447</w:t>
            </w:r>
          </w:p>
        </w:tc>
        <w:tc>
          <w:tcPr>
            <w:tcW w:w="1803" w:type="dxa"/>
            <w:tcBorders>
              <w:top w:val="nil"/>
              <w:left w:val="nil"/>
              <w:bottom w:val="single" w:sz="4" w:space="0" w:color="auto"/>
              <w:right w:val="single" w:sz="4" w:space="0" w:color="auto"/>
            </w:tcBorders>
            <w:shd w:val="clear" w:color="auto" w:fill="auto"/>
            <w:vAlign w:val="center"/>
          </w:tcPr>
          <w:p w:rsidR="00B86593" w:rsidRPr="00185A19" w:rsidRDefault="00660B6B" w:rsidP="00523B86">
            <w:pPr>
              <w:spacing w:line="240" w:lineRule="auto"/>
              <w:jc w:val="center"/>
              <w:rPr>
                <w:sz w:val="20"/>
                <w:szCs w:val="20"/>
              </w:rPr>
            </w:pPr>
            <w:r w:rsidRPr="00185A19">
              <w:rPr>
                <w:sz w:val="20"/>
                <w:szCs w:val="20"/>
              </w:rPr>
              <w:t>5226</w:t>
            </w:r>
          </w:p>
        </w:tc>
      </w:tr>
      <w:tr w:rsidR="00B86593" w:rsidRPr="00E6427D" w:rsidTr="00471B6A">
        <w:trPr>
          <w:trHeight w:val="292"/>
        </w:trPr>
        <w:tc>
          <w:tcPr>
            <w:tcW w:w="2880" w:type="dxa"/>
            <w:tcBorders>
              <w:top w:val="nil"/>
              <w:left w:val="single" w:sz="4" w:space="0" w:color="auto"/>
              <w:bottom w:val="single" w:sz="4" w:space="0" w:color="auto"/>
              <w:right w:val="single" w:sz="4" w:space="0" w:color="auto"/>
            </w:tcBorders>
            <w:shd w:val="clear" w:color="auto" w:fill="auto"/>
            <w:vAlign w:val="center"/>
          </w:tcPr>
          <w:p w:rsidR="00B86593" w:rsidRPr="00F26346" w:rsidRDefault="00B86593" w:rsidP="00523B86">
            <w:pPr>
              <w:spacing w:line="240" w:lineRule="auto"/>
              <w:jc w:val="left"/>
              <w:rPr>
                <w:sz w:val="20"/>
                <w:szCs w:val="20"/>
              </w:rPr>
            </w:pPr>
            <w:r w:rsidRPr="00F26346">
              <w:rPr>
                <w:sz w:val="20"/>
                <w:szCs w:val="20"/>
              </w:rPr>
              <w:t>Cost of HSD (Rs/Kl)</w:t>
            </w:r>
          </w:p>
        </w:tc>
        <w:tc>
          <w:tcPr>
            <w:tcW w:w="1501" w:type="dxa"/>
            <w:tcBorders>
              <w:top w:val="nil"/>
              <w:left w:val="nil"/>
              <w:bottom w:val="single" w:sz="4" w:space="0" w:color="auto"/>
              <w:right w:val="single" w:sz="4" w:space="0" w:color="auto"/>
            </w:tcBorders>
            <w:shd w:val="clear" w:color="auto" w:fill="auto"/>
            <w:vAlign w:val="center"/>
          </w:tcPr>
          <w:p w:rsidR="00B86593" w:rsidRPr="00185A19" w:rsidRDefault="00B86593" w:rsidP="00523B86">
            <w:pPr>
              <w:spacing w:line="240" w:lineRule="auto"/>
              <w:jc w:val="center"/>
              <w:rPr>
                <w:sz w:val="20"/>
                <w:szCs w:val="20"/>
              </w:rPr>
            </w:pPr>
          </w:p>
        </w:tc>
        <w:tc>
          <w:tcPr>
            <w:tcW w:w="1403" w:type="dxa"/>
            <w:tcBorders>
              <w:top w:val="nil"/>
              <w:left w:val="nil"/>
              <w:bottom w:val="single" w:sz="4" w:space="0" w:color="auto"/>
              <w:right w:val="single" w:sz="4" w:space="0" w:color="auto"/>
            </w:tcBorders>
            <w:shd w:val="clear" w:color="auto" w:fill="auto"/>
            <w:vAlign w:val="center"/>
          </w:tcPr>
          <w:p w:rsidR="00B86593" w:rsidRPr="00185A19" w:rsidRDefault="00B86593" w:rsidP="00523B86">
            <w:pPr>
              <w:spacing w:line="240" w:lineRule="auto"/>
              <w:jc w:val="center"/>
              <w:rPr>
                <w:sz w:val="20"/>
                <w:szCs w:val="20"/>
              </w:rPr>
            </w:pPr>
          </w:p>
        </w:tc>
        <w:tc>
          <w:tcPr>
            <w:tcW w:w="1683" w:type="dxa"/>
            <w:tcBorders>
              <w:top w:val="nil"/>
              <w:left w:val="nil"/>
              <w:bottom w:val="single" w:sz="4" w:space="0" w:color="auto"/>
              <w:right w:val="single" w:sz="4" w:space="0" w:color="auto"/>
            </w:tcBorders>
            <w:shd w:val="clear" w:color="auto" w:fill="auto"/>
            <w:vAlign w:val="center"/>
          </w:tcPr>
          <w:p w:rsidR="00B86593" w:rsidRPr="00185A19" w:rsidRDefault="00315AF2" w:rsidP="00523B86">
            <w:pPr>
              <w:spacing w:line="240" w:lineRule="auto"/>
              <w:jc w:val="center"/>
              <w:rPr>
                <w:sz w:val="20"/>
                <w:szCs w:val="20"/>
              </w:rPr>
            </w:pPr>
            <w:r w:rsidRPr="00185A19">
              <w:rPr>
                <w:sz w:val="20"/>
                <w:szCs w:val="20"/>
              </w:rPr>
              <w:t>62058</w:t>
            </w:r>
          </w:p>
        </w:tc>
        <w:tc>
          <w:tcPr>
            <w:tcW w:w="1803" w:type="dxa"/>
            <w:tcBorders>
              <w:top w:val="nil"/>
              <w:left w:val="nil"/>
              <w:bottom w:val="single" w:sz="4" w:space="0" w:color="auto"/>
              <w:right w:val="single" w:sz="4" w:space="0" w:color="auto"/>
            </w:tcBorders>
            <w:shd w:val="clear" w:color="auto" w:fill="auto"/>
            <w:vAlign w:val="center"/>
          </w:tcPr>
          <w:p w:rsidR="00B86593" w:rsidRPr="00185A19" w:rsidRDefault="00BC79B2" w:rsidP="00523B86">
            <w:pPr>
              <w:spacing w:line="240" w:lineRule="auto"/>
              <w:jc w:val="center"/>
              <w:rPr>
                <w:sz w:val="20"/>
                <w:szCs w:val="20"/>
              </w:rPr>
            </w:pPr>
            <w:r w:rsidRPr="00185A19">
              <w:rPr>
                <w:sz w:val="20"/>
                <w:szCs w:val="20"/>
              </w:rPr>
              <w:t>61000</w:t>
            </w:r>
          </w:p>
        </w:tc>
      </w:tr>
      <w:tr w:rsidR="00B86593" w:rsidRPr="00E6427D" w:rsidTr="00471B6A">
        <w:trPr>
          <w:trHeight w:val="292"/>
        </w:trPr>
        <w:tc>
          <w:tcPr>
            <w:tcW w:w="2880" w:type="dxa"/>
            <w:tcBorders>
              <w:top w:val="nil"/>
              <w:left w:val="single" w:sz="4" w:space="0" w:color="auto"/>
              <w:bottom w:val="single" w:sz="4" w:space="0" w:color="auto"/>
              <w:right w:val="single" w:sz="4" w:space="0" w:color="auto"/>
            </w:tcBorders>
            <w:shd w:val="clear" w:color="auto" w:fill="auto"/>
            <w:vAlign w:val="center"/>
          </w:tcPr>
          <w:p w:rsidR="00B86593" w:rsidRPr="00F26346" w:rsidRDefault="00B86593" w:rsidP="00523B86">
            <w:pPr>
              <w:spacing w:line="240" w:lineRule="auto"/>
              <w:jc w:val="left"/>
              <w:rPr>
                <w:sz w:val="20"/>
                <w:szCs w:val="20"/>
              </w:rPr>
            </w:pPr>
            <w:r w:rsidRPr="00F26346">
              <w:rPr>
                <w:sz w:val="20"/>
                <w:szCs w:val="20"/>
              </w:rPr>
              <w:t>Total Cost of Fuel(Rs Crores)</w:t>
            </w:r>
          </w:p>
        </w:tc>
        <w:tc>
          <w:tcPr>
            <w:tcW w:w="1501" w:type="dxa"/>
            <w:tcBorders>
              <w:top w:val="nil"/>
              <w:left w:val="nil"/>
              <w:bottom w:val="single" w:sz="4" w:space="0" w:color="auto"/>
              <w:right w:val="single" w:sz="4" w:space="0" w:color="auto"/>
            </w:tcBorders>
            <w:shd w:val="clear" w:color="auto" w:fill="auto"/>
            <w:vAlign w:val="center"/>
          </w:tcPr>
          <w:p w:rsidR="00B86593" w:rsidRPr="00185A19" w:rsidRDefault="00BC79B2" w:rsidP="00523B86">
            <w:pPr>
              <w:spacing w:line="240" w:lineRule="auto"/>
              <w:jc w:val="center"/>
              <w:rPr>
                <w:sz w:val="20"/>
                <w:szCs w:val="20"/>
              </w:rPr>
            </w:pPr>
            <w:r w:rsidRPr="00185A19">
              <w:rPr>
                <w:sz w:val="20"/>
                <w:szCs w:val="20"/>
              </w:rPr>
              <w:t>222.02</w:t>
            </w:r>
          </w:p>
        </w:tc>
        <w:tc>
          <w:tcPr>
            <w:tcW w:w="1403" w:type="dxa"/>
            <w:tcBorders>
              <w:top w:val="nil"/>
              <w:left w:val="nil"/>
              <w:bottom w:val="single" w:sz="4" w:space="0" w:color="auto"/>
              <w:right w:val="single" w:sz="4" w:space="0" w:color="auto"/>
            </w:tcBorders>
            <w:shd w:val="clear" w:color="auto" w:fill="auto"/>
            <w:vAlign w:val="center"/>
          </w:tcPr>
          <w:p w:rsidR="00B86593" w:rsidRPr="00185A19" w:rsidRDefault="00BC79B2" w:rsidP="00523B86">
            <w:pPr>
              <w:spacing w:line="240" w:lineRule="auto"/>
              <w:jc w:val="center"/>
              <w:rPr>
                <w:sz w:val="20"/>
                <w:szCs w:val="20"/>
              </w:rPr>
            </w:pPr>
            <w:r w:rsidRPr="00185A19">
              <w:rPr>
                <w:sz w:val="20"/>
                <w:szCs w:val="20"/>
              </w:rPr>
              <w:t>115.54</w:t>
            </w:r>
          </w:p>
        </w:tc>
        <w:tc>
          <w:tcPr>
            <w:tcW w:w="1683" w:type="dxa"/>
            <w:tcBorders>
              <w:top w:val="nil"/>
              <w:left w:val="nil"/>
              <w:bottom w:val="single" w:sz="4" w:space="0" w:color="auto"/>
              <w:right w:val="single" w:sz="4" w:space="0" w:color="auto"/>
            </w:tcBorders>
            <w:shd w:val="clear" w:color="auto" w:fill="auto"/>
            <w:vAlign w:val="center"/>
          </w:tcPr>
          <w:p w:rsidR="00B86593" w:rsidRPr="00185A19" w:rsidRDefault="00FC7BC5" w:rsidP="00523B86">
            <w:pPr>
              <w:spacing w:line="240" w:lineRule="auto"/>
              <w:jc w:val="center"/>
              <w:rPr>
                <w:sz w:val="20"/>
                <w:szCs w:val="20"/>
              </w:rPr>
            </w:pPr>
            <w:r>
              <w:rPr>
                <w:sz w:val="20"/>
                <w:szCs w:val="20"/>
              </w:rPr>
              <w:t>107.32</w:t>
            </w:r>
          </w:p>
        </w:tc>
        <w:tc>
          <w:tcPr>
            <w:tcW w:w="1803" w:type="dxa"/>
            <w:tcBorders>
              <w:top w:val="nil"/>
              <w:left w:val="nil"/>
              <w:bottom w:val="single" w:sz="4" w:space="0" w:color="auto"/>
              <w:right w:val="single" w:sz="4" w:space="0" w:color="auto"/>
            </w:tcBorders>
            <w:shd w:val="clear" w:color="auto" w:fill="auto"/>
            <w:vAlign w:val="center"/>
          </w:tcPr>
          <w:p w:rsidR="00B86593" w:rsidRPr="00185A19" w:rsidRDefault="00BC79B2" w:rsidP="00523B86">
            <w:pPr>
              <w:spacing w:line="240" w:lineRule="auto"/>
              <w:jc w:val="center"/>
              <w:rPr>
                <w:sz w:val="20"/>
                <w:szCs w:val="20"/>
              </w:rPr>
            </w:pPr>
            <w:r w:rsidRPr="00185A19">
              <w:rPr>
                <w:sz w:val="20"/>
                <w:szCs w:val="20"/>
              </w:rPr>
              <w:t>273.00</w:t>
            </w:r>
          </w:p>
        </w:tc>
      </w:tr>
      <w:tr w:rsidR="00092D64" w:rsidRPr="00E6427D" w:rsidTr="008450EC">
        <w:trPr>
          <w:trHeight w:val="292"/>
        </w:trPr>
        <w:tc>
          <w:tcPr>
            <w:tcW w:w="2880" w:type="dxa"/>
            <w:tcBorders>
              <w:top w:val="nil"/>
              <w:left w:val="single" w:sz="4" w:space="0" w:color="auto"/>
              <w:bottom w:val="single" w:sz="4" w:space="0" w:color="auto"/>
              <w:right w:val="single" w:sz="4" w:space="0" w:color="auto"/>
            </w:tcBorders>
            <w:shd w:val="clear" w:color="auto" w:fill="auto"/>
            <w:vAlign w:val="center"/>
          </w:tcPr>
          <w:p w:rsidR="00092D64" w:rsidRPr="00F26346" w:rsidRDefault="00092D64" w:rsidP="00523B86">
            <w:pPr>
              <w:spacing w:line="240" w:lineRule="auto"/>
              <w:jc w:val="left"/>
              <w:rPr>
                <w:b/>
                <w:sz w:val="20"/>
                <w:szCs w:val="20"/>
              </w:rPr>
            </w:pPr>
            <w:r w:rsidRPr="00F26346">
              <w:rPr>
                <w:b/>
                <w:sz w:val="20"/>
                <w:szCs w:val="20"/>
              </w:rPr>
              <w:t>Variable Cost in Rs/kWh</w:t>
            </w:r>
          </w:p>
        </w:tc>
        <w:tc>
          <w:tcPr>
            <w:tcW w:w="1501" w:type="dxa"/>
            <w:tcBorders>
              <w:top w:val="nil"/>
              <w:left w:val="nil"/>
              <w:bottom w:val="single" w:sz="4" w:space="0" w:color="auto"/>
              <w:right w:val="single" w:sz="4" w:space="0" w:color="auto"/>
            </w:tcBorders>
            <w:shd w:val="clear" w:color="auto" w:fill="auto"/>
            <w:vAlign w:val="bottom"/>
          </w:tcPr>
          <w:p w:rsidR="00092D64" w:rsidRPr="00092D64" w:rsidRDefault="00092D64">
            <w:pPr>
              <w:jc w:val="right"/>
              <w:rPr>
                <w:rFonts w:ascii="Arial" w:hAnsi="Arial" w:cs="Arial"/>
                <w:b/>
                <w:sz w:val="20"/>
                <w:szCs w:val="20"/>
              </w:rPr>
            </w:pPr>
            <w:r w:rsidRPr="00092D64">
              <w:rPr>
                <w:rFonts w:ascii="Arial" w:hAnsi="Arial" w:cs="Arial"/>
                <w:b/>
                <w:sz w:val="20"/>
                <w:szCs w:val="20"/>
              </w:rPr>
              <w:t>3.23</w:t>
            </w:r>
          </w:p>
        </w:tc>
        <w:tc>
          <w:tcPr>
            <w:tcW w:w="1403" w:type="dxa"/>
            <w:tcBorders>
              <w:top w:val="nil"/>
              <w:left w:val="nil"/>
              <w:bottom w:val="single" w:sz="4" w:space="0" w:color="auto"/>
              <w:right w:val="single" w:sz="4" w:space="0" w:color="auto"/>
            </w:tcBorders>
            <w:shd w:val="clear" w:color="auto" w:fill="auto"/>
            <w:vAlign w:val="bottom"/>
          </w:tcPr>
          <w:p w:rsidR="00092D64" w:rsidRPr="00092D64" w:rsidRDefault="00092D64">
            <w:pPr>
              <w:jc w:val="right"/>
              <w:rPr>
                <w:rFonts w:ascii="Arial" w:hAnsi="Arial" w:cs="Arial"/>
                <w:b/>
                <w:sz w:val="20"/>
                <w:szCs w:val="20"/>
              </w:rPr>
            </w:pPr>
            <w:r w:rsidRPr="00092D64">
              <w:rPr>
                <w:rFonts w:ascii="Arial" w:hAnsi="Arial" w:cs="Arial"/>
                <w:b/>
                <w:sz w:val="20"/>
                <w:szCs w:val="20"/>
              </w:rPr>
              <w:t>3.58</w:t>
            </w:r>
          </w:p>
        </w:tc>
        <w:tc>
          <w:tcPr>
            <w:tcW w:w="1683" w:type="dxa"/>
            <w:tcBorders>
              <w:top w:val="nil"/>
              <w:left w:val="nil"/>
              <w:bottom w:val="single" w:sz="4" w:space="0" w:color="auto"/>
              <w:right w:val="single" w:sz="4" w:space="0" w:color="auto"/>
            </w:tcBorders>
            <w:shd w:val="clear" w:color="auto" w:fill="auto"/>
            <w:vAlign w:val="bottom"/>
          </w:tcPr>
          <w:p w:rsidR="00092D64" w:rsidRPr="00092D64" w:rsidRDefault="00092D64">
            <w:pPr>
              <w:jc w:val="right"/>
              <w:rPr>
                <w:rFonts w:ascii="Arial" w:hAnsi="Arial" w:cs="Arial"/>
                <w:b/>
                <w:sz w:val="20"/>
                <w:szCs w:val="20"/>
              </w:rPr>
            </w:pPr>
            <w:r w:rsidRPr="00092D64">
              <w:rPr>
                <w:rFonts w:ascii="Arial" w:hAnsi="Arial" w:cs="Arial"/>
                <w:b/>
                <w:sz w:val="20"/>
                <w:szCs w:val="20"/>
              </w:rPr>
              <w:t>3.61</w:t>
            </w:r>
          </w:p>
        </w:tc>
        <w:tc>
          <w:tcPr>
            <w:tcW w:w="1803" w:type="dxa"/>
            <w:tcBorders>
              <w:top w:val="nil"/>
              <w:left w:val="nil"/>
              <w:bottom w:val="single" w:sz="4" w:space="0" w:color="auto"/>
              <w:right w:val="single" w:sz="4" w:space="0" w:color="auto"/>
            </w:tcBorders>
            <w:shd w:val="clear" w:color="auto" w:fill="auto"/>
            <w:vAlign w:val="bottom"/>
          </w:tcPr>
          <w:p w:rsidR="00092D64" w:rsidRPr="00092D64" w:rsidRDefault="00092D64">
            <w:pPr>
              <w:jc w:val="right"/>
              <w:rPr>
                <w:rFonts w:ascii="Arial" w:hAnsi="Arial" w:cs="Arial"/>
                <w:b/>
                <w:sz w:val="20"/>
                <w:szCs w:val="20"/>
              </w:rPr>
            </w:pPr>
            <w:r w:rsidRPr="00092D64">
              <w:rPr>
                <w:rFonts w:ascii="Arial" w:hAnsi="Arial" w:cs="Arial"/>
                <w:b/>
                <w:sz w:val="20"/>
                <w:szCs w:val="20"/>
              </w:rPr>
              <w:t>3.51</w:t>
            </w:r>
          </w:p>
        </w:tc>
      </w:tr>
      <w:bookmarkEnd w:id="43"/>
    </w:tbl>
    <w:p w:rsidR="001F2C8B" w:rsidRDefault="001F2C8B" w:rsidP="00356276">
      <w:pPr>
        <w:pStyle w:val="Caption"/>
        <w:keepNext/>
        <w:jc w:val="center"/>
      </w:pPr>
    </w:p>
    <w:p w:rsidR="00B07D0C" w:rsidRDefault="00B07D0C" w:rsidP="00B07D0C"/>
    <w:p w:rsidR="00B07D0C" w:rsidRDefault="00B07D0C" w:rsidP="00B07D0C"/>
    <w:p w:rsidR="00B07D0C" w:rsidRDefault="00B07D0C" w:rsidP="00B07D0C"/>
    <w:p w:rsidR="00B07D0C" w:rsidRPr="00B07D0C" w:rsidRDefault="00B07D0C" w:rsidP="00B07D0C"/>
    <w:p w:rsidR="00356276" w:rsidRDefault="00356276" w:rsidP="00356276">
      <w:pPr>
        <w:pStyle w:val="Caption"/>
        <w:keepNext/>
        <w:jc w:val="center"/>
      </w:pPr>
      <w:bookmarkStart w:id="44" w:name="_Toc411603995"/>
      <w:r>
        <w:lastRenderedPageBreak/>
        <w:t xml:space="preserve">Table </w:t>
      </w:r>
      <w:fldSimple w:instr=" SEQ Table \* ARABIC ">
        <w:r w:rsidR="002326CE">
          <w:rPr>
            <w:noProof/>
          </w:rPr>
          <w:t>18</w:t>
        </w:r>
      </w:fldSimple>
      <w:r>
        <w:t xml:space="preserve"> : </w:t>
      </w:r>
      <w:r w:rsidRPr="00356276">
        <w:t>Variable Cost for GT Power Station</w:t>
      </w:r>
      <w:bookmarkEnd w:id="44"/>
    </w:p>
    <w:tbl>
      <w:tblPr>
        <w:tblW w:w="7830" w:type="dxa"/>
        <w:tblInd w:w="738" w:type="dxa"/>
        <w:tblLook w:val="0000"/>
      </w:tblPr>
      <w:tblGrid>
        <w:gridCol w:w="2880"/>
        <w:gridCol w:w="1260"/>
        <w:gridCol w:w="1089"/>
        <w:gridCol w:w="1089"/>
        <w:gridCol w:w="1512"/>
      </w:tblGrid>
      <w:tr w:rsidR="00176C0F" w:rsidRPr="001B73D0" w:rsidTr="002077FB">
        <w:trPr>
          <w:trHeight w:val="568"/>
        </w:trPr>
        <w:tc>
          <w:tcPr>
            <w:tcW w:w="2880" w:type="dxa"/>
            <w:tcBorders>
              <w:top w:val="single" w:sz="4" w:space="0" w:color="auto"/>
              <w:left w:val="single" w:sz="4" w:space="0" w:color="auto"/>
              <w:bottom w:val="single" w:sz="4" w:space="0" w:color="auto"/>
              <w:right w:val="single" w:sz="4" w:space="0" w:color="auto"/>
            </w:tcBorders>
            <w:shd w:val="clear" w:color="auto" w:fill="000080"/>
            <w:vAlign w:val="center"/>
          </w:tcPr>
          <w:p w:rsidR="00176C0F" w:rsidRPr="001B73D0" w:rsidRDefault="00176C0F" w:rsidP="00356276">
            <w:pPr>
              <w:spacing w:line="240" w:lineRule="auto"/>
              <w:ind w:left="-91" w:right="-120"/>
              <w:jc w:val="left"/>
              <w:rPr>
                <w:b/>
                <w:bCs/>
                <w:color w:val="00B0F0"/>
                <w:sz w:val="20"/>
                <w:szCs w:val="20"/>
                <w:lang w:bidi="gu-IN"/>
              </w:rPr>
            </w:pPr>
            <w:r w:rsidRPr="001B73D0">
              <w:rPr>
                <w:b/>
                <w:bCs/>
                <w:color w:val="00B0F0"/>
                <w:sz w:val="20"/>
                <w:szCs w:val="20"/>
                <w:lang w:bidi="gu-IN"/>
              </w:rPr>
              <w:t>Description</w:t>
            </w:r>
          </w:p>
        </w:tc>
        <w:tc>
          <w:tcPr>
            <w:tcW w:w="1260" w:type="dxa"/>
            <w:tcBorders>
              <w:top w:val="single" w:sz="4" w:space="0" w:color="auto"/>
              <w:left w:val="nil"/>
              <w:bottom w:val="single" w:sz="4" w:space="0" w:color="auto"/>
              <w:right w:val="single" w:sz="4" w:space="0" w:color="auto"/>
            </w:tcBorders>
            <w:shd w:val="clear" w:color="auto" w:fill="000080"/>
            <w:vAlign w:val="center"/>
          </w:tcPr>
          <w:p w:rsidR="00176C0F" w:rsidRPr="001B73D0" w:rsidRDefault="00176C0F" w:rsidP="00527F23">
            <w:pPr>
              <w:spacing w:line="240" w:lineRule="auto"/>
              <w:ind w:left="-121" w:right="-56"/>
              <w:jc w:val="center"/>
              <w:rPr>
                <w:rFonts w:cs="Arial"/>
                <w:b/>
                <w:bCs/>
                <w:color w:val="00B0F0"/>
                <w:sz w:val="20"/>
                <w:szCs w:val="20"/>
              </w:rPr>
            </w:pPr>
            <w:r w:rsidRPr="001B73D0">
              <w:rPr>
                <w:rFonts w:cs="Arial"/>
                <w:b/>
                <w:bCs/>
                <w:color w:val="00B0F0"/>
                <w:sz w:val="20"/>
                <w:szCs w:val="20"/>
              </w:rPr>
              <w:t>12-13</w:t>
            </w:r>
          </w:p>
        </w:tc>
        <w:tc>
          <w:tcPr>
            <w:tcW w:w="1089" w:type="dxa"/>
            <w:tcBorders>
              <w:top w:val="single" w:sz="4" w:space="0" w:color="auto"/>
              <w:left w:val="nil"/>
              <w:bottom w:val="single" w:sz="4" w:space="0" w:color="auto"/>
              <w:right w:val="single" w:sz="4" w:space="0" w:color="auto"/>
            </w:tcBorders>
            <w:shd w:val="clear" w:color="auto" w:fill="000080"/>
            <w:vAlign w:val="center"/>
          </w:tcPr>
          <w:p w:rsidR="00176C0F" w:rsidRPr="001B73D0" w:rsidRDefault="00176C0F" w:rsidP="00527F23">
            <w:pPr>
              <w:spacing w:line="240" w:lineRule="auto"/>
              <w:ind w:left="-121" w:right="-56"/>
              <w:jc w:val="center"/>
              <w:rPr>
                <w:rFonts w:cs="Arial"/>
                <w:b/>
                <w:bCs/>
                <w:color w:val="00B0F0"/>
                <w:sz w:val="20"/>
                <w:szCs w:val="20"/>
              </w:rPr>
            </w:pPr>
            <w:r w:rsidRPr="001B73D0">
              <w:rPr>
                <w:rFonts w:cs="Arial"/>
                <w:b/>
                <w:bCs/>
                <w:color w:val="00B0F0"/>
                <w:sz w:val="20"/>
                <w:szCs w:val="20"/>
              </w:rPr>
              <w:t>13-14</w:t>
            </w:r>
          </w:p>
        </w:tc>
        <w:tc>
          <w:tcPr>
            <w:tcW w:w="1089" w:type="dxa"/>
            <w:tcBorders>
              <w:top w:val="single" w:sz="4" w:space="0" w:color="auto"/>
              <w:left w:val="nil"/>
              <w:bottom w:val="single" w:sz="4" w:space="0" w:color="auto"/>
              <w:right w:val="single" w:sz="4" w:space="0" w:color="auto"/>
            </w:tcBorders>
            <w:shd w:val="clear" w:color="auto" w:fill="000080"/>
            <w:vAlign w:val="center"/>
          </w:tcPr>
          <w:p w:rsidR="00176C0F" w:rsidRPr="001B73D0" w:rsidRDefault="00176C0F" w:rsidP="00527F23">
            <w:pPr>
              <w:spacing w:line="240" w:lineRule="auto"/>
              <w:ind w:left="-121" w:right="-56"/>
              <w:jc w:val="center"/>
              <w:rPr>
                <w:rFonts w:cs="Arial"/>
                <w:b/>
                <w:bCs/>
                <w:color w:val="00B0F0"/>
                <w:sz w:val="20"/>
                <w:szCs w:val="20"/>
              </w:rPr>
            </w:pPr>
            <w:r w:rsidRPr="001B73D0">
              <w:rPr>
                <w:rFonts w:cs="Arial"/>
                <w:b/>
                <w:bCs/>
                <w:color w:val="00B0F0"/>
                <w:sz w:val="20"/>
                <w:szCs w:val="20"/>
              </w:rPr>
              <w:t>14-15</w:t>
            </w:r>
          </w:p>
        </w:tc>
        <w:tc>
          <w:tcPr>
            <w:tcW w:w="1512" w:type="dxa"/>
            <w:tcBorders>
              <w:top w:val="single" w:sz="4" w:space="0" w:color="auto"/>
              <w:left w:val="nil"/>
              <w:bottom w:val="single" w:sz="4" w:space="0" w:color="auto"/>
              <w:right w:val="single" w:sz="4" w:space="0" w:color="auto"/>
            </w:tcBorders>
            <w:shd w:val="clear" w:color="auto" w:fill="000080"/>
            <w:vAlign w:val="center"/>
          </w:tcPr>
          <w:p w:rsidR="00E64E94" w:rsidRDefault="00176C0F" w:rsidP="00356276">
            <w:pPr>
              <w:spacing w:line="240" w:lineRule="auto"/>
              <w:ind w:left="-121" w:right="-56"/>
              <w:jc w:val="center"/>
              <w:rPr>
                <w:rFonts w:cs="Arial"/>
                <w:b/>
                <w:bCs/>
                <w:color w:val="00B0F0"/>
                <w:sz w:val="20"/>
                <w:szCs w:val="20"/>
              </w:rPr>
            </w:pPr>
            <w:r w:rsidRPr="001B73D0">
              <w:rPr>
                <w:rFonts w:cs="Arial"/>
                <w:b/>
                <w:bCs/>
                <w:color w:val="00B0F0"/>
                <w:sz w:val="20"/>
                <w:szCs w:val="20"/>
              </w:rPr>
              <w:t>15-16</w:t>
            </w:r>
          </w:p>
          <w:p w:rsidR="00176C0F" w:rsidRPr="001B73D0" w:rsidRDefault="00E64E94" w:rsidP="00356276">
            <w:pPr>
              <w:spacing w:line="240" w:lineRule="auto"/>
              <w:ind w:left="-121" w:right="-56"/>
              <w:jc w:val="center"/>
              <w:rPr>
                <w:rFonts w:cs="Arial"/>
                <w:b/>
                <w:bCs/>
                <w:color w:val="00B0F0"/>
                <w:sz w:val="20"/>
                <w:szCs w:val="20"/>
              </w:rPr>
            </w:pPr>
            <w:r>
              <w:rPr>
                <w:rFonts w:cs="Arial"/>
                <w:b/>
                <w:bCs/>
                <w:color w:val="00B0F0"/>
                <w:sz w:val="20"/>
                <w:szCs w:val="20"/>
              </w:rPr>
              <w:t>(</w:t>
            </w:r>
            <w:r w:rsidR="00AF273D">
              <w:rPr>
                <w:rFonts w:cs="Arial"/>
                <w:b/>
                <w:bCs/>
                <w:color w:val="00B0F0"/>
                <w:sz w:val="20"/>
                <w:szCs w:val="20"/>
              </w:rPr>
              <w:t>Estimated</w:t>
            </w:r>
            <w:r>
              <w:rPr>
                <w:rFonts w:cs="Arial"/>
                <w:b/>
                <w:bCs/>
                <w:color w:val="00B0F0"/>
                <w:sz w:val="20"/>
                <w:szCs w:val="20"/>
              </w:rPr>
              <w:t>)</w:t>
            </w:r>
          </w:p>
        </w:tc>
      </w:tr>
      <w:tr w:rsidR="00176C0F"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vAlign w:val="center"/>
          </w:tcPr>
          <w:p w:rsidR="00176C0F" w:rsidRPr="0070639E" w:rsidRDefault="00176C0F" w:rsidP="00356276">
            <w:pPr>
              <w:spacing w:line="240" w:lineRule="auto"/>
              <w:ind w:left="-91" w:right="-120"/>
              <w:jc w:val="left"/>
              <w:rPr>
                <w:sz w:val="20"/>
                <w:szCs w:val="20"/>
                <w:lang w:bidi="gu-IN"/>
              </w:rPr>
            </w:pPr>
            <w:r w:rsidRPr="0070639E">
              <w:rPr>
                <w:sz w:val="20"/>
                <w:szCs w:val="20"/>
                <w:lang w:bidi="gu-IN"/>
              </w:rPr>
              <w:t>Gross Generation(MU)</w:t>
            </w:r>
          </w:p>
        </w:tc>
        <w:tc>
          <w:tcPr>
            <w:tcW w:w="1260" w:type="dxa"/>
            <w:tcBorders>
              <w:top w:val="nil"/>
              <w:left w:val="nil"/>
              <w:bottom w:val="single" w:sz="4" w:space="0" w:color="auto"/>
              <w:right w:val="single" w:sz="4" w:space="0" w:color="auto"/>
            </w:tcBorders>
            <w:shd w:val="clear" w:color="auto" w:fill="auto"/>
            <w:noWrap/>
            <w:vAlign w:val="center"/>
          </w:tcPr>
          <w:p w:rsidR="00176C0F" w:rsidRPr="0070639E" w:rsidRDefault="00176C0F" w:rsidP="00BC79B2">
            <w:pPr>
              <w:spacing w:line="240" w:lineRule="auto"/>
              <w:ind w:left="-121" w:right="-56"/>
              <w:jc w:val="center"/>
              <w:rPr>
                <w:rFonts w:ascii="Arial" w:hAnsi="Arial"/>
                <w:sz w:val="20"/>
                <w:szCs w:val="20"/>
                <w:lang w:bidi="gu-IN"/>
              </w:rPr>
            </w:pPr>
            <w:r w:rsidRPr="0070639E">
              <w:rPr>
                <w:rFonts w:ascii="Arial" w:hAnsi="Arial"/>
                <w:sz w:val="20"/>
                <w:szCs w:val="20"/>
                <w:lang w:bidi="gu-IN"/>
              </w:rPr>
              <w:t>1307.83</w:t>
            </w:r>
            <w:r w:rsidR="00BC79B2" w:rsidRPr="0070639E">
              <w:rPr>
                <w:rFonts w:ascii="Arial" w:hAnsi="Arial"/>
                <w:sz w:val="20"/>
                <w:szCs w:val="20"/>
                <w:lang w:bidi="gu-IN"/>
              </w:rPr>
              <w:t>4</w:t>
            </w:r>
          </w:p>
        </w:tc>
        <w:tc>
          <w:tcPr>
            <w:tcW w:w="1089" w:type="dxa"/>
            <w:tcBorders>
              <w:top w:val="nil"/>
              <w:left w:val="nil"/>
              <w:bottom w:val="single" w:sz="4" w:space="0" w:color="auto"/>
              <w:right w:val="single" w:sz="4" w:space="0" w:color="auto"/>
            </w:tcBorders>
            <w:vAlign w:val="center"/>
          </w:tcPr>
          <w:p w:rsidR="00176C0F" w:rsidRPr="0070639E" w:rsidRDefault="001B73D0" w:rsidP="00356276">
            <w:pPr>
              <w:spacing w:line="240" w:lineRule="auto"/>
              <w:jc w:val="center"/>
              <w:rPr>
                <w:rFonts w:ascii="Arial" w:hAnsi="Arial"/>
                <w:sz w:val="20"/>
                <w:szCs w:val="20"/>
                <w:lang w:bidi="gu-IN"/>
              </w:rPr>
            </w:pPr>
            <w:r w:rsidRPr="0070639E">
              <w:rPr>
                <w:rFonts w:ascii="Arial" w:hAnsi="Arial"/>
                <w:sz w:val="20"/>
                <w:szCs w:val="20"/>
                <w:lang w:bidi="gu-IN"/>
              </w:rPr>
              <w:t>1040.949</w:t>
            </w:r>
          </w:p>
        </w:tc>
        <w:tc>
          <w:tcPr>
            <w:tcW w:w="1089" w:type="dxa"/>
            <w:tcBorders>
              <w:top w:val="nil"/>
              <w:left w:val="nil"/>
              <w:bottom w:val="single" w:sz="4" w:space="0" w:color="auto"/>
              <w:right w:val="single" w:sz="4" w:space="0" w:color="auto"/>
            </w:tcBorders>
            <w:vAlign w:val="center"/>
          </w:tcPr>
          <w:p w:rsidR="00176C0F" w:rsidRPr="0070639E" w:rsidRDefault="009E0631" w:rsidP="00356276">
            <w:pPr>
              <w:spacing w:line="240" w:lineRule="auto"/>
              <w:jc w:val="center"/>
              <w:rPr>
                <w:rFonts w:ascii="Arial" w:hAnsi="Arial"/>
                <w:sz w:val="20"/>
                <w:szCs w:val="20"/>
                <w:lang w:bidi="gu-IN"/>
              </w:rPr>
            </w:pPr>
            <w:r w:rsidRPr="0070639E">
              <w:rPr>
                <w:rFonts w:ascii="Arial" w:hAnsi="Arial"/>
                <w:sz w:val="20"/>
                <w:szCs w:val="20"/>
                <w:lang w:bidi="gu-IN"/>
              </w:rPr>
              <w:t>1892.160</w:t>
            </w:r>
          </w:p>
        </w:tc>
        <w:tc>
          <w:tcPr>
            <w:tcW w:w="1512" w:type="dxa"/>
            <w:tcBorders>
              <w:top w:val="nil"/>
              <w:left w:val="nil"/>
              <w:bottom w:val="single" w:sz="4" w:space="0" w:color="auto"/>
              <w:right w:val="single" w:sz="4" w:space="0" w:color="auto"/>
            </w:tcBorders>
            <w:vAlign w:val="center"/>
          </w:tcPr>
          <w:p w:rsidR="00176C0F" w:rsidRPr="0070639E" w:rsidRDefault="009E0631" w:rsidP="00356276">
            <w:pPr>
              <w:spacing w:line="240" w:lineRule="auto"/>
              <w:jc w:val="center"/>
              <w:rPr>
                <w:rFonts w:ascii="Arial" w:hAnsi="Arial"/>
                <w:sz w:val="20"/>
                <w:szCs w:val="20"/>
                <w:lang w:bidi="gu-IN"/>
              </w:rPr>
            </w:pPr>
            <w:r w:rsidRPr="0070639E">
              <w:rPr>
                <w:rFonts w:ascii="Arial" w:hAnsi="Arial"/>
                <w:sz w:val="20"/>
                <w:szCs w:val="20"/>
                <w:lang w:bidi="gu-IN"/>
              </w:rPr>
              <w:t>1897.344</w:t>
            </w:r>
          </w:p>
        </w:tc>
      </w:tr>
      <w:tr w:rsidR="00176C0F"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vAlign w:val="center"/>
          </w:tcPr>
          <w:p w:rsidR="00176C0F" w:rsidRPr="0070639E" w:rsidRDefault="00176C0F" w:rsidP="00356276">
            <w:pPr>
              <w:spacing w:line="240" w:lineRule="auto"/>
              <w:ind w:left="-91" w:right="-120"/>
              <w:jc w:val="left"/>
              <w:rPr>
                <w:sz w:val="20"/>
                <w:szCs w:val="20"/>
                <w:lang w:bidi="gu-IN"/>
              </w:rPr>
            </w:pPr>
            <w:r w:rsidRPr="0070639E">
              <w:rPr>
                <w:sz w:val="20"/>
                <w:szCs w:val="20"/>
                <w:lang w:bidi="gu-IN"/>
              </w:rPr>
              <w:t>Net Generation (MU)</w:t>
            </w:r>
          </w:p>
        </w:tc>
        <w:tc>
          <w:tcPr>
            <w:tcW w:w="1260" w:type="dxa"/>
            <w:tcBorders>
              <w:top w:val="nil"/>
              <w:left w:val="nil"/>
              <w:bottom w:val="single" w:sz="4" w:space="0" w:color="auto"/>
              <w:right w:val="single" w:sz="4" w:space="0" w:color="auto"/>
            </w:tcBorders>
            <w:shd w:val="clear" w:color="auto" w:fill="auto"/>
            <w:noWrap/>
            <w:vAlign w:val="center"/>
          </w:tcPr>
          <w:p w:rsidR="00176C0F" w:rsidRPr="0070639E" w:rsidRDefault="00176C0F" w:rsidP="00BC79B2">
            <w:pPr>
              <w:spacing w:line="240" w:lineRule="auto"/>
              <w:ind w:left="-121" w:right="-56"/>
              <w:jc w:val="center"/>
              <w:rPr>
                <w:rFonts w:ascii="Arial" w:hAnsi="Arial"/>
                <w:sz w:val="20"/>
                <w:szCs w:val="20"/>
                <w:lang w:bidi="gu-IN"/>
              </w:rPr>
            </w:pPr>
            <w:r w:rsidRPr="0070639E">
              <w:rPr>
                <w:rFonts w:ascii="Arial" w:hAnsi="Arial"/>
                <w:sz w:val="20"/>
                <w:szCs w:val="20"/>
                <w:lang w:bidi="gu-IN"/>
              </w:rPr>
              <w:t>1268.42</w:t>
            </w:r>
            <w:r w:rsidR="00BC79B2" w:rsidRPr="0070639E">
              <w:rPr>
                <w:rFonts w:ascii="Arial" w:hAnsi="Arial"/>
                <w:sz w:val="20"/>
                <w:szCs w:val="20"/>
                <w:lang w:bidi="gu-IN"/>
              </w:rPr>
              <w:t>2</w:t>
            </w:r>
          </w:p>
        </w:tc>
        <w:tc>
          <w:tcPr>
            <w:tcW w:w="1089" w:type="dxa"/>
            <w:tcBorders>
              <w:top w:val="nil"/>
              <w:left w:val="nil"/>
              <w:bottom w:val="single" w:sz="4" w:space="0" w:color="auto"/>
              <w:right w:val="single" w:sz="4" w:space="0" w:color="auto"/>
            </w:tcBorders>
            <w:vAlign w:val="center"/>
          </w:tcPr>
          <w:p w:rsidR="00176C0F" w:rsidRPr="0070639E" w:rsidRDefault="001B73D0" w:rsidP="00356276">
            <w:pPr>
              <w:spacing w:line="240" w:lineRule="auto"/>
              <w:jc w:val="center"/>
              <w:rPr>
                <w:rFonts w:ascii="Arial" w:hAnsi="Arial"/>
                <w:sz w:val="20"/>
                <w:szCs w:val="20"/>
                <w:lang w:bidi="gu-IN"/>
              </w:rPr>
            </w:pPr>
            <w:r w:rsidRPr="0070639E">
              <w:rPr>
                <w:rFonts w:ascii="Arial" w:hAnsi="Arial"/>
                <w:sz w:val="20"/>
                <w:szCs w:val="20"/>
                <w:lang w:bidi="gu-IN"/>
              </w:rPr>
              <w:t>1006.792</w:t>
            </w:r>
          </w:p>
        </w:tc>
        <w:tc>
          <w:tcPr>
            <w:tcW w:w="1089" w:type="dxa"/>
            <w:tcBorders>
              <w:top w:val="nil"/>
              <w:left w:val="nil"/>
              <w:bottom w:val="single" w:sz="4" w:space="0" w:color="auto"/>
              <w:right w:val="single" w:sz="4" w:space="0" w:color="auto"/>
            </w:tcBorders>
            <w:vAlign w:val="center"/>
          </w:tcPr>
          <w:p w:rsidR="00176C0F" w:rsidRPr="0070639E" w:rsidRDefault="009E0631" w:rsidP="00356276">
            <w:pPr>
              <w:spacing w:line="240" w:lineRule="auto"/>
              <w:jc w:val="center"/>
              <w:rPr>
                <w:rFonts w:ascii="Arial" w:hAnsi="Arial"/>
                <w:sz w:val="20"/>
                <w:szCs w:val="20"/>
                <w:lang w:bidi="gu-IN"/>
              </w:rPr>
            </w:pPr>
            <w:r w:rsidRPr="0070639E">
              <w:rPr>
                <w:rFonts w:ascii="Arial" w:hAnsi="Arial"/>
                <w:sz w:val="20"/>
                <w:szCs w:val="20"/>
                <w:lang w:bidi="gu-IN"/>
              </w:rPr>
              <w:t>1824.231</w:t>
            </w:r>
          </w:p>
        </w:tc>
        <w:tc>
          <w:tcPr>
            <w:tcW w:w="1512" w:type="dxa"/>
            <w:tcBorders>
              <w:top w:val="nil"/>
              <w:left w:val="nil"/>
              <w:bottom w:val="single" w:sz="4" w:space="0" w:color="auto"/>
              <w:right w:val="single" w:sz="4" w:space="0" w:color="auto"/>
            </w:tcBorders>
            <w:vAlign w:val="center"/>
          </w:tcPr>
          <w:p w:rsidR="00176C0F" w:rsidRPr="0070639E" w:rsidRDefault="009E0631" w:rsidP="00356276">
            <w:pPr>
              <w:spacing w:line="240" w:lineRule="auto"/>
              <w:jc w:val="center"/>
              <w:rPr>
                <w:rFonts w:ascii="Arial" w:hAnsi="Arial"/>
                <w:sz w:val="20"/>
                <w:szCs w:val="20"/>
                <w:lang w:bidi="gu-IN"/>
              </w:rPr>
            </w:pPr>
            <w:r w:rsidRPr="0070639E">
              <w:rPr>
                <w:rFonts w:ascii="Arial" w:hAnsi="Arial"/>
                <w:sz w:val="20"/>
                <w:szCs w:val="20"/>
                <w:lang w:bidi="gu-IN"/>
              </w:rPr>
              <w:t>1829.229</w:t>
            </w:r>
          </w:p>
        </w:tc>
      </w:tr>
      <w:tr w:rsidR="00176C0F"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vAlign w:val="center"/>
          </w:tcPr>
          <w:p w:rsidR="00176C0F" w:rsidRPr="0070639E" w:rsidRDefault="00176C0F" w:rsidP="00356276">
            <w:pPr>
              <w:spacing w:line="240" w:lineRule="auto"/>
              <w:ind w:left="-91" w:right="-120"/>
              <w:jc w:val="left"/>
              <w:rPr>
                <w:sz w:val="20"/>
                <w:szCs w:val="20"/>
                <w:lang w:bidi="gu-IN"/>
              </w:rPr>
            </w:pPr>
            <w:r w:rsidRPr="0070639E">
              <w:rPr>
                <w:sz w:val="20"/>
                <w:szCs w:val="20"/>
                <w:lang w:bidi="gu-IN"/>
              </w:rPr>
              <w:t>Gas Consumption</w:t>
            </w:r>
          </w:p>
        </w:tc>
        <w:tc>
          <w:tcPr>
            <w:tcW w:w="1260" w:type="dxa"/>
            <w:tcBorders>
              <w:top w:val="nil"/>
              <w:left w:val="nil"/>
              <w:bottom w:val="single" w:sz="4" w:space="0" w:color="auto"/>
              <w:right w:val="single" w:sz="4" w:space="0" w:color="auto"/>
            </w:tcBorders>
            <w:shd w:val="clear" w:color="auto" w:fill="auto"/>
            <w:noWrap/>
            <w:vAlign w:val="center"/>
          </w:tcPr>
          <w:p w:rsidR="00176C0F" w:rsidRPr="0070639E" w:rsidRDefault="00176C0F" w:rsidP="00356276">
            <w:pPr>
              <w:spacing w:line="240" w:lineRule="auto"/>
              <w:ind w:left="-121" w:right="-56"/>
              <w:jc w:val="center"/>
              <w:rPr>
                <w:rFonts w:ascii="Arial" w:hAnsi="Arial"/>
                <w:sz w:val="20"/>
                <w:szCs w:val="20"/>
                <w:lang w:bidi="gu-IN"/>
              </w:rPr>
            </w:pPr>
          </w:p>
        </w:tc>
        <w:tc>
          <w:tcPr>
            <w:tcW w:w="1089" w:type="dxa"/>
            <w:tcBorders>
              <w:top w:val="nil"/>
              <w:left w:val="nil"/>
              <w:bottom w:val="single" w:sz="4" w:space="0" w:color="auto"/>
              <w:right w:val="single" w:sz="4" w:space="0" w:color="auto"/>
            </w:tcBorders>
            <w:vAlign w:val="center"/>
          </w:tcPr>
          <w:p w:rsidR="00176C0F" w:rsidRPr="0070639E" w:rsidRDefault="00176C0F" w:rsidP="00356276">
            <w:pPr>
              <w:spacing w:line="240" w:lineRule="auto"/>
              <w:ind w:left="-121" w:right="-56"/>
              <w:jc w:val="center"/>
              <w:rPr>
                <w:rFonts w:ascii="Arial" w:hAnsi="Arial"/>
                <w:sz w:val="20"/>
                <w:szCs w:val="20"/>
                <w:lang w:bidi="gu-IN"/>
              </w:rPr>
            </w:pPr>
          </w:p>
        </w:tc>
        <w:tc>
          <w:tcPr>
            <w:tcW w:w="1089" w:type="dxa"/>
            <w:tcBorders>
              <w:top w:val="nil"/>
              <w:left w:val="nil"/>
              <w:bottom w:val="single" w:sz="4" w:space="0" w:color="auto"/>
              <w:right w:val="single" w:sz="4" w:space="0" w:color="auto"/>
            </w:tcBorders>
            <w:vAlign w:val="center"/>
          </w:tcPr>
          <w:p w:rsidR="00176C0F" w:rsidRPr="0070639E" w:rsidRDefault="00176C0F"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76C0F" w:rsidRPr="0070639E" w:rsidRDefault="00176C0F" w:rsidP="00356276">
            <w:pPr>
              <w:spacing w:line="240" w:lineRule="auto"/>
              <w:ind w:left="-121" w:right="-56"/>
              <w:jc w:val="center"/>
              <w:rPr>
                <w:rFonts w:ascii="Arial" w:hAnsi="Arial"/>
                <w:sz w:val="20"/>
                <w:szCs w:val="20"/>
                <w:lang w:bidi="gu-IN"/>
              </w:rPr>
            </w:pPr>
          </w:p>
        </w:tc>
      </w:tr>
      <w:tr w:rsidR="00176C0F"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76C0F" w:rsidRPr="0070639E" w:rsidRDefault="00176C0F"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APM (MMSCM)</w:t>
            </w:r>
          </w:p>
        </w:tc>
        <w:tc>
          <w:tcPr>
            <w:tcW w:w="1260" w:type="dxa"/>
            <w:tcBorders>
              <w:top w:val="nil"/>
              <w:left w:val="nil"/>
              <w:bottom w:val="single" w:sz="4" w:space="0" w:color="auto"/>
              <w:right w:val="single" w:sz="4" w:space="0" w:color="auto"/>
            </w:tcBorders>
            <w:shd w:val="clear" w:color="auto" w:fill="auto"/>
            <w:noWrap/>
            <w:vAlign w:val="center"/>
          </w:tcPr>
          <w:p w:rsidR="00176C0F"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182.395</w:t>
            </w:r>
          </w:p>
        </w:tc>
        <w:tc>
          <w:tcPr>
            <w:tcW w:w="1089" w:type="dxa"/>
            <w:tcBorders>
              <w:top w:val="nil"/>
              <w:left w:val="nil"/>
              <w:bottom w:val="single" w:sz="4" w:space="0" w:color="auto"/>
              <w:right w:val="single" w:sz="4" w:space="0" w:color="auto"/>
            </w:tcBorders>
            <w:vAlign w:val="center"/>
          </w:tcPr>
          <w:p w:rsidR="00176C0F"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170.780</w:t>
            </w:r>
          </w:p>
        </w:tc>
        <w:tc>
          <w:tcPr>
            <w:tcW w:w="1089" w:type="dxa"/>
            <w:tcBorders>
              <w:top w:val="nil"/>
              <w:left w:val="nil"/>
              <w:bottom w:val="single" w:sz="4" w:space="0" w:color="auto"/>
              <w:right w:val="single" w:sz="4" w:space="0" w:color="auto"/>
            </w:tcBorders>
            <w:vAlign w:val="center"/>
          </w:tcPr>
          <w:p w:rsidR="00176C0F" w:rsidRPr="0070639E" w:rsidRDefault="00176C0F"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76C0F" w:rsidRPr="0070639E" w:rsidRDefault="00176C0F" w:rsidP="00356276">
            <w:pPr>
              <w:spacing w:line="240" w:lineRule="auto"/>
              <w:ind w:left="-121" w:right="-56"/>
              <w:jc w:val="center"/>
              <w:rPr>
                <w:rFonts w:ascii="Arial" w:hAnsi="Arial"/>
                <w:sz w:val="20"/>
                <w:szCs w:val="20"/>
                <w:lang w:bidi="gu-IN"/>
              </w:rPr>
            </w:pPr>
          </w:p>
        </w:tc>
      </w:tr>
      <w:tr w:rsidR="00176C0F"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76C0F" w:rsidRPr="0070639E" w:rsidRDefault="00176C0F"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Rate/1000SCM</w:t>
            </w:r>
          </w:p>
        </w:tc>
        <w:tc>
          <w:tcPr>
            <w:tcW w:w="1260" w:type="dxa"/>
            <w:tcBorders>
              <w:top w:val="nil"/>
              <w:left w:val="nil"/>
              <w:bottom w:val="single" w:sz="4" w:space="0" w:color="auto"/>
              <w:right w:val="single" w:sz="4" w:space="0" w:color="auto"/>
            </w:tcBorders>
            <w:shd w:val="clear" w:color="auto" w:fill="auto"/>
            <w:noWrap/>
            <w:vAlign w:val="center"/>
          </w:tcPr>
          <w:p w:rsidR="00176C0F"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9456.561</w:t>
            </w:r>
          </w:p>
        </w:tc>
        <w:tc>
          <w:tcPr>
            <w:tcW w:w="1089" w:type="dxa"/>
            <w:tcBorders>
              <w:top w:val="nil"/>
              <w:left w:val="nil"/>
              <w:bottom w:val="single" w:sz="4" w:space="0" w:color="auto"/>
              <w:right w:val="single" w:sz="4" w:space="0" w:color="auto"/>
            </w:tcBorders>
            <w:vAlign w:val="center"/>
          </w:tcPr>
          <w:p w:rsidR="00176C0F"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10360.146</w:t>
            </w:r>
          </w:p>
        </w:tc>
        <w:tc>
          <w:tcPr>
            <w:tcW w:w="1089" w:type="dxa"/>
            <w:tcBorders>
              <w:top w:val="nil"/>
              <w:left w:val="nil"/>
              <w:bottom w:val="single" w:sz="4" w:space="0" w:color="auto"/>
              <w:right w:val="single" w:sz="4" w:space="0" w:color="auto"/>
            </w:tcBorders>
            <w:vAlign w:val="center"/>
          </w:tcPr>
          <w:p w:rsidR="00176C0F" w:rsidRPr="0070639E" w:rsidDel="00CA512B" w:rsidRDefault="00176C0F"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76C0F" w:rsidRPr="0070639E" w:rsidDel="00CA512B" w:rsidRDefault="00176C0F" w:rsidP="00356276">
            <w:pPr>
              <w:spacing w:line="240" w:lineRule="auto"/>
              <w:ind w:left="-121" w:right="-56"/>
              <w:jc w:val="center"/>
              <w:rPr>
                <w:rFonts w:ascii="Arial" w:hAnsi="Arial"/>
                <w:sz w:val="20"/>
                <w:szCs w:val="20"/>
                <w:lang w:bidi="gu-IN"/>
              </w:rPr>
            </w:pPr>
          </w:p>
        </w:tc>
      </w:tr>
      <w:tr w:rsidR="00176C0F"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76C0F" w:rsidRPr="0070639E" w:rsidRDefault="00176C0F"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Cost of APM Gas (Rs. Crore)</w:t>
            </w:r>
          </w:p>
        </w:tc>
        <w:tc>
          <w:tcPr>
            <w:tcW w:w="1260" w:type="dxa"/>
            <w:tcBorders>
              <w:top w:val="nil"/>
              <w:left w:val="nil"/>
              <w:bottom w:val="single" w:sz="4" w:space="0" w:color="auto"/>
              <w:right w:val="single" w:sz="4" w:space="0" w:color="auto"/>
            </w:tcBorders>
            <w:shd w:val="clear" w:color="auto" w:fill="auto"/>
            <w:noWrap/>
            <w:vAlign w:val="center"/>
          </w:tcPr>
          <w:p w:rsidR="00176C0F"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172.483</w:t>
            </w:r>
          </w:p>
        </w:tc>
        <w:tc>
          <w:tcPr>
            <w:tcW w:w="1089" w:type="dxa"/>
            <w:tcBorders>
              <w:top w:val="nil"/>
              <w:left w:val="nil"/>
              <w:bottom w:val="single" w:sz="4" w:space="0" w:color="auto"/>
              <w:right w:val="single" w:sz="4" w:space="0" w:color="auto"/>
            </w:tcBorders>
            <w:vAlign w:val="center"/>
          </w:tcPr>
          <w:p w:rsidR="00176C0F"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176.930</w:t>
            </w:r>
          </w:p>
        </w:tc>
        <w:tc>
          <w:tcPr>
            <w:tcW w:w="1089" w:type="dxa"/>
            <w:tcBorders>
              <w:top w:val="nil"/>
              <w:left w:val="nil"/>
              <w:bottom w:val="single" w:sz="4" w:space="0" w:color="auto"/>
              <w:right w:val="single" w:sz="4" w:space="0" w:color="auto"/>
            </w:tcBorders>
            <w:vAlign w:val="center"/>
          </w:tcPr>
          <w:p w:rsidR="00176C0F" w:rsidRPr="0070639E" w:rsidDel="00CA512B" w:rsidRDefault="00176C0F"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76C0F" w:rsidRPr="0070639E" w:rsidDel="00CA512B" w:rsidRDefault="00176C0F"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E03E8D">
            <w:pPr>
              <w:spacing w:line="240" w:lineRule="auto"/>
              <w:ind w:left="-91" w:right="-120"/>
              <w:jc w:val="left"/>
              <w:rPr>
                <w:rFonts w:ascii="Arial" w:hAnsi="Arial"/>
                <w:sz w:val="20"/>
                <w:szCs w:val="20"/>
                <w:lang w:bidi="gu-IN"/>
              </w:rPr>
            </w:pPr>
            <w:r w:rsidRPr="0070639E">
              <w:rPr>
                <w:rFonts w:ascii="Arial" w:hAnsi="Arial"/>
                <w:sz w:val="20"/>
                <w:szCs w:val="20"/>
                <w:lang w:bidi="gu-IN"/>
              </w:rPr>
              <w:t>NAPM (MMSCM)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50.709</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42.037</w:t>
            </w:r>
          </w:p>
        </w:tc>
        <w:tc>
          <w:tcPr>
            <w:tcW w:w="1089"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E03E8D">
            <w:pPr>
              <w:spacing w:line="240" w:lineRule="auto"/>
              <w:ind w:left="-91" w:right="-120"/>
              <w:jc w:val="left"/>
              <w:rPr>
                <w:rFonts w:ascii="Arial" w:hAnsi="Arial"/>
                <w:sz w:val="20"/>
                <w:szCs w:val="20"/>
                <w:lang w:bidi="gu-IN"/>
              </w:rPr>
            </w:pPr>
            <w:r w:rsidRPr="0070639E">
              <w:rPr>
                <w:rFonts w:ascii="Arial" w:hAnsi="Arial"/>
                <w:sz w:val="20"/>
                <w:szCs w:val="20"/>
                <w:lang w:bidi="gu-IN"/>
              </w:rPr>
              <w:t>Rate/1000SCM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12961.31</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13952.13</w:t>
            </w:r>
          </w:p>
        </w:tc>
        <w:tc>
          <w:tcPr>
            <w:tcW w:w="1089"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E03E8D">
            <w:pPr>
              <w:spacing w:line="240" w:lineRule="auto"/>
              <w:ind w:left="-91" w:right="-120"/>
              <w:jc w:val="left"/>
              <w:rPr>
                <w:rFonts w:ascii="Arial" w:hAnsi="Arial"/>
                <w:sz w:val="20"/>
                <w:szCs w:val="20"/>
                <w:lang w:bidi="gu-IN"/>
              </w:rPr>
            </w:pPr>
            <w:r w:rsidRPr="0070639E">
              <w:rPr>
                <w:rFonts w:ascii="Arial" w:hAnsi="Arial"/>
                <w:sz w:val="20"/>
                <w:szCs w:val="20"/>
                <w:lang w:bidi="gu-IN"/>
              </w:rPr>
              <w:t>Cost of NAPM Gas (Rs. Crore)</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65.725</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58.65</w:t>
            </w:r>
          </w:p>
        </w:tc>
        <w:tc>
          <w:tcPr>
            <w:tcW w:w="1089"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PMT(MMSCM)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21.991</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14.917</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Rate/1000 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9418.184</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10241.53</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Cost of PMT Gas (Rs. Crore)</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20.712</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15.277</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R-LNG (MMSCM)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72.497</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35.107</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Rate/1000SCM)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24960.46</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32339.78</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Cost for R-LNG (Rs.Crores)</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180.955</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113.54</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Spot R-LNG(MMSCM)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6.276</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0</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Rate/1000SCM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39077.32</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0</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Cost of Spot-RLNG</w:t>
            </w:r>
          </w:p>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(Rs. Crore)</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24.526</w:t>
            </w:r>
          </w:p>
        </w:tc>
        <w:tc>
          <w:tcPr>
            <w:tcW w:w="1089"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0</w:t>
            </w:r>
          </w:p>
        </w:tc>
        <w:tc>
          <w:tcPr>
            <w:tcW w:w="1089"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p>
        </w:tc>
        <w:tc>
          <w:tcPr>
            <w:tcW w:w="1512"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ind w:left="-121" w:right="-56"/>
              <w:jc w:val="center"/>
              <w:rPr>
                <w:rFonts w:ascii="Arial" w:hAnsi="Arial"/>
                <w:sz w:val="20"/>
                <w:szCs w:val="20"/>
                <w:lang w:bidi="gu-IN"/>
              </w:rPr>
            </w:pP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Total Gas Consumption (MMSCM)</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333.868</w:t>
            </w:r>
          </w:p>
        </w:tc>
        <w:tc>
          <w:tcPr>
            <w:tcW w:w="1089"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jc w:val="center"/>
              <w:rPr>
                <w:rFonts w:ascii="Arial" w:hAnsi="Arial"/>
                <w:sz w:val="20"/>
                <w:szCs w:val="20"/>
                <w:lang w:bidi="gu-IN"/>
              </w:rPr>
            </w:pPr>
            <w:r w:rsidRPr="0070639E">
              <w:rPr>
                <w:rFonts w:ascii="Arial" w:hAnsi="Arial"/>
                <w:sz w:val="20"/>
                <w:szCs w:val="20"/>
                <w:lang w:bidi="gu-IN"/>
              </w:rPr>
              <w:t>262.841</w:t>
            </w:r>
          </w:p>
        </w:tc>
        <w:tc>
          <w:tcPr>
            <w:tcW w:w="1089" w:type="dxa"/>
            <w:tcBorders>
              <w:top w:val="nil"/>
              <w:left w:val="nil"/>
              <w:bottom w:val="single" w:sz="4" w:space="0" w:color="auto"/>
              <w:right w:val="single" w:sz="4" w:space="0" w:color="auto"/>
            </w:tcBorders>
            <w:vAlign w:val="center"/>
          </w:tcPr>
          <w:p w:rsidR="001B73D0" w:rsidRPr="0070639E" w:rsidDel="00CA512B" w:rsidRDefault="00187BDD" w:rsidP="00356276">
            <w:pPr>
              <w:spacing w:line="240" w:lineRule="auto"/>
              <w:jc w:val="center"/>
              <w:rPr>
                <w:rFonts w:ascii="Arial" w:hAnsi="Arial"/>
                <w:sz w:val="20"/>
                <w:szCs w:val="20"/>
                <w:lang w:bidi="gu-IN"/>
              </w:rPr>
            </w:pPr>
            <w:r w:rsidRPr="0070639E">
              <w:rPr>
                <w:rFonts w:ascii="Arial" w:hAnsi="Arial"/>
                <w:sz w:val="20"/>
                <w:szCs w:val="20"/>
                <w:lang w:bidi="gu-IN"/>
              </w:rPr>
              <w:t>487.92</w:t>
            </w:r>
          </w:p>
        </w:tc>
        <w:tc>
          <w:tcPr>
            <w:tcW w:w="1512" w:type="dxa"/>
            <w:tcBorders>
              <w:top w:val="nil"/>
              <w:left w:val="nil"/>
              <w:bottom w:val="single" w:sz="4" w:space="0" w:color="auto"/>
              <w:right w:val="single" w:sz="4" w:space="0" w:color="auto"/>
            </w:tcBorders>
            <w:vAlign w:val="center"/>
          </w:tcPr>
          <w:p w:rsidR="001B73D0" w:rsidRPr="0070639E" w:rsidDel="00CA512B" w:rsidRDefault="00187BDD" w:rsidP="00356276">
            <w:pPr>
              <w:spacing w:line="240" w:lineRule="auto"/>
              <w:jc w:val="center"/>
              <w:rPr>
                <w:rFonts w:ascii="Arial" w:hAnsi="Arial"/>
                <w:sz w:val="20"/>
                <w:szCs w:val="20"/>
                <w:lang w:bidi="gu-IN"/>
              </w:rPr>
            </w:pPr>
            <w:r w:rsidRPr="0070639E">
              <w:rPr>
                <w:rFonts w:ascii="Arial" w:hAnsi="Arial"/>
                <w:sz w:val="20"/>
                <w:szCs w:val="20"/>
                <w:lang w:bidi="gu-IN"/>
              </w:rPr>
              <w:t>489.26</w:t>
            </w: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Total Gas Cost (Rs. Crore)</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464.40</w:t>
            </w:r>
          </w:p>
        </w:tc>
        <w:tc>
          <w:tcPr>
            <w:tcW w:w="1089" w:type="dxa"/>
            <w:tcBorders>
              <w:top w:val="nil"/>
              <w:left w:val="nil"/>
              <w:bottom w:val="single" w:sz="4" w:space="0" w:color="auto"/>
              <w:right w:val="single" w:sz="4" w:space="0" w:color="auto"/>
            </w:tcBorders>
            <w:vAlign w:val="center"/>
          </w:tcPr>
          <w:p w:rsidR="001B73D0" w:rsidRPr="0070639E" w:rsidDel="00CA512B" w:rsidRDefault="001B73D0" w:rsidP="00356276">
            <w:pPr>
              <w:spacing w:line="240" w:lineRule="auto"/>
              <w:jc w:val="center"/>
              <w:rPr>
                <w:rFonts w:ascii="Arial" w:hAnsi="Arial"/>
                <w:sz w:val="20"/>
                <w:szCs w:val="20"/>
                <w:lang w:bidi="gu-IN"/>
              </w:rPr>
            </w:pPr>
            <w:r w:rsidRPr="0070639E">
              <w:rPr>
                <w:rFonts w:ascii="Arial" w:hAnsi="Arial"/>
                <w:sz w:val="20"/>
                <w:szCs w:val="20"/>
                <w:lang w:bidi="gu-IN"/>
              </w:rPr>
              <w:t>364.395</w:t>
            </w:r>
          </w:p>
        </w:tc>
        <w:tc>
          <w:tcPr>
            <w:tcW w:w="1089" w:type="dxa"/>
            <w:tcBorders>
              <w:top w:val="nil"/>
              <w:left w:val="nil"/>
              <w:bottom w:val="single" w:sz="4" w:space="0" w:color="auto"/>
              <w:right w:val="single" w:sz="4" w:space="0" w:color="auto"/>
            </w:tcBorders>
            <w:vAlign w:val="center"/>
          </w:tcPr>
          <w:p w:rsidR="001B73D0" w:rsidRPr="0070639E" w:rsidDel="00CA512B" w:rsidRDefault="00187BDD" w:rsidP="00356276">
            <w:pPr>
              <w:spacing w:line="240" w:lineRule="auto"/>
              <w:jc w:val="center"/>
              <w:rPr>
                <w:rFonts w:ascii="Arial" w:hAnsi="Arial"/>
                <w:sz w:val="20"/>
                <w:szCs w:val="20"/>
                <w:lang w:bidi="gu-IN"/>
              </w:rPr>
            </w:pPr>
            <w:r w:rsidRPr="0070639E">
              <w:rPr>
                <w:rFonts w:ascii="Arial" w:hAnsi="Arial"/>
                <w:sz w:val="20"/>
                <w:szCs w:val="20"/>
                <w:lang w:bidi="gu-IN"/>
              </w:rPr>
              <w:t>680.07</w:t>
            </w:r>
          </w:p>
        </w:tc>
        <w:tc>
          <w:tcPr>
            <w:tcW w:w="1512" w:type="dxa"/>
            <w:tcBorders>
              <w:top w:val="nil"/>
              <w:left w:val="nil"/>
              <w:bottom w:val="single" w:sz="4" w:space="0" w:color="auto"/>
              <w:right w:val="single" w:sz="4" w:space="0" w:color="auto"/>
            </w:tcBorders>
            <w:vAlign w:val="center"/>
          </w:tcPr>
          <w:p w:rsidR="001B73D0" w:rsidRPr="0070639E" w:rsidDel="00CA512B" w:rsidRDefault="00187BDD" w:rsidP="00356276">
            <w:pPr>
              <w:spacing w:line="240" w:lineRule="auto"/>
              <w:jc w:val="center"/>
              <w:rPr>
                <w:rFonts w:ascii="Arial" w:hAnsi="Arial"/>
                <w:sz w:val="20"/>
                <w:szCs w:val="20"/>
                <w:lang w:bidi="gu-IN"/>
              </w:rPr>
            </w:pPr>
            <w:r w:rsidRPr="0070639E">
              <w:rPr>
                <w:rFonts w:ascii="Arial" w:hAnsi="Arial"/>
                <w:sz w:val="20"/>
                <w:szCs w:val="20"/>
                <w:lang w:bidi="gu-IN"/>
              </w:rPr>
              <w:t>681.93</w:t>
            </w: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HSD Consumption (kL)</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89.72</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20.44</w:t>
            </w:r>
          </w:p>
        </w:tc>
        <w:tc>
          <w:tcPr>
            <w:tcW w:w="1089" w:type="dxa"/>
            <w:tcBorders>
              <w:top w:val="nil"/>
              <w:left w:val="nil"/>
              <w:bottom w:val="single" w:sz="4" w:space="0" w:color="auto"/>
              <w:right w:val="single" w:sz="4" w:space="0" w:color="auto"/>
            </w:tcBorders>
            <w:vAlign w:val="center"/>
          </w:tcPr>
          <w:p w:rsidR="001B73D0" w:rsidRPr="0070639E" w:rsidRDefault="007262D7" w:rsidP="00187BDD">
            <w:pPr>
              <w:spacing w:line="240" w:lineRule="auto"/>
              <w:ind w:left="-121" w:right="-56"/>
              <w:jc w:val="center"/>
              <w:rPr>
                <w:rFonts w:ascii="Arial" w:hAnsi="Arial"/>
                <w:sz w:val="20"/>
                <w:szCs w:val="20"/>
                <w:lang w:bidi="gu-IN"/>
              </w:rPr>
            </w:pPr>
            <w:r w:rsidRPr="0070639E">
              <w:rPr>
                <w:rFonts w:ascii="Arial" w:hAnsi="Arial"/>
                <w:sz w:val="20"/>
                <w:szCs w:val="20"/>
                <w:lang w:bidi="gu-IN"/>
              </w:rPr>
              <w:t>176</w:t>
            </w:r>
            <w:r w:rsidR="00187BDD" w:rsidRPr="0070639E">
              <w:rPr>
                <w:rFonts w:ascii="Arial" w:hAnsi="Arial"/>
                <w:sz w:val="20"/>
                <w:szCs w:val="20"/>
                <w:lang w:bidi="gu-IN"/>
              </w:rPr>
              <w:t>258</w:t>
            </w:r>
          </w:p>
        </w:tc>
        <w:tc>
          <w:tcPr>
            <w:tcW w:w="1512" w:type="dxa"/>
            <w:tcBorders>
              <w:top w:val="nil"/>
              <w:left w:val="nil"/>
              <w:bottom w:val="single" w:sz="4" w:space="0" w:color="auto"/>
              <w:right w:val="single" w:sz="4" w:space="0" w:color="auto"/>
            </w:tcBorders>
            <w:vAlign w:val="center"/>
          </w:tcPr>
          <w:p w:rsidR="001B73D0" w:rsidRPr="0070639E" w:rsidRDefault="007262D7"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176740</w:t>
            </w: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lastRenderedPageBreak/>
              <w:t>Rate Rs./kL</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28903.38</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28897.18</w:t>
            </w:r>
          </w:p>
        </w:tc>
        <w:tc>
          <w:tcPr>
            <w:tcW w:w="1089" w:type="dxa"/>
            <w:tcBorders>
              <w:top w:val="nil"/>
              <w:left w:val="nil"/>
              <w:bottom w:val="single" w:sz="4" w:space="0" w:color="auto"/>
              <w:right w:val="single" w:sz="4" w:space="0" w:color="auto"/>
            </w:tcBorders>
            <w:vAlign w:val="center"/>
          </w:tcPr>
          <w:p w:rsidR="001B73D0" w:rsidRPr="0070639E" w:rsidRDefault="00187BDD"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61000.00</w:t>
            </w:r>
          </w:p>
        </w:tc>
        <w:tc>
          <w:tcPr>
            <w:tcW w:w="1512" w:type="dxa"/>
            <w:tcBorders>
              <w:top w:val="nil"/>
              <w:left w:val="nil"/>
              <w:bottom w:val="single" w:sz="4" w:space="0" w:color="auto"/>
              <w:right w:val="single" w:sz="4" w:space="0" w:color="auto"/>
            </w:tcBorders>
            <w:vAlign w:val="center"/>
          </w:tcPr>
          <w:p w:rsidR="001B73D0" w:rsidRPr="0070639E" w:rsidRDefault="00187BDD"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61000.00</w:t>
            </w: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 xml:space="preserve">Cost of HSD </w:t>
            </w:r>
          </w:p>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(Rs. Crore)</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Del="00CA512B"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0.25</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0.06</w:t>
            </w:r>
          </w:p>
        </w:tc>
        <w:tc>
          <w:tcPr>
            <w:tcW w:w="1089" w:type="dxa"/>
            <w:tcBorders>
              <w:top w:val="nil"/>
              <w:left w:val="nil"/>
              <w:bottom w:val="single" w:sz="4" w:space="0" w:color="auto"/>
              <w:right w:val="single" w:sz="4" w:space="0" w:color="auto"/>
            </w:tcBorders>
            <w:vAlign w:val="center"/>
          </w:tcPr>
          <w:p w:rsidR="001B73D0" w:rsidRPr="0070639E" w:rsidRDefault="00187BDD"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1075.17</w:t>
            </w:r>
          </w:p>
        </w:tc>
        <w:tc>
          <w:tcPr>
            <w:tcW w:w="1512" w:type="dxa"/>
            <w:tcBorders>
              <w:top w:val="nil"/>
              <w:left w:val="nil"/>
              <w:bottom w:val="single" w:sz="4" w:space="0" w:color="auto"/>
              <w:right w:val="single" w:sz="4" w:space="0" w:color="auto"/>
            </w:tcBorders>
            <w:vAlign w:val="center"/>
          </w:tcPr>
          <w:p w:rsidR="001B73D0" w:rsidRPr="0070639E" w:rsidRDefault="00187BDD" w:rsidP="00356276">
            <w:pPr>
              <w:spacing w:line="240" w:lineRule="auto"/>
              <w:ind w:left="-121" w:right="-56"/>
              <w:jc w:val="center"/>
              <w:rPr>
                <w:rFonts w:ascii="Arial" w:hAnsi="Arial"/>
                <w:sz w:val="20"/>
                <w:szCs w:val="20"/>
                <w:lang w:bidi="gu-IN"/>
              </w:rPr>
            </w:pPr>
            <w:r w:rsidRPr="0070639E">
              <w:rPr>
                <w:rFonts w:ascii="Arial" w:hAnsi="Arial"/>
                <w:sz w:val="20"/>
                <w:szCs w:val="20"/>
                <w:lang w:bidi="gu-IN"/>
              </w:rPr>
              <w:t>1078.11</w:t>
            </w: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sz w:val="20"/>
                <w:szCs w:val="20"/>
                <w:lang w:bidi="gu-IN"/>
              </w:rPr>
            </w:pPr>
            <w:r w:rsidRPr="0070639E">
              <w:rPr>
                <w:rFonts w:ascii="Arial" w:hAnsi="Arial"/>
                <w:sz w:val="20"/>
                <w:szCs w:val="20"/>
                <w:lang w:bidi="gu-IN"/>
              </w:rPr>
              <w:t>Total Fuel Cost (Rs. Crore)</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187BDD">
            <w:pPr>
              <w:spacing w:line="240" w:lineRule="auto"/>
              <w:ind w:left="-121" w:right="-56"/>
              <w:jc w:val="center"/>
              <w:rPr>
                <w:rFonts w:ascii="Arial" w:hAnsi="Arial"/>
                <w:sz w:val="20"/>
                <w:szCs w:val="20"/>
                <w:lang w:bidi="gu-IN"/>
              </w:rPr>
            </w:pPr>
            <w:r w:rsidRPr="0070639E">
              <w:rPr>
                <w:rFonts w:ascii="Arial" w:hAnsi="Arial"/>
                <w:sz w:val="20"/>
                <w:szCs w:val="20"/>
                <w:lang w:bidi="gu-IN"/>
              </w:rPr>
              <w:t>464.</w:t>
            </w:r>
            <w:r w:rsidR="00187BDD" w:rsidRPr="0070639E">
              <w:rPr>
                <w:rFonts w:ascii="Arial" w:hAnsi="Arial"/>
                <w:sz w:val="20"/>
                <w:szCs w:val="20"/>
                <w:lang w:bidi="gu-IN"/>
              </w:rPr>
              <w:t>40</w:t>
            </w:r>
          </w:p>
        </w:tc>
        <w:tc>
          <w:tcPr>
            <w:tcW w:w="1089" w:type="dxa"/>
            <w:tcBorders>
              <w:top w:val="nil"/>
              <w:left w:val="nil"/>
              <w:bottom w:val="single" w:sz="4" w:space="0" w:color="auto"/>
              <w:right w:val="single" w:sz="4" w:space="0" w:color="auto"/>
            </w:tcBorders>
            <w:vAlign w:val="center"/>
          </w:tcPr>
          <w:p w:rsidR="001B73D0" w:rsidRPr="0070639E" w:rsidRDefault="001B73D0" w:rsidP="00187BDD">
            <w:pPr>
              <w:spacing w:line="240" w:lineRule="auto"/>
              <w:jc w:val="center"/>
              <w:rPr>
                <w:rFonts w:ascii="Arial" w:hAnsi="Arial"/>
                <w:sz w:val="20"/>
                <w:szCs w:val="20"/>
                <w:lang w:bidi="gu-IN"/>
              </w:rPr>
            </w:pPr>
            <w:r w:rsidRPr="0070639E">
              <w:rPr>
                <w:rFonts w:ascii="Arial" w:hAnsi="Arial"/>
                <w:sz w:val="20"/>
                <w:szCs w:val="20"/>
                <w:lang w:bidi="gu-IN"/>
              </w:rPr>
              <w:t>346.</w:t>
            </w:r>
            <w:r w:rsidR="007262D7" w:rsidRPr="0070639E">
              <w:rPr>
                <w:rFonts w:ascii="Arial" w:hAnsi="Arial"/>
                <w:sz w:val="20"/>
                <w:szCs w:val="20"/>
                <w:lang w:bidi="gu-IN"/>
              </w:rPr>
              <w:t>4</w:t>
            </w:r>
            <w:r w:rsidR="00187BDD" w:rsidRPr="0070639E">
              <w:rPr>
                <w:rFonts w:ascii="Arial" w:hAnsi="Arial"/>
                <w:sz w:val="20"/>
                <w:szCs w:val="20"/>
                <w:lang w:bidi="gu-IN"/>
              </w:rPr>
              <w:t>0</w:t>
            </w:r>
          </w:p>
        </w:tc>
        <w:tc>
          <w:tcPr>
            <w:tcW w:w="1089" w:type="dxa"/>
            <w:tcBorders>
              <w:top w:val="nil"/>
              <w:left w:val="nil"/>
              <w:bottom w:val="single" w:sz="4" w:space="0" w:color="auto"/>
              <w:right w:val="single" w:sz="4" w:space="0" w:color="auto"/>
            </w:tcBorders>
            <w:vAlign w:val="center"/>
          </w:tcPr>
          <w:p w:rsidR="001B73D0" w:rsidRPr="0070639E" w:rsidRDefault="00BC764A" w:rsidP="00356276">
            <w:pPr>
              <w:spacing w:line="240" w:lineRule="auto"/>
              <w:jc w:val="center"/>
              <w:rPr>
                <w:rFonts w:ascii="Arial" w:hAnsi="Arial"/>
                <w:sz w:val="20"/>
                <w:szCs w:val="20"/>
                <w:lang w:bidi="gu-IN"/>
              </w:rPr>
            </w:pPr>
            <w:r w:rsidRPr="0070639E">
              <w:rPr>
                <w:rFonts w:ascii="Arial" w:hAnsi="Arial"/>
                <w:sz w:val="20"/>
                <w:szCs w:val="20"/>
                <w:lang w:bidi="gu-IN"/>
              </w:rPr>
              <w:t>680.07</w:t>
            </w:r>
          </w:p>
        </w:tc>
        <w:tc>
          <w:tcPr>
            <w:tcW w:w="1512" w:type="dxa"/>
            <w:tcBorders>
              <w:top w:val="nil"/>
              <w:left w:val="nil"/>
              <w:bottom w:val="single" w:sz="4" w:space="0" w:color="auto"/>
              <w:right w:val="single" w:sz="4" w:space="0" w:color="auto"/>
            </w:tcBorders>
            <w:vAlign w:val="center"/>
          </w:tcPr>
          <w:p w:rsidR="001B73D0" w:rsidRPr="0070639E" w:rsidRDefault="00BC764A" w:rsidP="00356276">
            <w:pPr>
              <w:spacing w:line="240" w:lineRule="auto"/>
              <w:jc w:val="center"/>
              <w:rPr>
                <w:rFonts w:ascii="Arial" w:hAnsi="Arial"/>
                <w:sz w:val="20"/>
                <w:szCs w:val="20"/>
                <w:lang w:bidi="gu-IN"/>
              </w:rPr>
            </w:pPr>
            <w:r w:rsidRPr="0070639E">
              <w:rPr>
                <w:rFonts w:ascii="Arial" w:hAnsi="Arial"/>
                <w:sz w:val="20"/>
                <w:szCs w:val="20"/>
                <w:lang w:bidi="gu-IN"/>
              </w:rPr>
              <w:t>681.93</w:t>
            </w:r>
          </w:p>
        </w:tc>
      </w:tr>
      <w:tr w:rsidR="001B73D0" w:rsidRPr="001B73D0" w:rsidTr="002077FB">
        <w:trPr>
          <w:trHeight w:val="568"/>
        </w:trPr>
        <w:tc>
          <w:tcPr>
            <w:tcW w:w="2880" w:type="dxa"/>
            <w:tcBorders>
              <w:top w:val="nil"/>
              <w:left w:val="single" w:sz="4" w:space="0" w:color="auto"/>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91" w:right="-120"/>
              <w:jc w:val="left"/>
              <w:rPr>
                <w:rFonts w:ascii="Arial" w:hAnsi="Arial"/>
                <w:b/>
                <w:bCs/>
                <w:sz w:val="20"/>
                <w:szCs w:val="20"/>
                <w:lang w:bidi="gu-IN"/>
              </w:rPr>
            </w:pPr>
            <w:r w:rsidRPr="0070639E">
              <w:rPr>
                <w:rFonts w:ascii="Arial" w:hAnsi="Arial"/>
                <w:b/>
                <w:bCs/>
                <w:sz w:val="20"/>
                <w:szCs w:val="20"/>
                <w:lang w:bidi="gu-IN"/>
              </w:rPr>
              <w:t>Variable Cost in Rs/kwh</w:t>
            </w:r>
          </w:p>
        </w:tc>
        <w:tc>
          <w:tcPr>
            <w:tcW w:w="1260" w:type="dxa"/>
            <w:tcBorders>
              <w:top w:val="nil"/>
              <w:left w:val="nil"/>
              <w:bottom w:val="single" w:sz="4" w:space="0" w:color="auto"/>
              <w:right w:val="single" w:sz="4" w:space="0" w:color="auto"/>
            </w:tcBorders>
            <w:shd w:val="clear" w:color="auto" w:fill="auto"/>
            <w:noWrap/>
            <w:vAlign w:val="center"/>
          </w:tcPr>
          <w:p w:rsidR="001B73D0" w:rsidRPr="0070639E" w:rsidRDefault="001B73D0" w:rsidP="00356276">
            <w:pPr>
              <w:spacing w:line="240" w:lineRule="auto"/>
              <w:ind w:left="-121" w:right="-56"/>
              <w:jc w:val="center"/>
              <w:rPr>
                <w:rFonts w:ascii="Arial" w:hAnsi="Arial"/>
                <w:b/>
                <w:bCs/>
                <w:sz w:val="20"/>
                <w:szCs w:val="20"/>
                <w:lang w:bidi="gu-IN"/>
              </w:rPr>
            </w:pPr>
            <w:r w:rsidRPr="0070639E">
              <w:rPr>
                <w:rFonts w:ascii="Arial" w:hAnsi="Arial"/>
                <w:b/>
                <w:bCs/>
                <w:sz w:val="20"/>
                <w:szCs w:val="20"/>
                <w:lang w:bidi="gu-IN"/>
              </w:rPr>
              <w:t>3.66</w:t>
            </w:r>
          </w:p>
        </w:tc>
        <w:tc>
          <w:tcPr>
            <w:tcW w:w="1089" w:type="dxa"/>
            <w:tcBorders>
              <w:top w:val="nil"/>
              <w:left w:val="nil"/>
              <w:bottom w:val="single" w:sz="4" w:space="0" w:color="auto"/>
              <w:right w:val="single" w:sz="4" w:space="0" w:color="auto"/>
            </w:tcBorders>
            <w:vAlign w:val="center"/>
          </w:tcPr>
          <w:p w:rsidR="001B73D0" w:rsidRPr="0070639E" w:rsidRDefault="001B73D0" w:rsidP="00356276">
            <w:pPr>
              <w:spacing w:line="240" w:lineRule="auto"/>
              <w:jc w:val="center"/>
              <w:rPr>
                <w:rFonts w:ascii="Arial" w:hAnsi="Arial"/>
                <w:b/>
                <w:bCs/>
                <w:sz w:val="20"/>
                <w:szCs w:val="20"/>
                <w:lang w:bidi="gu-IN"/>
              </w:rPr>
            </w:pPr>
            <w:r w:rsidRPr="0070639E">
              <w:rPr>
                <w:rFonts w:ascii="Arial" w:hAnsi="Arial"/>
                <w:b/>
                <w:bCs/>
                <w:sz w:val="20"/>
                <w:szCs w:val="20"/>
                <w:lang w:bidi="gu-IN"/>
              </w:rPr>
              <w:t>3.62</w:t>
            </w:r>
          </w:p>
        </w:tc>
        <w:tc>
          <w:tcPr>
            <w:tcW w:w="1089" w:type="dxa"/>
            <w:tcBorders>
              <w:top w:val="nil"/>
              <w:left w:val="nil"/>
              <w:bottom w:val="single" w:sz="4" w:space="0" w:color="auto"/>
              <w:right w:val="single" w:sz="4" w:space="0" w:color="auto"/>
            </w:tcBorders>
            <w:vAlign w:val="center"/>
          </w:tcPr>
          <w:p w:rsidR="001B73D0" w:rsidRPr="0070639E" w:rsidRDefault="00BC764A" w:rsidP="00356276">
            <w:pPr>
              <w:spacing w:line="240" w:lineRule="auto"/>
              <w:jc w:val="center"/>
              <w:rPr>
                <w:rFonts w:ascii="Arial" w:hAnsi="Arial"/>
                <w:b/>
                <w:bCs/>
                <w:sz w:val="20"/>
                <w:szCs w:val="20"/>
                <w:lang w:bidi="gu-IN"/>
              </w:rPr>
            </w:pPr>
            <w:r w:rsidRPr="0070639E">
              <w:rPr>
                <w:rFonts w:ascii="Arial" w:hAnsi="Arial"/>
                <w:b/>
                <w:bCs/>
                <w:sz w:val="20"/>
                <w:szCs w:val="20"/>
                <w:lang w:bidi="gu-IN"/>
              </w:rPr>
              <w:t>3.73</w:t>
            </w:r>
          </w:p>
        </w:tc>
        <w:tc>
          <w:tcPr>
            <w:tcW w:w="1512" w:type="dxa"/>
            <w:tcBorders>
              <w:top w:val="nil"/>
              <w:left w:val="nil"/>
              <w:bottom w:val="single" w:sz="4" w:space="0" w:color="auto"/>
              <w:right w:val="single" w:sz="4" w:space="0" w:color="auto"/>
            </w:tcBorders>
            <w:vAlign w:val="center"/>
          </w:tcPr>
          <w:p w:rsidR="001B73D0" w:rsidRPr="0070639E" w:rsidRDefault="00BC764A" w:rsidP="00356276">
            <w:pPr>
              <w:spacing w:line="240" w:lineRule="auto"/>
              <w:jc w:val="center"/>
              <w:rPr>
                <w:rFonts w:ascii="Arial" w:hAnsi="Arial"/>
                <w:b/>
                <w:bCs/>
                <w:sz w:val="20"/>
                <w:szCs w:val="20"/>
                <w:lang w:bidi="gu-IN"/>
              </w:rPr>
            </w:pPr>
            <w:r w:rsidRPr="0070639E">
              <w:rPr>
                <w:rFonts w:ascii="Arial" w:hAnsi="Arial"/>
                <w:b/>
                <w:bCs/>
                <w:sz w:val="20"/>
                <w:szCs w:val="20"/>
                <w:lang w:bidi="gu-IN"/>
              </w:rPr>
              <w:t>3.73</w:t>
            </w:r>
          </w:p>
        </w:tc>
      </w:tr>
    </w:tbl>
    <w:p w:rsidR="00AC6E71" w:rsidRDefault="00AC6E71" w:rsidP="00C43BF7">
      <w:pPr>
        <w:rPr>
          <w:sz w:val="22"/>
        </w:rPr>
      </w:pPr>
    </w:p>
    <w:p w:rsidR="00C43BF7" w:rsidRDefault="00F57804" w:rsidP="00C43BF7">
      <w:pPr>
        <w:rPr>
          <w:sz w:val="22"/>
        </w:rPr>
      </w:pPr>
      <w:r w:rsidRPr="00533EB7">
        <w:rPr>
          <w:b/>
          <w:bCs/>
          <w:sz w:val="22"/>
        </w:rPr>
        <w:t>Note:</w:t>
      </w:r>
      <w:r>
        <w:rPr>
          <w:sz w:val="22"/>
        </w:rPr>
        <w:t xml:space="preserve"> </w:t>
      </w:r>
      <w:r w:rsidR="007E192E">
        <w:rPr>
          <w:sz w:val="22"/>
        </w:rPr>
        <w:t>No</w:t>
      </w:r>
      <w:r>
        <w:rPr>
          <w:sz w:val="22"/>
        </w:rPr>
        <w:t xml:space="preserve"> consumption of liquid fuel has been considered </w:t>
      </w:r>
      <w:r w:rsidR="008C6EE4">
        <w:rPr>
          <w:sz w:val="22"/>
        </w:rPr>
        <w:t xml:space="preserve">in calculation of fuel charges </w:t>
      </w:r>
      <w:r w:rsidR="007E192E">
        <w:rPr>
          <w:sz w:val="22"/>
        </w:rPr>
        <w:t>in</w:t>
      </w:r>
      <w:r w:rsidR="009F2861">
        <w:rPr>
          <w:sz w:val="22"/>
        </w:rPr>
        <w:t xml:space="preserve"> the above table</w:t>
      </w:r>
      <w:r w:rsidR="00647248">
        <w:rPr>
          <w:sz w:val="22"/>
        </w:rPr>
        <w:t xml:space="preserve"> from FY 201</w:t>
      </w:r>
      <w:r w:rsidR="004536E7">
        <w:rPr>
          <w:sz w:val="22"/>
        </w:rPr>
        <w:t>2</w:t>
      </w:r>
      <w:r w:rsidR="00647248">
        <w:rPr>
          <w:sz w:val="22"/>
        </w:rPr>
        <w:t>-1</w:t>
      </w:r>
      <w:r w:rsidR="004536E7">
        <w:rPr>
          <w:sz w:val="22"/>
        </w:rPr>
        <w:t>3</w:t>
      </w:r>
      <w:r w:rsidR="00647248">
        <w:rPr>
          <w:sz w:val="22"/>
        </w:rPr>
        <w:t xml:space="preserve"> to FY 2014-15</w:t>
      </w:r>
      <w:r w:rsidR="00F03265">
        <w:rPr>
          <w:sz w:val="22"/>
        </w:rPr>
        <w:t xml:space="preserve"> and </w:t>
      </w:r>
      <w:r w:rsidR="0067666D">
        <w:rPr>
          <w:sz w:val="22"/>
        </w:rPr>
        <w:t>for FY 2015-16</w:t>
      </w:r>
      <w:r w:rsidR="008761FA">
        <w:rPr>
          <w:sz w:val="22"/>
        </w:rPr>
        <w:t xml:space="preserve">. </w:t>
      </w:r>
      <w:r w:rsidR="007E192E">
        <w:rPr>
          <w:sz w:val="22"/>
        </w:rPr>
        <w:t xml:space="preserve"> </w:t>
      </w:r>
      <w:r w:rsidR="008C6EE4">
        <w:rPr>
          <w:sz w:val="22"/>
        </w:rPr>
        <w:t>However,</w:t>
      </w:r>
      <w:r w:rsidR="00AC14C8">
        <w:rPr>
          <w:sz w:val="22"/>
        </w:rPr>
        <w:t xml:space="preserve"> </w:t>
      </w:r>
      <w:r w:rsidR="007E192E">
        <w:rPr>
          <w:sz w:val="22"/>
        </w:rPr>
        <w:t>the station will be required to stock the liquid fuel for contingency</w:t>
      </w:r>
      <w:r w:rsidR="008761FA">
        <w:rPr>
          <w:sz w:val="22"/>
        </w:rPr>
        <w:t>, the</w:t>
      </w:r>
      <w:r w:rsidR="008C6EE4">
        <w:rPr>
          <w:sz w:val="22"/>
        </w:rPr>
        <w:t xml:space="preserve">refore stock of 15 days </w:t>
      </w:r>
      <w:r w:rsidR="007E192E">
        <w:rPr>
          <w:sz w:val="22"/>
        </w:rPr>
        <w:t xml:space="preserve">of </w:t>
      </w:r>
      <w:r w:rsidR="008761FA">
        <w:rPr>
          <w:sz w:val="22"/>
        </w:rPr>
        <w:t>liquid fuel has been</w:t>
      </w:r>
      <w:r w:rsidR="00AC14C8">
        <w:rPr>
          <w:sz w:val="22"/>
        </w:rPr>
        <w:t xml:space="preserve"> </w:t>
      </w:r>
      <w:r w:rsidR="008761FA">
        <w:rPr>
          <w:sz w:val="22"/>
        </w:rPr>
        <w:t>considered f</w:t>
      </w:r>
      <w:r>
        <w:rPr>
          <w:sz w:val="22"/>
        </w:rPr>
        <w:t xml:space="preserve">or </w:t>
      </w:r>
      <w:r w:rsidR="008761FA">
        <w:rPr>
          <w:sz w:val="22"/>
        </w:rPr>
        <w:t xml:space="preserve">calculation </w:t>
      </w:r>
      <w:r w:rsidR="00B150F8">
        <w:rPr>
          <w:sz w:val="22"/>
        </w:rPr>
        <w:t>of Interest</w:t>
      </w:r>
      <w:r>
        <w:rPr>
          <w:sz w:val="22"/>
        </w:rPr>
        <w:t xml:space="preserve"> on Working Capital</w:t>
      </w:r>
      <w:r w:rsidR="00AC14C8">
        <w:rPr>
          <w:sz w:val="22"/>
        </w:rPr>
        <w:t>.</w:t>
      </w:r>
    </w:p>
    <w:p w:rsidR="00C43BF7" w:rsidRDefault="00142DD9" w:rsidP="00C43BF7">
      <w:pPr>
        <w:rPr>
          <w:sz w:val="22"/>
        </w:rPr>
      </w:pPr>
      <w:r>
        <w:rPr>
          <w:sz w:val="22"/>
        </w:rPr>
        <w:t xml:space="preserve">The copy of computation of variable cost for FY </w:t>
      </w:r>
      <w:r w:rsidR="00A11234">
        <w:rPr>
          <w:sz w:val="22"/>
        </w:rPr>
        <w:t>2015-16</w:t>
      </w:r>
      <w:r>
        <w:rPr>
          <w:sz w:val="22"/>
        </w:rPr>
        <w:t xml:space="preserve"> is enclosed as </w:t>
      </w:r>
      <w:r w:rsidRPr="00142DD9">
        <w:rPr>
          <w:b/>
          <w:sz w:val="22"/>
        </w:rPr>
        <w:t>Annexure-</w:t>
      </w:r>
      <w:r w:rsidR="00A11234">
        <w:rPr>
          <w:b/>
          <w:sz w:val="22"/>
        </w:rPr>
        <w:t>A</w:t>
      </w:r>
      <w:r w:rsidR="00F57849">
        <w:rPr>
          <w:sz w:val="22"/>
        </w:rPr>
        <w:t xml:space="preserve"> and </w:t>
      </w:r>
      <w:r w:rsidR="00F57849" w:rsidRPr="00F57849">
        <w:rPr>
          <w:b/>
          <w:sz w:val="22"/>
        </w:rPr>
        <w:t>Annexure-B</w:t>
      </w:r>
      <w:r w:rsidR="00F57849">
        <w:rPr>
          <w:sz w:val="22"/>
        </w:rPr>
        <w:t xml:space="preserve"> for </w:t>
      </w:r>
      <w:r w:rsidR="00F57849" w:rsidRPr="00F57849">
        <w:rPr>
          <w:b/>
          <w:sz w:val="22"/>
        </w:rPr>
        <w:t>RPH</w:t>
      </w:r>
      <w:r w:rsidR="00F57849">
        <w:rPr>
          <w:sz w:val="22"/>
        </w:rPr>
        <w:t xml:space="preserve"> and </w:t>
      </w:r>
      <w:r w:rsidR="00F57849" w:rsidRPr="00F57849">
        <w:rPr>
          <w:b/>
          <w:sz w:val="22"/>
        </w:rPr>
        <w:t>GTPS</w:t>
      </w:r>
      <w:r w:rsidR="00F57849">
        <w:rPr>
          <w:sz w:val="22"/>
        </w:rPr>
        <w:t xml:space="preserve"> respectively.</w:t>
      </w:r>
    </w:p>
    <w:p w:rsidR="0015797C" w:rsidRDefault="0015797C" w:rsidP="0015797C">
      <w:pPr>
        <w:rPr>
          <w:sz w:val="22"/>
          <w:szCs w:val="22"/>
        </w:rPr>
      </w:pPr>
      <w:r>
        <w:rPr>
          <w:sz w:val="22"/>
          <w:szCs w:val="22"/>
        </w:rPr>
        <w:t>The recovery of energy charges shall be in accordance with the formula specified in Generation Tariff Regulations, 2011 which is reproduced as under:</w:t>
      </w:r>
    </w:p>
    <w:p w:rsidR="00377626" w:rsidRPr="007F1717" w:rsidRDefault="00377626" w:rsidP="0015797C">
      <w:pPr>
        <w:rPr>
          <w:rFonts w:ascii="Trebuchet MS" w:hAnsi="Trebuchet MS"/>
          <w:sz w:val="22"/>
          <w:szCs w:val="22"/>
        </w:rPr>
      </w:pPr>
    </w:p>
    <w:p w:rsidR="0015797C" w:rsidRPr="007F1717" w:rsidRDefault="0015797C" w:rsidP="0015797C">
      <w:pPr>
        <w:autoSpaceDE w:val="0"/>
        <w:autoSpaceDN w:val="0"/>
        <w:adjustRightInd w:val="0"/>
        <w:spacing w:line="240" w:lineRule="auto"/>
        <w:ind w:left="900"/>
        <w:rPr>
          <w:rFonts w:ascii="Trebuchet MS" w:hAnsi="Trebuchet MS"/>
          <w:b/>
          <w:bCs/>
          <w:i/>
          <w:sz w:val="22"/>
          <w:szCs w:val="22"/>
        </w:rPr>
      </w:pPr>
      <w:r w:rsidRPr="007F1717">
        <w:rPr>
          <w:rFonts w:ascii="Trebuchet MS" w:hAnsi="Trebuchet MS"/>
          <w:b/>
          <w:bCs/>
          <w:i/>
          <w:sz w:val="22"/>
          <w:szCs w:val="22"/>
        </w:rPr>
        <w:t>“7.18 Energy charge rate (ECR) in Rupees per kWh on ex-power plant basis shall be determined to three decimal places in accordance with the following formulae :</w:t>
      </w:r>
    </w:p>
    <w:p w:rsidR="00377626" w:rsidRPr="007F1717" w:rsidRDefault="00377626" w:rsidP="0015797C">
      <w:pPr>
        <w:autoSpaceDE w:val="0"/>
        <w:autoSpaceDN w:val="0"/>
        <w:adjustRightInd w:val="0"/>
        <w:spacing w:line="240" w:lineRule="auto"/>
        <w:ind w:left="900"/>
        <w:rPr>
          <w:rFonts w:ascii="Trebuchet MS" w:hAnsi="Trebuchet MS"/>
          <w:b/>
          <w:bCs/>
          <w:i/>
          <w:sz w:val="22"/>
          <w:szCs w:val="22"/>
        </w:rPr>
      </w:pPr>
    </w:p>
    <w:p w:rsidR="0072043E" w:rsidRPr="007F1717" w:rsidRDefault="0072043E" w:rsidP="0015797C">
      <w:pPr>
        <w:autoSpaceDE w:val="0"/>
        <w:autoSpaceDN w:val="0"/>
        <w:adjustRightInd w:val="0"/>
        <w:spacing w:line="240" w:lineRule="auto"/>
        <w:ind w:left="900"/>
        <w:rPr>
          <w:rFonts w:ascii="Trebuchet MS" w:hAnsi="Trebuchet MS"/>
          <w:b/>
          <w:bCs/>
          <w:i/>
          <w:sz w:val="22"/>
          <w:szCs w:val="22"/>
        </w:rPr>
      </w:pPr>
      <w:r w:rsidRPr="007F1717">
        <w:rPr>
          <w:rFonts w:ascii="Trebuchet MS" w:hAnsi="Trebuchet MS"/>
          <w:b/>
          <w:bCs/>
          <w:i/>
          <w:sz w:val="22"/>
          <w:szCs w:val="22"/>
        </w:rPr>
        <w:t>(a) For coal based stations</w:t>
      </w:r>
    </w:p>
    <w:p w:rsidR="006160AA" w:rsidRPr="007F1717" w:rsidRDefault="006160AA" w:rsidP="006160AA">
      <w:pPr>
        <w:autoSpaceDE w:val="0"/>
        <w:autoSpaceDN w:val="0"/>
        <w:adjustRightInd w:val="0"/>
        <w:spacing w:line="240" w:lineRule="auto"/>
        <w:ind w:left="720" w:firstLine="720"/>
        <w:jc w:val="left"/>
        <w:rPr>
          <w:rFonts w:ascii="Trebuchet MS" w:hAnsi="Trebuchet MS"/>
          <w:b/>
          <w:bCs/>
          <w:i/>
          <w:sz w:val="22"/>
          <w:szCs w:val="22"/>
        </w:rPr>
      </w:pPr>
      <w:r w:rsidRPr="007F1717">
        <w:rPr>
          <w:rFonts w:ascii="Trebuchet MS" w:hAnsi="Trebuchet MS"/>
          <w:b/>
          <w:bCs/>
          <w:i/>
          <w:sz w:val="22"/>
          <w:szCs w:val="22"/>
        </w:rPr>
        <w:t>ECR=( GHR-SFCxCVSF)x LPPF x100/{CVPF x (100 – AUX)}</w:t>
      </w:r>
    </w:p>
    <w:p w:rsidR="006160AA" w:rsidRPr="007F1717" w:rsidRDefault="006160AA" w:rsidP="0015797C">
      <w:pPr>
        <w:autoSpaceDE w:val="0"/>
        <w:autoSpaceDN w:val="0"/>
        <w:adjustRightInd w:val="0"/>
        <w:spacing w:line="240" w:lineRule="auto"/>
        <w:ind w:left="900"/>
        <w:rPr>
          <w:rFonts w:ascii="Trebuchet MS" w:hAnsi="Trebuchet MS"/>
          <w:b/>
          <w:bCs/>
          <w:i/>
          <w:sz w:val="22"/>
          <w:szCs w:val="22"/>
        </w:rPr>
      </w:pPr>
    </w:p>
    <w:p w:rsidR="0015797C" w:rsidRPr="007F1717" w:rsidRDefault="0015797C" w:rsidP="0015797C">
      <w:pPr>
        <w:autoSpaceDE w:val="0"/>
        <w:autoSpaceDN w:val="0"/>
        <w:adjustRightInd w:val="0"/>
        <w:spacing w:line="240" w:lineRule="auto"/>
        <w:ind w:firstLine="720"/>
        <w:jc w:val="left"/>
        <w:rPr>
          <w:rFonts w:ascii="Trebuchet MS" w:hAnsi="Trebuchet MS"/>
          <w:b/>
          <w:bCs/>
          <w:i/>
          <w:sz w:val="22"/>
          <w:szCs w:val="22"/>
        </w:rPr>
      </w:pPr>
      <w:r w:rsidRPr="007F1717">
        <w:rPr>
          <w:rFonts w:ascii="Trebuchet MS" w:hAnsi="Trebuchet MS"/>
          <w:b/>
          <w:bCs/>
          <w:i/>
          <w:sz w:val="22"/>
          <w:szCs w:val="22"/>
        </w:rPr>
        <w:t xml:space="preserve"> </w:t>
      </w:r>
      <w:r w:rsidR="00377626" w:rsidRPr="007F1717">
        <w:rPr>
          <w:rFonts w:ascii="Trebuchet MS" w:hAnsi="Trebuchet MS"/>
          <w:b/>
          <w:bCs/>
          <w:i/>
          <w:sz w:val="22"/>
          <w:szCs w:val="22"/>
        </w:rPr>
        <w:t xml:space="preserve"> </w:t>
      </w:r>
      <w:r w:rsidRPr="007F1717">
        <w:rPr>
          <w:rFonts w:ascii="Trebuchet MS" w:hAnsi="Trebuchet MS"/>
          <w:b/>
          <w:bCs/>
          <w:i/>
          <w:sz w:val="22"/>
          <w:szCs w:val="22"/>
        </w:rPr>
        <w:t>(b) For gas and liquid fuel based stations</w:t>
      </w:r>
    </w:p>
    <w:p w:rsidR="0015797C" w:rsidRPr="007F1717" w:rsidRDefault="0015797C" w:rsidP="0015797C">
      <w:pPr>
        <w:autoSpaceDE w:val="0"/>
        <w:autoSpaceDN w:val="0"/>
        <w:adjustRightInd w:val="0"/>
        <w:spacing w:line="240" w:lineRule="auto"/>
        <w:ind w:left="720" w:firstLine="720"/>
        <w:jc w:val="left"/>
        <w:rPr>
          <w:rFonts w:ascii="Trebuchet MS" w:hAnsi="Trebuchet MS"/>
          <w:b/>
          <w:bCs/>
          <w:i/>
          <w:sz w:val="22"/>
          <w:szCs w:val="22"/>
        </w:rPr>
      </w:pPr>
      <w:r w:rsidRPr="007F1717">
        <w:rPr>
          <w:rFonts w:ascii="Trebuchet MS" w:hAnsi="Trebuchet MS"/>
          <w:b/>
          <w:bCs/>
          <w:i/>
          <w:sz w:val="22"/>
          <w:szCs w:val="22"/>
        </w:rPr>
        <w:t>ECR = GHR x LPPF x 100 / {CVPF x (100 – AUX)}</w:t>
      </w:r>
    </w:p>
    <w:p w:rsidR="0015797C" w:rsidRPr="007F1717" w:rsidRDefault="0015797C" w:rsidP="0015797C">
      <w:pPr>
        <w:autoSpaceDE w:val="0"/>
        <w:autoSpaceDN w:val="0"/>
        <w:adjustRightInd w:val="0"/>
        <w:spacing w:line="240" w:lineRule="auto"/>
        <w:ind w:left="720" w:firstLine="720"/>
        <w:jc w:val="left"/>
        <w:rPr>
          <w:rFonts w:ascii="Trebuchet MS" w:hAnsi="Trebuchet MS"/>
          <w:b/>
          <w:bCs/>
          <w:i/>
          <w:sz w:val="22"/>
          <w:szCs w:val="22"/>
        </w:rPr>
      </w:pPr>
      <w:r w:rsidRPr="007F1717">
        <w:rPr>
          <w:rFonts w:ascii="Trebuchet MS" w:hAnsi="Trebuchet MS"/>
          <w:b/>
          <w:bCs/>
          <w:i/>
          <w:sz w:val="22"/>
          <w:szCs w:val="22"/>
        </w:rPr>
        <w:t>Where,</w:t>
      </w:r>
    </w:p>
    <w:p w:rsidR="0015797C" w:rsidRPr="007F1717" w:rsidRDefault="0015797C" w:rsidP="0015797C">
      <w:pPr>
        <w:autoSpaceDE w:val="0"/>
        <w:autoSpaceDN w:val="0"/>
        <w:adjustRightInd w:val="0"/>
        <w:spacing w:line="240" w:lineRule="auto"/>
        <w:ind w:left="720" w:firstLine="720"/>
        <w:jc w:val="left"/>
        <w:rPr>
          <w:rFonts w:ascii="Trebuchet MS" w:hAnsi="Trebuchet MS"/>
          <w:b/>
          <w:bCs/>
          <w:i/>
          <w:sz w:val="22"/>
          <w:szCs w:val="22"/>
        </w:rPr>
      </w:pPr>
      <w:r w:rsidRPr="007F1717">
        <w:rPr>
          <w:rFonts w:ascii="Trebuchet MS" w:hAnsi="Trebuchet MS"/>
          <w:b/>
          <w:bCs/>
          <w:i/>
          <w:sz w:val="22"/>
          <w:szCs w:val="22"/>
        </w:rPr>
        <w:t>AUX = Normative auxiliary energy consumption in percentage.</w:t>
      </w:r>
    </w:p>
    <w:p w:rsidR="0015797C" w:rsidRPr="007F1717" w:rsidRDefault="0015797C" w:rsidP="0015797C">
      <w:pPr>
        <w:autoSpaceDE w:val="0"/>
        <w:autoSpaceDN w:val="0"/>
        <w:adjustRightInd w:val="0"/>
        <w:spacing w:line="240" w:lineRule="auto"/>
        <w:ind w:left="1440"/>
        <w:rPr>
          <w:rFonts w:ascii="Trebuchet MS" w:hAnsi="Trebuchet MS"/>
          <w:b/>
          <w:bCs/>
          <w:i/>
          <w:sz w:val="22"/>
          <w:szCs w:val="22"/>
        </w:rPr>
      </w:pPr>
      <w:r w:rsidRPr="007F1717">
        <w:rPr>
          <w:rFonts w:ascii="Trebuchet MS" w:hAnsi="Trebuchet MS"/>
          <w:b/>
          <w:bCs/>
          <w:i/>
          <w:sz w:val="22"/>
          <w:szCs w:val="22"/>
        </w:rPr>
        <w:t>CVPF = Gross calorific value of primary fuel as fired, in kCal per kg, per litre or per standard cubic metre, as applicable.</w:t>
      </w:r>
    </w:p>
    <w:p w:rsidR="006160AA" w:rsidRPr="007F1717" w:rsidRDefault="006160AA" w:rsidP="0015797C">
      <w:pPr>
        <w:autoSpaceDE w:val="0"/>
        <w:autoSpaceDN w:val="0"/>
        <w:adjustRightInd w:val="0"/>
        <w:spacing w:line="240" w:lineRule="auto"/>
        <w:ind w:left="1440"/>
        <w:rPr>
          <w:rFonts w:ascii="Trebuchet MS" w:hAnsi="Trebuchet MS"/>
          <w:b/>
          <w:bCs/>
          <w:i/>
          <w:sz w:val="22"/>
          <w:szCs w:val="22"/>
        </w:rPr>
      </w:pPr>
      <w:r w:rsidRPr="007F1717">
        <w:rPr>
          <w:rFonts w:ascii="Trebuchet MS" w:hAnsi="Trebuchet MS"/>
          <w:b/>
          <w:bCs/>
          <w:i/>
          <w:sz w:val="22"/>
          <w:szCs w:val="22"/>
        </w:rPr>
        <w:t xml:space="preserve">CVSF= Calorific value of secondary fuel, in kCal per ml. </w:t>
      </w:r>
    </w:p>
    <w:p w:rsidR="0015797C" w:rsidRPr="007F1717" w:rsidRDefault="0015797C" w:rsidP="0015797C">
      <w:pPr>
        <w:autoSpaceDE w:val="0"/>
        <w:autoSpaceDN w:val="0"/>
        <w:adjustRightInd w:val="0"/>
        <w:spacing w:line="240" w:lineRule="auto"/>
        <w:ind w:left="720" w:firstLine="720"/>
        <w:jc w:val="left"/>
        <w:rPr>
          <w:rFonts w:ascii="Trebuchet MS" w:hAnsi="Trebuchet MS"/>
          <w:b/>
          <w:bCs/>
          <w:i/>
          <w:sz w:val="22"/>
          <w:szCs w:val="22"/>
        </w:rPr>
      </w:pPr>
      <w:r w:rsidRPr="007F1717">
        <w:rPr>
          <w:rFonts w:ascii="Trebuchet MS" w:hAnsi="Trebuchet MS"/>
          <w:b/>
          <w:bCs/>
          <w:i/>
          <w:sz w:val="22"/>
          <w:szCs w:val="22"/>
        </w:rPr>
        <w:t>ECR = Energy charge rate, in Rupees per kWh sent out.</w:t>
      </w:r>
    </w:p>
    <w:p w:rsidR="0015797C" w:rsidRPr="007F1717" w:rsidRDefault="0015797C" w:rsidP="0015797C">
      <w:pPr>
        <w:autoSpaceDE w:val="0"/>
        <w:autoSpaceDN w:val="0"/>
        <w:adjustRightInd w:val="0"/>
        <w:spacing w:line="240" w:lineRule="auto"/>
        <w:ind w:left="720" w:firstLine="720"/>
        <w:jc w:val="left"/>
        <w:rPr>
          <w:rFonts w:ascii="Trebuchet MS" w:hAnsi="Trebuchet MS"/>
          <w:b/>
          <w:bCs/>
          <w:i/>
          <w:sz w:val="22"/>
          <w:szCs w:val="22"/>
        </w:rPr>
      </w:pPr>
      <w:r w:rsidRPr="007F1717">
        <w:rPr>
          <w:rFonts w:ascii="Trebuchet MS" w:hAnsi="Trebuchet MS"/>
          <w:b/>
          <w:bCs/>
          <w:i/>
          <w:sz w:val="22"/>
          <w:szCs w:val="22"/>
        </w:rPr>
        <w:t>GHR = Gross station heat rate, in kCal per kWh.</w:t>
      </w:r>
    </w:p>
    <w:p w:rsidR="0015797C" w:rsidRPr="007F1717" w:rsidRDefault="0015797C" w:rsidP="0015797C">
      <w:pPr>
        <w:autoSpaceDE w:val="0"/>
        <w:autoSpaceDN w:val="0"/>
        <w:adjustRightInd w:val="0"/>
        <w:spacing w:line="240" w:lineRule="auto"/>
        <w:ind w:left="1440"/>
        <w:rPr>
          <w:rFonts w:ascii="Trebuchet MS" w:hAnsi="Trebuchet MS"/>
          <w:b/>
          <w:bCs/>
          <w:i/>
          <w:sz w:val="22"/>
          <w:szCs w:val="22"/>
        </w:rPr>
      </w:pPr>
      <w:r w:rsidRPr="007F1717">
        <w:rPr>
          <w:rFonts w:ascii="Trebuchet MS" w:hAnsi="Trebuchet MS"/>
          <w:b/>
          <w:bCs/>
          <w:i/>
          <w:sz w:val="22"/>
          <w:szCs w:val="22"/>
        </w:rPr>
        <w:t>LPPF = Weighted average landed price of primary fuel, in Rupees per kg, per litre or per standard cubic metre, as applicable, during the month.</w:t>
      </w:r>
    </w:p>
    <w:p w:rsidR="006160AA" w:rsidRPr="007F1717" w:rsidRDefault="006160AA" w:rsidP="0015797C">
      <w:pPr>
        <w:autoSpaceDE w:val="0"/>
        <w:autoSpaceDN w:val="0"/>
        <w:adjustRightInd w:val="0"/>
        <w:spacing w:line="240" w:lineRule="auto"/>
        <w:ind w:left="1440"/>
        <w:rPr>
          <w:rFonts w:ascii="Trebuchet MS" w:hAnsi="Trebuchet MS"/>
          <w:b/>
          <w:bCs/>
          <w:i/>
          <w:sz w:val="22"/>
          <w:szCs w:val="22"/>
        </w:rPr>
      </w:pPr>
      <w:r w:rsidRPr="007F1717">
        <w:rPr>
          <w:rFonts w:ascii="Trebuchet MS" w:hAnsi="Trebuchet MS"/>
          <w:b/>
          <w:bCs/>
          <w:i/>
          <w:sz w:val="22"/>
          <w:szCs w:val="22"/>
        </w:rPr>
        <w:t>SFC= Specific fuel oil consumption in ml per kWh</w:t>
      </w:r>
    </w:p>
    <w:p w:rsidR="0015797C" w:rsidRPr="007F1717" w:rsidRDefault="0015797C" w:rsidP="0015797C">
      <w:pPr>
        <w:ind w:left="540"/>
        <w:rPr>
          <w:rFonts w:ascii="Trebuchet MS" w:hAnsi="Trebuchet MS"/>
          <w:sz w:val="22"/>
          <w:szCs w:val="22"/>
        </w:rPr>
      </w:pPr>
    </w:p>
    <w:p w:rsidR="0015797C" w:rsidRDefault="0015797C" w:rsidP="0015797C"/>
    <w:p w:rsidR="00264BEA" w:rsidRDefault="00264BEA" w:rsidP="0015797C"/>
    <w:p w:rsidR="00C43BF7" w:rsidRPr="00DF198A" w:rsidRDefault="00C43BF7" w:rsidP="00C43BF7">
      <w:pPr>
        <w:rPr>
          <w:b/>
          <w:bCs/>
          <w:sz w:val="22"/>
        </w:rPr>
      </w:pPr>
      <w:r w:rsidRPr="00DF198A">
        <w:rPr>
          <w:b/>
          <w:bCs/>
          <w:sz w:val="22"/>
        </w:rPr>
        <w:lastRenderedPageBreak/>
        <w:t>The Hon</w:t>
      </w:r>
      <w:r w:rsidR="009C566B" w:rsidRPr="00DF198A">
        <w:rPr>
          <w:b/>
          <w:bCs/>
          <w:sz w:val="22"/>
        </w:rPr>
        <w:t>’ble</w:t>
      </w:r>
      <w:r w:rsidRPr="00DF198A">
        <w:rPr>
          <w:b/>
          <w:bCs/>
          <w:sz w:val="22"/>
        </w:rPr>
        <w:t xml:space="preserve"> Commission is requested to </w:t>
      </w:r>
      <w:r w:rsidR="009C566B" w:rsidRPr="00DF198A">
        <w:rPr>
          <w:b/>
          <w:bCs/>
          <w:sz w:val="22"/>
        </w:rPr>
        <w:t xml:space="preserve">true- up </w:t>
      </w:r>
      <w:r w:rsidR="0021491A" w:rsidRPr="00DF198A">
        <w:rPr>
          <w:b/>
          <w:bCs/>
          <w:sz w:val="22"/>
        </w:rPr>
        <w:t xml:space="preserve">the actual </w:t>
      </w:r>
      <w:r w:rsidRPr="00DF198A">
        <w:rPr>
          <w:b/>
          <w:bCs/>
          <w:sz w:val="22"/>
        </w:rPr>
        <w:t xml:space="preserve">Station Heat Rate, Auxiliary </w:t>
      </w:r>
      <w:r w:rsidR="0054327E" w:rsidRPr="00DF198A">
        <w:rPr>
          <w:b/>
          <w:bCs/>
          <w:sz w:val="22"/>
        </w:rPr>
        <w:t>Power Consumption, Fuel</w:t>
      </w:r>
      <w:r w:rsidRPr="00DF198A">
        <w:rPr>
          <w:b/>
          <w:bCs/>
          <w:sz w:val="22"/>
        </w:rPr>
        <w:t xml:space="preserve"> Consumption and Plant Availability Factor</w:t>
      </w:r>
      <w:r w:rsidR="00A11234">
        <w:rPr>
          <w:b/>
          <w:bCs/>
          <w:sz w:val="22"/>
        </w:rPr>
        <w:t>, use of HSD in lieu of LDO and LSHS</w:t>
      </w:r>
      <w:r w:rsidR="0054327E" w:rsidRPr="00DF198A">
        <w:rPr>
          <w:b/>
          <w:bCs/>
          <w:sz w:val="22"/>
        </w:rPr>
        <w:t xml:space="preserve"> as </w:t>
      </w:r>
      <w:r w:rsidR="00B9761C" w:rsidRPr="00DF198A">
        <w:rPr>
          <w:b/>
          <w:bCs/>
          <w:sz w:val="22"/>
        </w:rPr>
        <w:t xml:space="preserve">per the </w:t>
      </w:r>
      <w:r w:rsidR="00235E34" w:rsidRPr="00DF198A">
        <w:rPr>
          <w:b/>
          <w:bCs/>
          <w:sz w:val="22"/>
        </w:rPr>
        <w:t xml:space="preserve">above </w:t>
      </w:r>
      <w:r w:rsidR="0054327E" w:rsidRPr="00DF198A">
        <w:rPr>
          <w:b/>
          <w:bCs/>
          <w:sz w:val="22"/>
        </w:rPr>
        <w:t>submi</w:t>
      </w:r>
      <w:r w:rsidR="00B9761C" w:rsidRPr="00DF198A">
        <w:rPr>
          <w:b/>
          <w:bCs/>
          <w:sz w:val="22"/>
        </w:rPr>
        <w:t>ssions</w:t>
      </w:r>
      <w:r w:rsidR="0054327E" w:rsidRPr="00DF198A">
        <w:rPr>
          <w:b/>
          <w:bCs/>
          <w:sz w:val="22"/>
        </w:rPr>
        <w:t xml:space="preserve"> </w:t>
      </w:r>
      <w:r w:rsidRPr="00DF198A">
        <w:rPr>
          <w:b/>
          <w:bCs/>
          <w:sz w:val="22"/>
        </w:rPr>
        <w:t xml:space="preserve">for </w:t>
      </w:r>
      <w:r w:rsidR="00D947E0">
        <w:rPr>
          <w:b/>
          <w:bCs/>
          <w:sz w:val="22"/>
        </w:rPr>
        <w:t>RPH and GTP</w:t>
      </w:r>
      <w:r w:rsidRPr="00DF198A">
        <w:rPr>
          <w:b/>
          <w:bCs/>
          <w:sz w:val="22"/>
        </w:rPr>
        <w:t xml:space="preserve"> station</w:t>
      </w:r>
      <w:r w:rsidR="0054327E" w:rsidRPr="00DF198A">
        <w:rPr>
          <w:b/>
          <w:bCs/>
          <w:sz w:val="22"/>
        </w:rPr>
        <w:t>s</w:t>
      </w:r>
      <w:r w:rsidR="0021491A" w:rsidRPr="00DF198A">
        <w:rPr>
          <w:b/>
          <w:bCs/>
          <w:sz w:val="22"/>
        </w:rPr>
        <w:t xml:space="preserve"> and also approve these </w:t>
      </w:r>
      <w:r w:rsidR="000153B2" w:rsidRPr="00DF198A">
        <w:rPr>
          <w:b/>
          <w:bCs/>
          <w:sz w:val="22"/>
        </w:rPr>
        <w:t>parameters</w:t>
      </w:r>
      <w:r w:rsidR="0021491A" w:rsidRPr="00DF198A">
        <w:rPr>
          <w:b/>
          <w:bCs/>
          <w:sz w:val="22"/>
        </w:rPr>
        <w:t xml:space="preserve"> </w:t>
      </w:r>
      <w:r w:rsidR="00235E34" w:rsidRPr="00DF198A">
        <w:rPr>
          <w:b/>
          <w:bCs/>
          <w:sz w:val="22"/>
        </w:rPr>
        <w:t xml:space="preserve">as submitted </w:t>
      </w:r>
      <w:r w:rsidR="00B9761C" w:rsidRPr="00DF198A">
        <w:rPr>
          <w:b/>
          <w:bCs/>
          <w:sz w:val="22"/>
        </w:rPr>
        <w:t>for FY 201</w:t>
      </w:r>
      <w:r w:rsidR="00DA4259">
        <w:rPr>
          <w:b/>
          <w:bCs/>
          <w:sz w:val="22"/>
        </w:rPr>
        <w:t>2-13 to FY 2014-15</w:t>
      </w:r>
      <w:r w:rsidR="00A11234">
        <w:rPr>
          <w:b/>
          <w:bCs/>
          <w:sz w:val="22"/>
        </w:rPr>
        <w:t xml:space="preserve"> and extended period FY 2015-16</w:t>
      </w:r>
      <w:r w:rsidRPr="00DF198A">
        <w:rPr>
          <w:b/>
          <w:bCs/>
          <w:sz w:val="22"/>
        </w:rPr>
        <w:t>.</w:t>
      </w:r>
    </w:p>
    <w:p w:rsidR="007C4D4E" w:rsidRDefault="007C4D4E" w:rsidP="00B07D0C">
      <w:pPr>
        <w:pStyle w:val="StyleHeading216ptJustifiedLinespacing15lines"/>
        <w:numPr>
          <w:ilvl w:val="0"/>
          <w:numId w:val="0"/>
        </w:numPr>
        <w:spacing w:line="240" w:lineRule="auto"/>
        <w:rPr>
          <w:color w:val="000080"/>
        </w:rPr>
      </w:pPr>
      <w:bookmarkStart w:id="45" w:name="_Toc173941680"/>
    </w:p>
    <w:p w:rsidR="00C43BF7" w:rsidRDefault="00C43BF7" w:rsidP="00C43BF7">
      <w:pPr>
        <w:pStyle w:val="StyleHeading216ptJustifiedLinespacing15lines"/>
        <w:numPr>
          <w:ilvl w:val="0"/>
          <w:numId w:val="0"/>
        </w:numPr>
        <w:rPr>
          <w:color w:val="000080"/>
        </w:rPr>
      </w:pPr>
      <w:bookmarkStart w:id="46" w:name="_Toc411605250"/>
      <w:r>
        <w:rPr>
          <w:color w:val="000080"/>
        </w:rPr>
        <w:t>3.2 Estimation of Fixed Cost</w:t>
      </w:r>
      <w:bookmarkEnd w:id="45"/>
      <w:bookmarkEnd w:id="46"/>
    </w:p>
    <w:p w:rsidR="00C43BF7" w:rsidRDefault="00C43BF7" w:rsidP="00C36707">
      <w:pPr>
        <w:spacing w:line="240" w:lineRule="auto"/>
        <w:rPr>
          <w:sz w:val="22"/>
          <w:szCs w:val="22"/>
        </w:rPr>
      </w:pPr>
    </w:p>
    <w:p w:rsidR="00C43BF7" w:rsidRDefault="00815C32" w:rsidP="00C43BF7">
      <w:pPr>
        <w:rPr>
          <w:sz w:val="22"/>
          <w:szCs w:val="22"/>
        </w:rPr>
      </w:pPr>
      <w:r>
        <w:rPr>
          <w:sz w:val="22"/>
          <w:szCs w:val="22"/>
        </w:rPr>
        <w:t xml:space="preserve">Total fixed cost for IPGCL for the period </w:t>
      </w:r>
      <w:r w:rsidR="00B503D5">
        <w:rPr>
          <w:sz w:val="22"/>
          <w:szCs w:val="22"/>
        </w:rPr>
        <w:t xml:space="preserve">FY 2012-13, 2013-14 </w:t>
      </w:r>
      <w:r>
        <w:rPr>
          <w:sz w:val="22"/>
          <w:szCs w:val="22"/>
        </w:rPr>
        <w:t>is based on actual audited accounts</w:t>
      </w:r>
      <w:r w:rsidR="00633CD0">
        <w:rPr>
          <w:sz w:val="22"/>
          <w:szCs w:val="22"/>
        </w:rPr>
        <w:t>,</w:t>
      </w:r>
      <w:r>
        <w:rPr>
          <w:sz w:val="22"/>
          <w:szCs w:val="22"/>
        </w:rPr>
        <w:t xml:space="preserve">  FY </w:t>
      </w:r>
      <w:r w:rsidR="00D925C0">
        <w:rPr>
          <w:sz w:val="22"/>
          <w:szCs w:val="22"/>
        </w:rPr>
        <w:t>2014-15</w:t>
      </w:r>
      <w:r>
        <w:rPr>
          <w:sz w:val="22"/>
          <w:szCs w:val="22"/>
        </w:rPr>
        <w:t xml:space="preserve"> is based on </w:t>
      </w:r>
      <w:r w:rsidR="00B503D5">
        <w:rPr>
          <w:sz w:val="22"/>
          <w:szCs w:val="22"/>
        </w:rPr>
        <w:t>projections and for FY 2015-16 is based upon estimate</w:t>
      </w:r>
      <w:r w:rsidR="00C43BF7">
        <w:rPr>
          <w:sz w:val="22"/>
          <w:szCs w:val="22"/>
        </w:rPr>
        <w:t>.</w:t>
      </w:r>
    </w:p>
    <w:p w:rsidR="00C43BF7" w:rsidRDefault="00C671EA" w:rsidP="00C43BF7">
      <w:pPr>
        <w:rPr>
          <w:sz w:val="22"/>
          <w:szCs w:val="22"/>
        </w:rPr>
      </w:pPr>
      <w:r>
        <w:rPr>
          <w:sz w:val="22"/>
          <w:szCs w:val="22"/>
        </w:rPr>
        <w:t>Fixed cost calculations consist</w:t>
      </w:r>
      <w:r w:rsidR="00376C16">
        <w:rPr>
          <w:sz w:val="22"/>
          <w:szCs w:val="22"/>
        </w:rPr>
        <w:t xml:space="preserve"> of</w:t>
      </w:r>
      <w:r w:rsidR="00633CD0">
        <w:rPr>
          <w:sz w:val="22"/>
          <w:szCs w:val="22"/>
        </w:rPr>
        <w:t xml:space="preserve"> </w:t>
      </w:r>
      <w:r w:rsidR="00FF749D">
        <w:rPr>
          <w:sz w:val="22"/>
          <w:szCs w:val="22"/>
        </w:rPr>
        <w:t>the following</w:t>
      </w:r>
      <w:r w:rsidR="00C43BF7">
        <w:rPr>
          <w:sz w:val="22"/>
          <w:szCs w:val="22"/>
        </w:rPr>
        <w:t xml:space="preserve"> items:</w:t>
      </w:r>
    </w:p>
    <w:p w:rsidR="00C43BF7" w:rsidRDefault="00C43BF7" w:rsidP="00FE4611">
      <w:pPr>
        <w:spacing w:line="240" w:lineRule="auto"/>
        <w:rPr>
          <w:sz w:val="22"/>
          <w:szCs w:val="22"/>
        </w:rPr>
      </w:pPr>
    </w:p>
    <w:p w:rsidR="00C43BF7" w:rsidRDefault="00C43BF7" w:rsidP="005925C7">
      <w:pPr>
        <w:numPr>
          <w:ilvl w:val="0"/>
          <w:numId w:val="6"/>
        </w:numPr>
        <w:tabs>
          <w:tab w:val="clear" w:pos="1260"/>
        </w:tabs>
        <w:ind w:left="900" w:firstLine="0"/>
        <w:rPr>
          <w:sz w:val="22"/>
          <w:szCs w:val="22"/>
        </w:rPr>
      </w:pPr>
      <w:r>
        <w:rPr>
          <w:sz w:val="22"/>
          <w:szCs w:val="22"/>
        </w:rPr>
        <w:t>Operation &amp; Maintenance Expenses</w:t>
      </w:r>
    </w:p>
    <w:p w:rsidR="00C43BF7" w:rsidRDefault="00C43BF7" w:rsidP="005925C7">
      <w:pPr>
        <w:numPr>
          <w:ilvl w:val="0"/>
          <w:numId w:val="6"/>
        </w:numPr>
        <w:tabs>
          <w:tab w:val="clear" w:pos="1260"/>
        </w:tabs>
        <w:ind w:left="900" w:firstLine="0"/>
        <w:rPr>
          <w:sz w:val="22"/>
          <w:szCs w:val="22"/>
        </w:rPr>
      </w:pPr>
      <w:r>
        <w:rPr>
          <w:sz w:val="22"/>
          <w:szCs w:val="22"/>
        </w:rPr>
        <w:t xml:space="preserve">Interest on loan </w:t>
      </w:r>
    </w:p>
    <w:p w:rsidR="00C43BF7" w:rsidRDefault="00C43BF7" w:rsidP="005925C7">
      <w:pPr>
        <w:numPr>
          <w:ilvl w:val="0"/>
          <w:numId w:val="6"/>
        </w:numPr>
        <w:tabs>
          <w:tab w:val="clear" w:pos="1260"/>
        </w:tabs>
        <w:ind w:left="900" w:firstLine="0"/>
        <w:rPr>
          <w:sz w:val="22"/>
          <w:szCs w:val="22"/>
        </w:rPr>
      </w:pPr>
      <w:r>
        <w:rPr>
          <w:sz w:val="22"/>
          <w:szCs w:val="22"/>
        </w:rPr>
        <w:t>Depreciation</w:t>
      </w:r>
    </w:p>
    <w:p w:rsidR="00C43BF7" w:rsidRDefault="00C43BF7" w:rsidP="005925C7">
      <w:pPr>
        <w:numPr>
          <w:ilvl w:val="0"/>
          <w:numId w:val="6"/>
        </w:numPr>
        <w:tabs>
          <w:tab w:val="clear" w:pos="1260"/>
        </w:tabs>
        <w:ind w:left="900" w:firstLine="0"/>
        <w:rPr>
          <w:sz w:val="22"/>
          <w:szCs w:val="22"/>
        </w:rPr>
      </w:pPr>
      <w:r>
        <w:rPr>
          <w:sz w:val="22"/>
          <w:szCs w:val="22"/>
        </w:rPr>
        <w:t>Return on Equity</w:t>
      </w:r>
    </w:p>
    <w:p w:rsidR="00C43BF7" w:rsidRDefault="00C43BF7" w:rsidP="005925C7">
      <w:pPr>
        <w:numPr>
          <w:ilvl w:val="0"/>
          <w:numId w:val="6"/>
        </w:numPr>
        <w:tabs>
          <w:tab w:val="clear" w:pos="1260"/>
        </w:tabs>
        <w:ind w:left="900" w:firstLine="0"/>
        <w:rPr>
          <w:sz w:val="22"/>
          <w:szCs w:val="22"/>
        </w:rPr>
      </w:pPr>
      <w:r>
        <w:rPr>
          <w:sz w:val="22"/>
          <w:szCs w:val="22"/>
        </w:rPr>
        <w:t>Interest on Working Capital</w:t>
      </w:r>
    </w:p>
    <w:p w:rsidR="00A83009" w:rsidRDefault="00A83009" w:rsidP="005925C7">
      <w:pPr>
        <w:numPr>
          <w:ilvl w:val="0"/>
          <w:numId w:val="6"/>
        </w:numPr>
        <w:tabs>
          <w:tab w:val="clear" w:pos="1260"/>
        </w:tabs>
        <w:ind w:left="900" w:firstLine="0"/>
        <w:rPr>
          <w:sz w:val="22"/>
          <w:szCs w:val="22"/>
        </w:rPr>
      </w:pPr>
      <w:r>
        <w:rPr>
          <w:sz w:val="22"/>
          <w:szCs w:val="22"/>
        </w:rPr>
        <w:t>Cost of secondary fuel oil (for coal based stations only)</w:t>
      </w:r>
    </w:p>
    <w:p w:rsidR="001E123F" w:rsidRDefault="007D13F9" w:rsidP="005925C7">
      <w:pPr>
        <w:numPr>
          <w:ilvl w:val="0"/>
          <w:numId w:val="6"/>
        </w:numPr>
        <w:tabs>
          <w:tab w:val="clear" w:pos="1260"/>
        </w:tabs>
        <w:ind w:left="900" w:firstLine="0"/>
        <w:rPr>
          <w:sz w:val="22"/>
          <w:szCs w:val="22"/>
        </w:rPr>
      </w:pPr>
      <w:r>
        <w:rPr>
          <w:sz w:val="22"/>
          <w:szCs w:val="22"/>
        </w:rPr>
        <w:t>Income Tax</w:t>
      </w:r>
    </w:p>
    <w:p w:rsidR="007D13F9" w:rsidRDefault="007D13F9" w:rsidP="005925C7">
      <w:pPr>
        <w:numPr>
          <w:ilvl w:val="0"/>
          <w:numId w:val="6"/>
        </w:numPr>
        <w:tabs>
          <w:tab w:val="clear" w:pos="1260"/>
        </w:tabs>
        <w:ind w:left="900" w:firstLine="0"/>
        <w:rPr>
          <w:sz w:val="22"/>
          <w:szCs w:val="22"/>
        </w:rPr>
      </w:pPr>
      <w:r>
        <w:rPr>
          <w:sz w:val="22"/>
          <w:szCs w:val="22"/>
        </w:rPr>
        <w:t>Special allowance in lieu of R&amp;M or separate compensation allowance, wherever applicable</w:t>
      </w:r>
    </w:p>
    <w:p w:rsidR="00C43BF7" w:rsidRDefault="00C43BF7" w:rsidP="00C43BF7">
      <w:pPr>
        <w:pStyle w:val="Heading3"/>
        <w:numPr>
          <w:ilvl w:val="0"/>
          <w:numId w:val="0"/>
        </w:numPr>
        <w:rPr>
          <w:rFonts w:ascii="Century Gothic" w:hAnsi="Century Gothic" w:cs="Times New Roman"/>
          <w:sz w:val="22"/>
          <w:szCs w:val="22"/>
        </w:rPr>
      </w:pPr>
      <w:bookmarkStart w:id="47" w:name="_Toc173941681"/>
      <w:bookmarkStart w:id="48" w:name="_Toc411605251"/>
      <w:r>
        <w:rPr>
          <w:rFonts w:ascii="Century Gothic" w:hAnsi="Century Gothic" w:cs="Times New Roman"/>
          <w:sz w:val="22"/>
          <w:szCs w:val="22"/>
        </w:rPr>
        <w:t xml:space="preserve">3.2.1 </w:t>
      </w:r>
      <w:r w:rsidR="00F23537">
        <w:rPr>
          <w:rFonts w:ascii="Century Gothic" w:hAnsi="Century Gothic" w:cs="Times New Roman"/>
          <w:sz w:val="22"/>
          <w:szCs w:val="22"/>
        </w:rPr>
        <w:tab/>
      </w:r>
      <w:r>
        <w:rPr>
          <w:rFonts w:ascii="Century Gothic" w:hAnsi="Century Gothic" w:cs="Times New Roman"/>
          <w:sz w:val="22"/>
          <w:szCs w:val="22"/>
        </w:rPr>
        <w:t>O</w:t>
      </w:r>
      <w:r w:rsidR="00F23537">
        <w:rPr>
          <w:rFonts w:ascii="Century Gothic" w:hAnsi="Century Gothic" w:cs="Times New Roman"/>
          <w:sz w:val="22"/>
          <w:szCs w:val="22"/>
        </w:rPr>
        <w:t xml:space="preserve">peration </w:t>
      </w:r>
      <w:r>
        <w:rPr>
          <w:rFonts w:ascii="Century Gothic" w:hAnsi="Century Gothic" w:cs="Times New Roman"/>
          <w:sz w:val="22"/>
          <w:szCs w:val="22"/>
        </w:rPr>
        <w:t>&amp; M</w:t>
      </w:r>
      <w:r w:rsidR="00F23537">
        <w:rPr>
          <w:rFonts w:ascii="Century Gothic" w:hAnsi="Century Gothic" w:cs="Times New Roman"/>
          <w:sz w:val="22"/>
          <w:szCs w:val="22"/>
        </w:rPr>
        <w:t>aintenance</w:t>
      </w:r>
      <w:bookmarkEnd w:id="47"/>
      <w:r w:rsidR="00F23537">
        <w:rPr>
          <w:rFonts w:ascii="Century Gothic" w:hAnsi="Century Gothic" w:cs="Times New Roman"/>
          <w:sz w:val="22"/>
          <w:szCs w:val="22"/>
        </w:rPr>
        <w:t xml:space="preserve"> Expenses</w:t>
      </w:r>
      <w:bookmarkEnd w:id="48"/>
    </w:p>
    <w:p w:rsidR="00F23537" w:rsidRDefault="00F23537" w:rsidP="00993C2D">
      <w:pPr>
        <w:ind w:left="720"/>
        <w:rPr>
          <w:sz w:val="22"/>
          <w:szCs w:val="22"/>
        </w:rPr>
      </w:pPr>
      <w:r>
        <w:rPr>
          <w:sz w:val="22"/>
          <w:szCs w:val="22"/>
        </w:rPr>
        <w:t xml:space="preserve">The Hon’ble Commission in its Generation Tariff Regulations, 2011 has considered the Operation and Maintenance expenses as under:  </w:t>
      </w:r>
    </w:p>
    <w:p w:rsidR="00F23537" w:rsidRPr="00122154" w:rsidRDefault="00F23537" w:rsidP="00993C2D">
      <w:pPr>
        <w:autoSpaceDE w:val="0"/>
        <w:autoSpaceDN w:val="0"/>
        <w:adjustRightInd w:val="0"/>
        <w:ind w:left="720"/>
        <w:jc w:val="left"/>
        <w:rPr>
          <w:rFonts w:ascii="Trebuchet MS" w:hAnsi="Trebuchet MS"/>
          <w:b/>
          <w:i/>
          <w:iCs/>
          <w:sz w:val="22"/>
          <w:szCs w:val="22"/>
        </w:rPr>
      </w:pPr>
      <w:r w:rsidRPr="00122154">
        <w:rPr>
          <w:rFonts w:ascii="Trebuchet MS" w:hAnsi="Trebuchet MS"/>
          <w:b/>
          <w:i/>
          <w:iCs/>
          <w:sz w:val="22"/>
          <w:szCs w:val="22"/>
        </w:rPr>
        <w:t>“Operation and Maintenance Expenses</w:t>
      </w:r>
    </w:p>
    <w:p w:rsidR="00F23537" w:rsidRPr="00122154" w:rsidRDefault="00F23537" w:rsidP="00993C2D">
      <w:pPr>
        <w:autoSpaceDE w:val="0"/>
        <w:autoSpaceDN w:val="0"/>
        <w:adjustRightInd w:val="0"/>
        <w:ind w:left="720"/>
        <w:rPr>
          <w:rFonts w:ascii="Trebuchet MS" w:hAnsi="Trebuchet MS"/>
          <w:b/>
          <w:i/>
          <w:iCs/>
          <w:sz w:val="22"/>
          <w:szCs w:val="22"/>
        </w:rPr>
      </w:pPr>
      <w:r w:rsidRPr="00122154">
        <w:rPr>
          <w:rFonts w:ascii="Trebuchet MS" w:hAnsi="Trebuchet MS"/>
          <w:b/>
          <w:i/>
          <w:iCs/>
          <w:sz w:val="22"/>
          <w:szCs w:val="22"/>
        </w:rPr>
        <w:t>6.39 Normative Operation and Maintenance (O&amp;M) expenses shall comprise the following:</w:t>
      </w:r>
    </w:p>
    <w:p w:rsidR="00F23537" w:rsidRPr="00122154" w:rsidRDefault="00F23537" w:rsidP="00993C2D">
      <w:pPr>
        <w:autoSpaceDE w:val="0"/>
        <w:autoSpaceDN w:val="0"/>
        <w:adjustRightInd w:val="0"/>
        <w:ind w:left="720"/>
        <w:rPr>
          <w:rFonts w:ascii="Trebuchet MS" w:hAnsi="Trebuchet MS"/>
          <w:b/>
          <w:i/>
          <w:iCs/>
          <w:sz w:val="22"/>
          <w:szCs w:val="22"/>
        </w:rPr>
      </w:pPr>
      <w:r w:rsidRPr="00122154">
        <w:rPr>
          <w:rFonts w:ascii="Trebuchet MS" w:hAnsi="Trebuchet MS"/>
          <w:b/>
          <w:i/>
          <w:iCs/>
          <w:sz w:val="22"/>
          <w:szCs w:val="22"/>
        </w:rPr>
        <w:t>(a) Salaries, wages, pension contribution and other employee costs;</w:t>
      </w:r>
    </w:p>
    <w:p w:rsidR="00F23537" w:rsidRPr="00122154" w:rsidRDefault="00F23537" w:rsidP="00F23537">
      <w:pPr>
        <w:autoSpaceDE w:val="0"/>
        <w:autoSpaceDN w:val="0"/>
        <w:adjustRightInd w:val="0"/>
        <w:ind w:firstLine="720"/>
        <w:rPr>
          <w:rFonts w:ascii="Trebuchet MS" w:hAnsi="Trebuchet MS"/>
          <w:b/>
          <w:i/>
          <w:iCs/>
          <w:sz w:val="22"/>
          <w:szCs w:val="22"/>
        </w:rPr>
      </w:pPr>
      <w:r w:rsidRPr="00122154">
        <w:rPr>
          <w:rFonts w:ascii="Trebuchet MS" w:hAnsi="Trebuchet MS"/>
          <w:b/>
          <w:i/>
          <w:iCs/>
          <w:sz w:val="22"/>
          <w:szCs w:val="22"/>
        </w:rPr>
        <w:t>(b) Administrative and General costs;</w:t>
      </w:r>
    </w:p>
    <w:p w:rsidR="00F23537" w:rsidRPr="00122154" w:rsidRDefault="00F23537" w:rsidP="00F23537">
      <w:pPr>
        <w:autoSpaceDE w:val="0"/>
        <w:autoSpaceDN w:val="0"/>
        <w:adjustRightInd w:val="0"/>
        <w:ind w:firstLine="720"/>
        <w:rPr>
          <w:rFonts w:ascii="Trebuchet MS" w:hAnsi="Trebuchet MS"/>
          <w:b/>
          <w:i/>
          <w:iCs/>
          <w:sz w:val="22"/>
          <w:szCs w:val="22"/>
        </w:rPr>
      </w:pPr>
      <w:r w:rsidRPr="00122154">
        <w:rPr>
          <w:rFonts w:ascii="Trebuchet MS" w:hAnsi="Trebuchet MS"/>
          <w:b/>
          <w:i/>
          <w:iCs/>
          <w:sz w:val="22"/>
          <w:szCs w:val="22"/>
        </w:rPr>
        <w:t>(c) Repairs and maintenance; and</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(d) Other miscellaneous expenses.</w:t>
      </w:r>
    </w:p>
    <w:p w:rsidR="00F23537" w:rsidRPr="00122154" w:rsidRDefault="00F23537" w:rsidP="00F23537">
      <w:pPr>
        <w:autoSpaceDE w:val="0"/>
        <w:autoSpaceDN w:val="0"/>
        <w:adjustRightInd w:val="0"/>
        <w:ind w:left="720"/>
        <w:rPr>
          <w:rFonts w:ascii="Trebuchet MS" w:hAnsi="Trebuchet MS"/>
          <w:b/>
          <w:i/>
          <w:iCs/>
          <w:sz w:val="22"/>
          <w:szCs w:val="22"/>
        </w:rPr>
      </w:pPr>
      <w:r w:rsidRPr="00122154">
        <w:rPr>
          <w:rFonts w:ascii="Trebuchet MS" w:hAnsi="Trebuchet MS"/>
          <w:b/>
          <w:i/>
          <w:iCs/>
          <w:sz w:val="22"/>
          <w:szCs w:val="22"/>
        </w:rPr>
        <w:lastRenderedPageBreak/>
        <w:t>6.40 Existing Generating Stations: O&amp;M expenses permissible towards ARR for each year of the Control Period shall be determined using the formula detailed below:</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O&amp;Mn = (R&amp;Mn + EMPn + A&amp;Gn) * (1 – Xn)</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Where,</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R&amp;Mn = K * GFA</w:t>
      </w:r>
      <w:r w:rsidRPr="00122154">
        <w:rPr>
          <w:rFonts w:ascii="Trebuchet MS" w:hAnsi="Trebuchet MS"/>
          <w:b/>
          <w:i/>
          <w:iCs/>
          <w:sz w:val="22"/>
          <w:szCs w:val="22"/>
          <w:vertAlign w:val="subscript"/>
        </w:rPr>
        <w:t>n-1</w:t>
      </w:r>
      <w:r w:rsidRPr="00122154">
        <w:rPr>
          <w:rFonts w:ascii="Trebuchet MS" w:hAnsi="Trebuchet MS"/>
          <w:b/>
          <w:i/>
          <w:iCs/>
          <w:sz w:val="22"/>
          <w:szCs w:val="22"/>
        </w:rPr>
        <w:t>;</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EMPn + A&amp;Gn = (EMP</w:t>
      </w:r>
      <w:r w:rsidRPr="00122154">
        <w:rPr>
          <w:rFonts w:ascii="Trebuchet MS" w:hAnsi="Trebuchet MS"/>
          <w:b/>
          <w:i/>
          <w:iCs/>
          <w:sz w:val="22"/>
          <w:szCs w:val="22"/>
          <w:vertAlign w:val="subscript"/>
        </w:rPr>
        <w:t>n-1</w:t>
      </w:r>
      <w:r w:rsidRPr="00122154">
        <w:rPr>
          <w:rFonts w:ascii="Trebuchet MS" w:hAnsi="Trebuchet MS"/>
          <w:b/>
          <w:i/>
          <w:iCs/>
          <w:sz w:val="22"/>
          <w:szCs w:val="22"/>
        </w:rPr>
        <w:t xml:space="preserve"> + A&amp;G</w:t>
      </w:r>
      <w:r w:rsidRPr="00122154">
        <w:rPr>
          <w:rFonts w:ascii="Trebuchet MS" w:hAnsi="Trebuchet MS"/>
          <w:b/>
          <w:i/>
          <w:iCs/>
          <w:sz w:val="22"/>
          <w:szCs w:val="22"/>
          <w:vertAlign w:val="subscript"/>
        </w:rPr>
        <w:t>n-1</w:t>
      </w:r>
      <w:r w:rsidRPr="00122154">
        <w:rPr>
          <w:rFonts w:ascii="Trebuchet MS" w:hAnsi="Trebuchet MS"/>
          <w:b/>
          <w:i/>
          <w:iCs/>
          <w:sz w:val="22"/>
          <w:szCs w:val="22"/>
        </w:rPr>
        <w:t>) * (INDX); and</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INDX = 0.55 * CPI + 0.45 * WPI</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EMPn – Employee Costs of the Licensee for the nth year;</w:t>
      </w:r>
    </w:p>
    <w:p w:rsidR="00F23537" w:rsidRPr="00122154" w:rsidRDefault="00F23537" w:rsidP="00F23537">
      <w:pPr>
        <w:autoSpaceDE w:val="0"/>
        <w:autoSpaceDN w:val="0"/>
        <w:adjustRightInd w:val="0"/>
        <w:ind w:left="720"/>
        <w:jc w:val="left"/>
        <w:rPr>
          <w:rFonts w:ascii="Trebuchet MS" w:hAnsi="Trebuchet MS"/>
          <w:b/>
          <w:i/>
          <w:iCs/>
          <w:sz w:val="22"/>
          <w:szCs w:val="22"/>
        </w:rPr>
      </w:pPr>
      <w:r w:rsidRPr="00122154">
        <w:rPr>
          <w:rFonts w:ascii="Trebuchet MS" w:hAnsi="Trebuchet MS"/>
          <w:b/>
          <w:i/>
          <w:iCs/>
          <w:sz w:val="22"/>
          <w:szCs w:val="22"/>
        </w:rPr>
        <w:t>A&amp;Gn – Administrative and General Costs of the Licensee for the nth year;</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R&amp;Mn – Repair and Maintenance Costs of the Licensee for the nth year;</w:t>
      </w:r>
    </w:p>
    <w:p w:rsidR="00F23537" w:rsidRPr="00122154" w:rsidRDefault="00F23537" w:rsidP="00F23537">
      <w:pPr>
        <w:autoSpaceDE w:val="0"/>
        <w:autoSpaceDN w:val="0"/>
        <w:adjustRightInd w:val="0"/>
        <w:ind w:firstLine="720"/>
        <w:jc w:val="left"/>
        <w:rPr>
          <w:rFonts w:ascii="Trebuchet MS" w:hAnsi="Trebuchet MS"/>
          <w:b/>
          <w:i/>
          <w:iCs/>
          <w:sz w:val="22"/>
          <w:szCs w:val="22"/>
        </w:rPr>
      </w:pPr>
    </w:p>
    <w:p w:rsidR="00F23537" w:rsidRPr="00122154" w:rsidRDefault="00F23537" w:rsidP="00F23537">
      <w:pPr>
        <w:autoSpaceDE w:val="0"/>
        <w:autoSpaceDN w:val="0"/>
        <w:adjustRightInd w:val="0"/>
        <w:ind w:left="720"/>
        <w:rPr>
          <w:rFonts w:ascii="Trebuchet MS" w:hAnsi="Trebuchet MS"/>
          <w:b/>
          <w:i/>
          <w:iCs/>
          <w:sz w:val="22"/>
          <w:szCs w:val="22"/>
        </w:rPr>
      </w:pPr>
      <w:r w:rsidRPr="00122154">
        <w:rPr>
          <w:rFonts w:ascii="Trebuchet MS" w:hAnsi="Trebuchet MS"/>
          <w:b/>
          <w:i/>
          <w:iCs/>
          <w:sz w:val="22"/>
          <w:szCs w:val="22"/>
        </w:rPr>
        <w:t>Xn is an efficiency factor for nth year. Value of Xn shall be determined by the Commission in the MYT Tariff order based on Applicant’s filing, benchmarking, approved cost by the Commission in past and any other factor the Commission feels appropriate.</w:t>
      </w:r>
    </w:p>
    <w:p w:rsidR="00F23537" w:rsidRPr="00122154" w:rsidRDefault="00F23537" w:rsidP="00F23537">
      <w:pPr>
        <w:autoSpaceDE w:val="0"/>
        <w:autoSpaceDN w:val="0"/>
        <w:adjustRightInd w:val="0"/>
        <w:ind w:firstLine="720"/>
        <w:jc w:val="left"/>
        <w:rPr>
          <w:rFonts w:ascii="Trebuchet MS" w:hAnsi="Trebuchet MS"/>
          <w:b/>
          <w:i/>
          <w:iCs/>
          <w:sz w:val="22"/>
          <w:szCs w:val="22"/>
        </w:rPr>
      </w:pPr>
      <w:r w:rsidRPr="00122154">
        <w:rPr>
          <w:rFonts w:ascii="Trebuchet MS" w:hAnsi="Trebuchet MS"/>
          <w:b/>
          <w:i/>
          <w:iCs/>
          <w:sz w:val="22"/>
          <w:szCs w:val="22"/>
        </w:rPr>
        <w:t>Where,</w:t>
      </w:r>
    </w:p>
    <w:p w:rsidR="00F23537" w:rsidRPr="00122154" w:rsidRDefault="00F23537" w:rsidP="00F23537">
      <w:pPr>
        <w:autoSpaceDE w:val="0"/>
        <w:autoSpaceDN w:val="0"/>
        <w:adjustRightInd w:val="0"/>
        <w:ind w:left="720"/>
        <w:rPr>
          <w:rFonts w:ascii="Trebuchet MS" w:hAnsi="Trebuchet MS"/>
          <w:b/>
          <w:i/>
          <w:iCs/>
          <w:sz w:val="22"/>
          <w:szCs w:val="22"/>
        </w:rPr>
      </w:pPr>
      <w:r w:rsidRPr="00122154">
        <w:rPr>
          <w:rFonts w:ascii="Trebuchet MS" w:hAnsi="Trebuchet MS"/>
          <w:b/>
          <w:i/>
          <w:iCs/>
          <w:sz w:val="22"/>
          <w:szCs w:val="22"/>
        </w:rPr>
        <w:t>„K is a constant (could be expressed in %). Value of K for each year of the Control Period shall be determined by the Commission in the MYT Tariff order based on Applicant’s filing, benchmarking, approved cost by the Commission in past and any other factor considered appropriate by the Commission;</w:t>
      </w:r>
    </w:p>
    <w:p w:rsidR="00F23537" w:rsidRPr="00122154" w:rsidRDefault="00F23537" w:rsidP="00F23537">
      <w:pPr>
        <w:autoSpaceDE w:val="0"/>
        <w:autoSpaceDN w:val="0"/>
        <w:adjustRightInd w:val="0"/>
        <w:ind w:left="720"/>
        <w:rPr>
          <w:rFonts w:ascii="Trebuchet MS" w:hAnsi="Trebuchet MS"/>
          <w:b/>
          <w:i/>
          <w:iCs/>
          <w:sz w:val="22"/>
          <w:szCs w:val="22"/>
        </w:rPr>
      </w:pPr>
      <w:r w:rsidRPr="00122154">
        <w:rPr>
          <w:rFonts w:ascii="Trebuchet MS" w:hAnsi="Trebuchet MS"/>
          <w:b/>
          <w:i/>
          <w:iCs/>
          <w:sz w:val="22"/>
          <w:szCs w:val="22"/>
        </w:rPr>
        <w:t>INDX - Inflation Factor to be used for indexing. Value of INDX shall be a combination of the Consumer Price Index (CPI) and the Wholesale Price Index (WPI) for immediately preceding five years before the base year;”</w:t>
      </w:r>
    </w:p>
    <w:p w:rsidR="00F23537" w:rsidRPr="00122154" w:rsidRDefault="00F23537" w:rsidP="00F23537">
      <w:pPr>
        <w:autoSpaceDE w:val="0"/>
        <w:autoSpaceDN w:val="0"/>
        <w:adjustRightInd w:val="0"/>
        <w:ind w:left="720"/>
        <w:rPr>
          <w:b/>
          <w:sz w:val="14"/>
          <w:szCs w:val="22"/>
        </w:rPr>
      </w:pPr>
    </w:p>
    <w:p w:rsidR="00F95F5A" w:rsidRDefault="00F23537" w:rsidP="00CB5AB5">
      <w:pPr>
        <w:autoSpaceDE w:val="0"/>
        <w:autoSpaceDN w:val="0"/>
        <w:adjustRightInd w:val="0"/>
        <w:ind w:left="720"/>
      </w:pPr>
      <w:r>
        <w:rPr>
          <w:sz w:val="22"/>
          <w:szCs w:val="22"/>
        </w:rPr>
        <w:t xml:space="preserve">As per the above definition, the base Year is FY </w:t>
      </w:r>
      <w:r w:rsidR="00AA5787">
        <w:rPr>
          <w:sz w:val="22"/>
          <w:szCs w:val="22"/>
        </w:rPr>
        <w:t>2014-15</w:t>
      </w:r>
      <w:r>
        <w:rPr>
          <w:sz w:val="22"/>
          <w:szCs w:val="22"/>
        </w:rPr>
        <w:t xml:space="preserve"> and the INDEX in the preceding five years has been computed as </w:t>
      </w:r>
      <w:r w:rsidR="00AA5787">
        <w:rPr>
          <w:sz w:val="22"/>
          <w:szCs w:val="22"/>
        </w:rPr>
        <w:t>8.85</w:t>
      </w:r>
      <w:r>
        <w:rPr>
          <w:sz w:val="22"/>
          <w:szCs w:val="22"/>
        </w:rPr>
        <w:t xml:space="preserve">%. </w:t>
      </w:r>
      <w:r w:rsidR="00DB21A1">
        <w:t>Earlier the petitioner has submitted the indexation value as 7.91% for base year FY 2011-12 as per following details :</w:t>
      </w:r>
    </w:p>
    <w:p w:rsidR="00264BEA" w:rsidRDefault="00264BEA" w:rsidP="00CB5AB5">
      <w:pPr>
        <w:autoSpaceDE w:val="0"/>
        <w:autoSpaceDN w:val="0"/>
        <w:adjustRightInd w:val="0"/>
        <w:ind w:left="720"/>
      </w:pPr>
    </w:p>
    <w:p w:rsidR="00264BEA" w:rsidRDefault="00264BEA" w:rsidP="00CB5AB5">
      <w:pPr>
        <w:autoSpaceDE w:val="0"/>
        <w:autoSpaceDN w:val="0"/>
        <w:adjustRightInd w:val="0"/>
        <w:ind w:left="720"/>
      </w:pPr>
    </w:p>
    <w:p w:rsidR="00264BEA" w:rsidRDefault="00264BEA" w:rsidP="00CB5AB5">
      <w:pPr>
        <w:autoSpaceDE w:val="0"/>
        <w:autoSpaceDN w:val="0"/>
        <w:adjustRightInd w:val="0"/>
        <w:ind w:left="720"/>
      </w:pPr>
    </w:p>
    <w:p w:rsidR="00264BEA" w:rsidRDefault="00264BEA" w:rsidP="00CB5AB5">
      <w:pPr>
        <w:autoSpaceDE w:val="0"/>
        <w:autoSpaceDN w:val="0"/>
        <w:adjustRightInd w:val="0"/>
        <w:ind w:left="720"/>
      </w:pPr>
    </w:p>
    <w:p w:rsidR="008E60F5" w:rsidRDefault="008E60F5" w:rsidP="008E60F5">
      <w:pPr>
        <w:pStyle w:val="Caption"/>
        <w:keepNext/>
        <w:spacing w:line="240" w:lineRule="auto"/>
        <w:jc w:val="center"/>
      </w:pPr>
      <w:bookmarkStart w:id="49" w:name="_Toc411603996"/>
      <w:r>
        <w:lastRenderedPageBreak/>
        <w:t xml:space="preserve">Table </w:t>
      </w:r>
      <w:fldSimple w:instr=" SEQ Table \* ARABIC ">
        <w:r w:rsidR="002326CE">
          <w:rPr>
            <w:noProof/>
          </w:rPr>
          <w:t>19</w:t>
        </w:r>
      </w:fldSimple>
      <w:r>
        <w:t xml:space="preserve"> : </w:t>
      </w:r>
      <w:r w:rsidRPr="00731C23">
        <w:t>Computation of INDEX</w:t>
      </w:r>
      <w:r>
        <w:t xml:space="preserve"> for FY 2011-12 base year</w:t>
      </w:r>
      <w:bookmarkEnd w:id="49"/>
    </w:p>
    <w:p w:rsidR="00F81DD1" w:rsidRPr="00F81DD1" w:rsidRDefault="00F81DD1" w:rsidP="00122154">
      <w:pPr>
        <w:spacing w:line="240" w:lineRule="auto"/>
        <w:rPr>
          <w:sz w:val="10"/>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5"/>
        <w:gridCol w:w="1647"/>
        <w:gridCol w:w="1663"/>
        <w:gridCol w:w="1648"/>
        <w:gridCol w:w="1533"/>
      </w:tblGrid>
      <w:tr w:rsidR="00F23537" w:rsidRPr="008E3DA3" w:rsidTr="008E3DA3">
        <w:trPr>
          <w:trHeight w:val="359"/>
        </w:trPr>
        <w:tc>
          <w:tcPr>
            <w:tcW w:w="1615" w:type="dxa"/>
            <w:vMerge w:val="restart"/>
            <w:shd w:val="clear" w:color="auto" w:fill="000080"/>
          </w:tcPr>
          <w:p w:rsidR="00F23537" w:rsidRPr="008E3DA3" w:rsidRDefault="00F23537" w:rsidP="008E3DA3">
            <w:pPr>
              <w:autoSpaceDE w:val="0"/>
              <w:autoSpaceDN w:val="0"/>
              <w:adjustRightInd w:val="0"/>
              <w:spacing w:line="240" w:lineRule="auto"/>
              <w:jc w:val="center"/>
              <w:rPr>
                <w:b/>
                <w:bCs/>
                <w:sz w:val="22"/>
                <w:szCs w:val="22"/>
              </w:rPr>
            </w:pPr>
            <w:r w:rsidRPr="008E3DA3">
              <w:rPr>
                <w:b/>
                <w:bCs/>
                <w:sz w:val="22"/>
                <w:szCs w:val="22"/>
              </w:rPr>
              <w:t>Financial Year</w:t>
            </w:r>
          </w:p>
        </w:tc>
        <w:tc>
          <w:tcPr>
            <w:tcW w:w="3310" w:type="dxa"/>
            <w:gridSpan w:val="2"/>
            <w:shd w:val="clear" w:color="auto" w:fill="000080"/>
          </w:tcPr>
          <w:p w:rsidR="00F23537" w:rsidRPr="008E3DA3" w:rsidRDefault="00F23537" w:rsidP="008E3DA3">
            <w:pPr>
              <w:autoSpaceDE w:val="0"/>
              <w:autoSpaceDN w:val="0"/>
              <w:adjustRightInd w:val="0"/>
              <w:spacing w:line="240" w:lineRule="auto"/>
              <w:jc w:val="center"/>
              <w:rPr>
                <w:b/>
                <w:bCs/>
                <w:sz w:val="22"/>
                <w:szCs w:val="22"/>
              </w:rPr>
            </w:pPr>
            <w:r w:rsidRPr="008E3DA3">
              <w:rPr>
                <w:b/>
                <w:bCs/>
                <w:sz w:val="22"/>
                <w:szCs w:val="22"/>
              </w:rPr>
              <w:t>Wholesale Price Index</w:t>
            </w:r>
          </w:p>
        </w:tc>
        <w:tc>
          <w:tcPr>
            <w:tcW w:w="3181" w:type="dxa"/>
            <w:gridSpan w:val="2"/>
            <w:shd w:val="clear" w:color="auto" w:fill="000080"/>
          </w:tcPr>
          <w:p w:rsidR="00F23537" w:rsidRPr="008E3DA3" w:rsidRDefault="00F23537" w:rsidP="008E3DA3">
            <w:pPr>
              <w:autoSpaceDE w:val="0"/>
              <w:autoSpaceDN w:val="0"/>
              <w:adjustRightInd w:val="0"/>
              <w:spacing w:line="240" w:lineRule="auto"/>
              <w:jc w:val="center"/>
              <w:rPr>
                <w:b/>
                <w:bCs/>
                <w:sz w:val="22"/>
                <w:szCs w:val="22"/>
              </w:rPr>
            </w:pPr>
            <w:r w:rsidRPr="008E3DA3">
              <w:rPr>
                <w:b/>
                <w:bCs/>
                <w:sz w:val="22"/>
                <w:szCs w:val="22"/>
              </w:rPr>
              <w:t>Consumer Price Index</w:t>
            </w:r>
          </w:p>
        </w:tc>
      </w:tr>
      <w:tr w:rsidR="00F23537" w:rsidRPr="008E3DA3" w:rsidTr="008E3DA3">
        <w:trPr>
          <w:trHeight w:val="271"/>
        </w:trPr>
        <w:tc>
          <w:tcPr>
            <w:tcW w:w="1615" w:type="dxa"/>
            <w:vMerge/>
            <w:shd w:val="clear" w:color="auto" w:fill="000080"/>
          </w:tcPr>
          <w:p w:rsidR="00F23537" w:rsidRPr="008E3DA3" w:rsidRDefault="00F23537" w:rsidP="008E3DA3">
            <w:pPr>
              <w:autoSpaceDE w:val="0"/>
              <w:autoSpaceDN w:val="0"/>
              <w:adjustRightInd w:val="0"/>
              <w:jc w:val="center"/>
              <w:rPr>
                <w:sz w:val="22"/>
                <w:szCs w:val="22"/>
              </w:rPr>
            </w:pPr>
          </w:p>
        </w:tc>
        <w:tc>
          <w:tcPr>
            <w:tcW w:w="1647" w:type="dxa"/>
            <w:shd w:val="clear" w:color="auto" w:fill="000080"/>
          </w:tcPr>
          <w:p w:rsidR="00F23537" w:rsidRPr="008E3DA3" w:rsidRDefault="00F23537" w:rsidP="008E3DA3">
            <w:pPr>
              <w:autoSpaceDE w:val="0"/>
              <w:autoSpaceDN w:val="0"/>
              <w:adjustRightInd w:val="0"/>
              <w:jc w:val="center"/>
              <w:rPr>
                <w:b/>
                <w:sz w:val="22"/>
                <w:szCs w:val="22"/>
              </w:rPr>
            </w:pPr>
            <w:r w:rsidRPr="008E3DA3">
              <w:rPr>
                <w:b/>
                <w:sz w:val="22"/>
                <w:szCs w:val="22"/>
              </w:rPr>
              <w:t>Value</w:t>
            </w:r>
          </w:p>
        </w:tc>
        <w:tc>
          <w:tcPr>
            <w:tcW w:w="1662" w:type="dxa"/>
            <w:shd w:val="clear" w:color="auto" w:fill="000080"/>
          </w:tcPr>
          <w:p w:rsidR="00F23537" w:rsidRPr="008E3DA3" w:rsidRDefault="00F23537" w:rsidP="008E3DA3">
            <w:pPr>
              <w:autoSpaceDE w:val="0"/>
              <w:autoSpaceDN w:val="0"/>
              <w:adjustRightInd w:val="0"/>
              <w:jc w:val="center"/>
              <w:rPr>
                <w:b/>
                <w:sz w:val="22"/>
                <w:szCs w:val="22"/>
              </w:rPr>
            </w:pPr>
            <w:r w:rsidRPr="008E3DA3">
              <w:rPr>
                <w:b/>
                <w:sz w:val="22"/>
                <w:szCs w:val="22"/>
              </w:rPr>
              <w:t>% Change</w:t>
            </w:r>
          </w:p>
        </w:tc>
        <w:tc>
          <w:tcPr>
            <w:tcW w:w="1648" w:type="dxa"/>
            <w:shd w:val="clear" w:color="auto" w:fill="000080"/>
          </w:tcPr>
          <w:p w:rsidR="00F23537" w:rsidRPr="008E3DA3" w:rsidRDefault="00F23537" w:rsidP="008E3DA3">
            <w:pPr>
              <w:autoSpaceDE w:val="0"/>
              <w:autoSpaceDN w:val="0"/>
              <w:adjustRightInd w:val="0"/>
              <w:jc w:val="center"/>
              <w:rPr>
                <w:b/>
                <w:sz w:val="22"/>
                <w:szCs w:val="22"/>
              </w:rPr>
            </w:pPr>
            <w:r w:rsidRPr="008E3DA3">
              <w:rPr>
                <w:b/>
                <w:sz w:val="22"/>
                <w:szCs w:val="22"/>
              </w:rPr>
              <w:t>Value</w:t>
            </w:r>
          </w:p>
        </w:tc>
        <w:tc>
          <w:tcPr>
            <w:tcW w:w="1532" w:type="dxa"/>
            <w:shd w:val="clear" w:color="auto" w:fill="000080"/>
          </w:tcPr>
          <w:p w:rsidR="00F23537" w:rsidRPr="008E3DA3" w:rsidRDefault="00F23537" w:rsidP="008E3DA3">
            <w:pPr>
              <w:autoSpaceDE w:val="0"/>
              <w:autoSpaceDN w:val="0"/>
              <w:adjustRightInd w:val="0"/>
              <w:jc w:val="center"/>
              <w:rPr>
                <w:b/>
                <w:sz w:val="22"/>
                <w:szCs w:val="22"/>
              </w:rPr>
            </w:pPr>
            <w:r w:rsidRPr="008E3DA3">
              <w:rPr>
                <w:b/>
                <w:sz w:val="22"/>
                <w:szCs w:val="22"/>
              </w:rPr>
              <w:t>% Change</w:t>
            </w:r>
          </w:p>
        </w:tc>
      </w:tr>
      <w:tr w:rsidR="00F23537" w:rsidRPr="008E3DA3" w:rsidTr="008E3DA3">
        <w:trPr>
          <w:trHeight w:val="359"/>
        </w:trPr>
        <w:tc>
          <w:tcPr>
            <w:tcW w:w="1615" w:type="dxa"/>
            <w:vAlign w:val="center"/>
          </w:tcPr>
          <w:p w:rsidR="00F23537" w:rsidRPr="008E3DA3" w:rsidRDefault="00F23537" w:rsidP="008E3DA3">
            <w:pPr>
              <w:autoSpaceDE w:val="0"/>
              <w:autoSpaceDN w:val="0"/>
              <w:adjustRightInd w:val="0"/>
              <w:jc w:val="center"/>
              <w:rPr>
                <w:b/>
                <w:sz w:val="22"/>
                <w:szCs w:val="22"/>
              </w:rPr>
            </w:pPr>
            <w:r w:rsidRPr="008E3DA3">
              <w:rPr>
                <w:b/>
                <w:sz w:val="22"/>
                <w:szCs w:val="22"/>
              </w:rPr>
              <w:t>FY 2005-06</w:t>
            </w:r>
          </w:p>
        </w:tc>
        <w:tc>
          <w:tcPr>
            <w:tcW w:w="1647"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104.5</w:t>
            </w:r>
          </w:p>
        </w:tc>
        <w:tc>
          <w:tcPr>
            <w:tcW w:w="1662" w:type="dxa"/>
            <w:vAlign w:val="center"/>
          </w:tcPr>
          <w:p w:rsidR="00F23537" w:rsidRPr="008E3DA3" w:rsidRDefault="00F23537" w:rsidP="008E3DA3">
            <w:pPr>
              <w:autoSpaceDE w:val="0"/>
              <w:autoSpaceDN w:val="0"/>
              <w:adjustRightInd w:val="0"/>
              <w:jc w:val="center"/>
              <w:rPr>
                <w:sz w:val="22"/>
                <w:szCs w:val="22"/>
              </w:rPr>
            </w:pPr>
          </w:p>
        </w:tc>
        <w:tc>
          <w:tcPr>
            <w:tcW w:w="1648"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117.01</w:t>
            </w:r>
          </w:p>
        </w:tc>
        <w:tc>
          <w:tcPr>
            <w:tcW w:w="1532" w:type="dxa"/>
            <w:vAlign w:val="center"/>
          </w:tcPr>
          <w:p w:rsidR="00F23537" w:rsidRPr="008E3DA3" w:rsidRDefault="00F23537" w:rsidP="008E3DA3">
            <w:pPr>
              <w:autoSpaceDE w:val="0"/>
              <w:autoSpaceDN w:val="0"/>
              <w:adjustRightInd w:val="0"/>
              <w:jc w:val="center"/>
              <w:rPr>
                <w:sz w:val="22"/>
                <w:szCs w:val="22"/>
              </w:rPr>
            </w:pPr>
          </w:p>
        </w:tc>
      </w:tr>
      <w:tr w:rsidR="00F23537" w:rsidRPr="008E3DA3" w:rsidTr="008E3DA3">
        <w:trPr>
          <w:trHeight w:val="359"/>
        </w:trPr>
        <w:tc>
          <w:tcPr>
            <w:tcW w:w="1615" w:type="dxa"/>
            <w:vAlign w:val="center"/>
          </w:tcPr>
          <w:p w:rsidR="00F23537" w:rsidRPr="008E3DA3" w:rsidRDefault="00F23537" w:rsidP="008E3DA3">
            <w:pPr>
              <w:autoSpaceDE w:val="0"/>
              <w:autoSpaceDN w:val="0"/>
              <w:adjustRightInd w:val="0"/>
              <w:jc w:val="center"/>
              <w:rPr>
                <w:b/>
                <w:sz w:val="22"/>
                <w:szCs w:val="22"/>
              </w:rPr>
            </w:pPr>
            <w:r w:rsidRPr="008E3DA3">
              <w:rPr>
                <w:b/>
                <w:sz w:val="22"/>
                <w:szCs w:val="22"/>
              </w:rPr>
              <w:t>FY 2006-07</w:t>
            </w:r>
          </w:p>
        </w:tc>
        <w:tc>
          <w:tcPr>
            <w:tcW w:w="1647"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114.4</w:t>
            </w:r>
          </w:p>
        </w:tc>
        <w:tc>
          <w:tcPr>
            <w:tcW w:w="166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9.47%</w:t>
            </w:r>
          </w:p>
        </w:tc>
        <w:tc>
          <w:tcPr>
            <w:tcW w:w="1648"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125</w:t>
            </w:r>
            <w:r w:rsidR="00122154" w:rsidRPr="008E3DA3">
              <w:rPr>
                <w:rFonts w:ascii="Arial" w:hAnsi="Arial"/>
                <w:sz w:val="22"/>
                <w:szCs w:val="22"/>
                <w:lang w:bidi="hi-IN"/>
              </w:rPr>
              <w:t>.0</w:t>
            </w:r>
          </w:p>
        </w:tc>
        <w:tc>
          <w:tcPr>
            <w:tcW w:w="153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6.83%</w:t>
            </w:r>
          </w:p>
        </w:tc>
      </w:tr>
      <w:tr w:rsidR="00F23537" w:rsidRPr="008E3DA3" w:rsidTr="008E3DA3">
        <w:trPr>
          <w:trHeight w:val="359"/>
        </w:trPr>
        <w:tc>
          <w:tcPr>
            <w:tcW w:w="1615" w:type="dxa"/>
            <w:vAlign w:val="center"/>
          </w:tcPr>
          <w:p w:rsidR="00F23537" w:rsidRPr="008E3DA3" w:rsidRDefault="00F23537" w:rsidP="008E3DA3">
            <w:pPr>
              <w:autoSpaceDE w:val="0"/>
              <w:autoSpaceDN w:val="0"/>
              <w:adjustRightInd w:val="0"/>
              <w:jc w:val="center"/>
              <w:rPr>
                <w:b/>
                <w:sz w:val="22"/>
                <w:szCs w:val="22"/>
              </w:rPr>
            </w:pPr>
            <w:r w:rsidRPr="008E3DA3">
              <w:rPr>
                <w:b/>
                <w:sz w:val="22"/>
                <w:szCs w:val="22"/>
              </w:rPr>
              <w:t>FY 2007-08</w:t>
            </w:r>
          </w:p>
        </w:tc>
        <w:tc>
          <w:tcPr>
            <w:tcW w:w="1647"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116.6</w:t>
            </w:r>
          </w:p>
        </w:tc>
        <w:tc>
          <w:tcPr>
            <w:tcW w:w="166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1.92%</w:t>
            </w:r>
          </w:p>
        </w:tc>
        <w:tc>
          <w:tcPr>
            <w:tcW w:w="1648"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133</w:t>
            </w:r>
            <w:r w:rsidR="00122154" w:rsidRPr="008E3DA3">
              <w:rPr>
                <w:rFonts w:ascii="Arial" w:hAnsi="Arial"/>
                <w:sz w:val="22"/>
                <w:szCs w:val="22"/>
                <w:lang w:bidi="hi-IN"/>
              </w:rPr>
              <w:t>.0</w:t>
            </w:r>
          </w:p>
        </w:tc>
        <w:tc>
          <w:tcPr>
            <w:tcW w:w="153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6.40%</w:t>
            </w:r>
          </w:p>
        </w:tc>
      </w:tr>
      <w:tr w:rsidR="00F23537" w:rsidRPr="008E3DA3" w:rsidTr="008E3DA3">
        <w:trPr>
          <w:trHeight w:val="359"/>
        </w:trPr>
        <w:tc>
          <w:tcPr>
            <w:tcW w:w="1615" w:type="dxa"/>
            <w:vAlign w:val="center"/>
          </w:tcPr>
          <w:p w:rsidR="00F23537" w:rsidRPr="008E3DA3" w:rsidRDefault="00F23537" w:rsidP="008E3DA3">
            <w:pPr>
              <w:autoSpaceDE w:val="0"/>
              <w:autoSpaceDN w:val="0"/>
              <w:adjustRightInd w:val="0"/>
              <w:jc w:val="center"/>
              <w:rPr>
                <w:b/>
                <w:sz w:val="22"/>
                <w:szCs w:val="22"/>
              </w:rPr>
            </w:pPr>
            <w:r w:rsidRPr="008E3DA3">
              <w:rPr>
                <w:b/>
                <w:sz w:val="22"/>
                <w:szCs w:val="22"/>
              </w:rPr>
              <w:t>FY 2008-09</w:t>
            </w:r>
          </w:p>
        </w:tc>
        <w:tc>
          <w:tcPr>
            <w:tcW w:w="1647"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126</w:t>
            </w:r>
            <w:r w:rsidR="00122154" w:rsidRPr="008E3DA3">
              <w:rPr>
                <w:rFonts w:ascii="Arial" w:hAnsi="Arial"/>
                <w:sz w:val="22"/>
                <w:szCs w:val="22"/>
                <w:lang w:bidi="hi-IN"/>
              </w:rPr>
              <w:t>.0</w:t>
            </w:r>
          </w:p>
        </w:tc>
        <w:tc>
          <w:tcPr>
            <w:tcW w:w="166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8.06%</w:t>
            </w:r>
          </w:p>
        </w:tc>
        <w:tc>
          <w:tcPr>
            <w:tcW w:w="1648"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145</w:t>
            </w:r>
            <w:r w:rsidR="00122154" w:rsidRPr="008E3DA3">
              <w:rPr>
                <w:rFonts w:ascii="Arial" w:hAnsi="Arial"/>
                <w:sz w:val="22"/>
                <w:szCs w:val="22"/>
                <w:lang w:bidi="hi-IN"/>
              </w:rPr>
              <w:t>.0</w:t>
            </w:r>
          </w:p>
        </w:tc>
        <w:tc>
          <w:tcPr>
            <w:tcW w:w="153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9.02%</w:t>
            </w:r>
          </w:p>
        </w:tc>
      </w:tr>
      <w:tr w:rsidR="00F23537" w:rsidRPr="008E3DA3" w:rsidTr="008E3DA3">
        <w:trPr>
          <w:trHeight w:val="359"/>
        </w:trPr>
        <w:tc>
          <w:tcPr>
            <w:tcW w:w="1615" w:type="dxa"/>
            <w:vAlign w:val="center"/>
          </w:tcPr>
          <w:p w:rsidR="00F23537" w:rsidRPr="008E3DA3" w:rsidRDefault="00F23537" w:rsidP="008E3DA3">
            <w:pPr>
              <w:autoSpaceDE w:val="0"/>
              <w:autoSpaceDN w:val="0"/>
              <w:adjustRightInd w:val="0"/>
              <w:jc w:val="center"/>
              <w:rPr>
                <w:b/>
                <w:sz w:val="22"/>
                <w:szCs w:val="22"/>
              </w:rPr>
            </w:pPr>
            <w:r w:rsidRPr="008E3DA3">
              <w:rPr>
                <w:b/>
                <w:sz w:val="22"/>
                <w:szCs w:val="22"/>
              </w:rPr>
              <w:t>FY 2009-10</w:t>
            </w:r>
          </w:p>
        </w:tc>
        <w:tc>
          <w:tcPr>
            <w:tcW w:w="1647"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130.8</w:t>
            </w:r>
          </w:p>
        </w:tc>
        <w:tc>
          <w:tcPr>
            <w:tcW w:w="166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3.81%</w:t>
            </w:r>
          </w:p>
        </w:tc>
        <w:tc>
          <w:tcPr>
            <w:tcW w:w="1648"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163</w:t>
            </w:r>
            <w:r w:rsidR="00122154" w:rsidRPr="008E3DA3">
              <w:rPr>
                <w:rFonts w:ascii="Arial" w:hAnsi="Arial"/>
                <w:sz w:val="22"/>
                <w:szCs w:val="22"/>
                <w:lang w:bidi="hi-IN"/>
              </w:rPr>
              <w:t>.0</w:t>
            </w:r>
          </w:p>
        </w:tc>
        <w:tc>
          <w:tcPr>
            <w:tcW w:w="153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12.41%</w:t>
            </w:r>
          </w:p>
        </w:tc>
      </w:tr>
      <w:tr w:rsidR="00F23537" w:rsidRPr="008E3DA3" w:rsidTr="008E3DA3">
        <w:trPr>
          <w:trHeight w:val="359"/>
        </w:trPr>
        <w:tc>
          <w:tcPr>
            <w:tcW w:w="1615" w:type="dxa"/>
            <w:vAlign w:val="center"/>
          </w:tcPr>
          <w:p w:rsidR="00F23537" w:rsidRPr="008E3DA3" w:rsidRDefault="00F23537" w:rsidP="008E3DA3">
            <w:pPr>
              <w:autoSpaceDE w:val="0"/>
              <w:autoSpaceDN w:val="0"/>
              <w:adjustRightInd w:val="0"/>
              <w:jc w:val="center"/>
              <w:rPr>
                <w:b/>
                <w:sz w:val="22"/>
                <w:szCs w:val="22"/>
              </w:rPr>
            </w:pPr>
            <w:r w:rsidRPr="008E3DA3">
              <w:rPr>
                <w:b/>
                <w:sz w:val="22"/>
                <w:szCs w:val="22"/>
              </w:rPr>
              <w:t>FY 2010-11</w:t>
            </w:r>
          </w:p>
        </w:tc>
        <w:tc>
          <w:tcPr>
            <w:tcW w:w="1647"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143.3</w:t>
            </w:r>
          </w:p>
        </w:tc>
        <w:tc>
          <w:tcPr>
            <w:tcW w:w="166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9.56%</w:t>
            </w:r>
          </w:p>
        </w:tc>
        <w:tc>
          <w:tcPr>
            <w:tcW w:w="1648"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180</w:t>
            </w:r>
            <w:r w:rsidR="00122154" w:rsidRPr="008E3DA3">
              <w:rPr>
                <w:rFonts w:ascii="Arial" w:hAnsi="Arial"/>
                <w:sz w:val="22"/>
                <w:szCs w:val="22"/>
                <w:lang w:bidi="hi-IN"/>
              </w:rPr>
              <w:t>.0</w:t>
            </w:r>
          </w:p>
        </w:tc>
        <w:tc>
          <w:tcPr>
            <w:tcW w:w="1532" w:type="dxa"/>
            <w:vAlign w:val="center"/>
          </w:tcPr>
          <w:p w:rsidR="00F23537" w:rsidRPr="008E3DA3" w:rsidRDefault="00F23537" w:rsidP="008E3DA3">
            <w:pPr>
              <w:spacing w:line="240" w:lineRule="auto"/>
              <w:jc w:val="center"/>
              <w:rPr>
                <w:rFonts w:ascii="Arial" w:hAnsi="Arial"/>
                <w:sz w:val="22"/>
                <w:szCs w:val="22"/>
                <w:lang w:bidi="hi-IN"/>
              </w:rPr>
            </w:pPr>
            <w:r w:rsidRPr="008E3DA3">
              <w:rPr>
                <w:rFonts w:ascii="Arial" w:hAnsi="Arial"/>
                <w:sz w:val="22"/>
                <w:szCs w:val="22"/>
                <w:lang w:bidi="hi-IN"/>
              </w:rPr>
              <w:t>10.43%</w:t>
            </w:r>
          </w:p>
        </w:tc>
      </w:tr>
      <w:tr w:rsidR="00F23537" w:rsidRPr="008E3DA3" w:rsidTr="008E3DA3">
        <w:trPr>
          <w:trHeight w:val="359"/>
        </w:trPr>
        <w:tc>
          <w:tcPr>
            <w:tcW w:w="1615" w:type="dxa"/>
            <w:vAlign w:val="center"/>
          </w:tcPr>
          <w:p w:rsidR="00F23537" w:rsidRPr="008E3DA3" w:rsidRDefault="00F23537" w:rsidP="008E3DA3">
            <w:pPr>
              <w:autoSpaceDE w:val="0"/>
              <w:autoSpaceDN w:val="0"/>
              <w:adjustRightInd w:val="0"/>
              <w:jc w:val="center"/>
              <w:rPr>
                <w:b/>
                <w:sz w:val="22"/>
                <w:szCs w:val="22"/>
              </w:rPr>
            </w:pPr>
            <w:r w:rsidRPr="008E3DA3">
              <w:rPr>
                <w:b/>
                <w:sz w:val="22"/>
                <w:szCs w:val="22"/>
              </w:rPr>
              <w:t>Average</w:t>
            </w:r>
          </w:p>
        </w:tc>
        <w:tc>
          <w:tcPr>
            <w:tcW w:w="1647" w:type="dxa"/>
            <w:vAlign w:val="center"/>
          </w:tcPr>
          <w:p w:rsidR="00F23537" w:rsidRPr="008E3DA3" w:rsidRDefault="00F23537" w:rsidP="008E3DA3">
            <w:pPr>
              <w:spacing w:line="240" w:lineRule="auto"/>
              <w:jc w:val="center"/>
              <w:rPr>
                <w:rFonts w:ascii="Arial" w:hAnsi="Arial"/>
                <w:sz w:val="22"/>
                <w:szCs w:val="22"/>
                <w:lang w:bidi="hi-IN"/>
              </w:rPr>
            </w:pPr>
          </w:p>
        </w:tc>
        <w:tc>
          <w:tcPr>
            <w:tcW w:w="1662" w:type="dxa"/>
            <w:vAlign w:val="center"/>
          </w:tcPr>
          <w:p w:rsidR="00F23537" w:rsidRPr="008E3DA3" w:rsidRDefault="00F23537" w:rsidP="008E3DA3">
            <w:pPr>
              <w:spacing w:line="240" w:lineRule="auto"/>
              <w:jc w:val="center"/>
              <w:rPr>
                <w:rFonts w:ascii="Arial" w:hAnsi="Arial"/>
                <w:b/>
                <w:bCs/>
                <w:sz w:val="22"/>
                <w:szCs w:val="22"/>
                <w:lang w:bidi="hi-IN"/>
              </w:rPr>
            </w:pPr>
            <w:r w:rsidRPr="008E3DA3">
              <w:rPr>
                <w:rFonts w:ascii="Arial" w:hAnsi="Arial"/>
                <w:b/>
                <w:bCs/>
                <w:sz w:val="22"/>
                <w:szCs w:val="22"/>
                <w:lang w:bidi="hi-IN"/>
              </w:rPr>
              <w:t>6.56%</w:t>
            </w:r>
          </w:p>
        </w:tc>
        <w:tc>
          <w:tcPr>
            <w:tcW w:w="1648" w:type="dxa"/>
            <w:vAlign w:val="center"/>
          </w:tcPr>
          <w:p w:rsidR="00F23537" w:rsidRPr="008E3DA3" w:rsidRDefault="00F23537" w:rsidP="008E3DA3">
            <w:pPr>
              <w:spacing w:line="240" w:lineRule="auto"/>
              <w:jc w:val="center"/>
              <w:rPr>
                <w:rFonts w:ascii="Arial" w:hAnsi="Arial"/>
                <w:b/>
                <w:bCs/>
                <w:sz w:val="22"/>
                <w:szCs w:val="22"/>
                <w:lang w:bidi="hi-IN"/>
              </w:rPr>
            </w:pPr>
          </w:p>
        </w:tc>
        <w:tc>
          <w:tcPr>
            <w:tcW w:w="1532" w:type="dxa"/>
            <w:vAlign w:val="center"/>
          </w:tcPr>
          <w:p w:rsidR="00F23537" w:rsidRPr="008E3DA3" w:rsidRDefault="00F23537" w:rsidP="008E3DA3">
            <w:pPr>
              <w:spacing w:line="240" w:lineRule="auto"/>
              <w:jc w:val="center"/>
              <w:rPr>
                <w:rFonts w:ascii="Arial" w:hAnsi="Arial"/>
                <w:b/>
                <w:bCs/>
                <w:sz w:val="22"/>
                <w:szCs w:val="22"/>
                <w:lang w:bidi="hi-IN"/>
              </w:rPr>
            </w:pPr>
            <w:r w:rsidRPr="008E3DA3">
              <w:rPr>
                <w:rFonts w:ascii="Arial" w:hAnsi="Arial"/>
                <w:b/>
                <w:bCs/>
                <w:sz w:val="22"/>
                <w:szCs w:val="22"/>
                <w:lang w:bidi="hi-IN"/>
              </w:rPr>
              <w:t>9.02%</w:t>
            </w:r>
          </w:p>
        </w:tc>
      </w:tr>
      <w:tr w:rsidR="00F23537" w:rsidRPr="008E3DA3" w:rsidTr="008E3DA3">
        <w:trPr>
          <w:trHeight w:val="359"/>
        </w:trPr>
        <w:tc>
          <w:tcPr>
            <w:tcW w:w="1615" w:type="dxa"/>
            <w:vAlign w:val="center"/>
          </w:tcPr>
          <w:p w:rsidR="00F23537" w:rsidRPr="008E3DA3" w:rsidRDefault="00EE028F" w:rsidP="008E3DA3">
            <w:pPr>
              <w:autoSpaceDE w:val="0"/>
              <w:autoSpaceDN w:val="0"/>
              <w:adjustRightInd w:val="0"/>
              <w:jc w:val="center"/>
              <w:rPr>
                <w:b/>
                <w:sz w:val="22"/>
                <w:szCs w:val="22"/>
              </w:rPr>
            </w:pPr>
            <w:r w:rsidRPr="008E3DA3">
              <w:rPr>
                <w:b/>
                <w:sz w:val="22"/>
                <w:szCs w:val="22"/>
              </w:rPr>
              <w:t>Weight age</w:t>
            </w:r>
          </w:p>
        </w:tc>
        <w:tc>
          <w:tcPr>
            <w:tcW w:w="1647" w:type="dxa"/>
            <w:vAlign w:val="center"/>
          </w:tcPr>
          <w:p w:rsidR="00F23537" w:rsidRPr="008E3DA3" w:rsidRDefault="00F23537" w:rsidP="008E3DA3">
            <w:pPr>
              <w:spacing w:line="240" w:lineRule="auto"/>
              <w:jc w:val="center"/>
              <w:rPr>
                <w:rFonts w:ascii="Arial" w:hAnsi="Arial"/>
                <w:sz w:val="22"/>
                <w:szCs w:val="22"/>
                <w:lang w:bidi="hi-IN"/>
              </w:rPr>
            </w:pPr>
          </w:p>
        </w:tc>
        <w:tc>
          <w:tcPr>
            <w:tcW w:w="1662" w:type="dxa"/>
            <w:vAlign w:val="center"/>
          </w:tcPr>
          <w:p w:rsidR="00F23537" w:rsidRPr="008E3DA3" w:rsidRDefault="00F23537" w:rsidP="008E3DA3">
            <w:pPr>
              <w:spacing w:line="240" w:lineRule="auto"/>
              <w:jc w:val="center"/>
              <w:rPr>
                <w:rFonts w:ascii="Arial" w:hAnsi="Arial"/>
                <w:b/>
                <w:bCs/>
                <w:sz w:val="22"/>
                <w:szCs w:val="22"/>
                <w:lang w:bidi="hi-IN"/>
              </w:rPr>
            </w:pPr>
            <w:r w:rsidRPr="008E3DA3">
              <w:rPr>
                <w:rFonts w:ascii="Arial" w:hAnsi="Arial"/>
                <w:b/>
                <w:bCs/>
                <w:sz w:val="22"/>
                <w:szCs w:val="22"/>
                <w:lang w:bidi="hi-IN"/>
              </w:rPr>
              <w:t>0.45</w:t>
            </w:r>
          </w:p>
        </w:tc>
        <w:tc>
          <w:tcPr>
            <w:tcW w:w="1648" w:type="dxa"/>
            <w:vAlign w:val="center"/>
          </w:tcPr>
          <w:p w:rsidR="00F23537" w:rsidRPr="008E3DA3" w:rsidRDefault="00F23537" w:rsidP="008E3DA3">
            <w:pPr>
              <w:spacing w:line="240" w:lineRule="auto"/>
              <w:jc w:val="center"/>
              <w:rPr>
                <w:rFonts w:ascii="Arial" w:hAnsi="Arial"/>
                <w:b/>
                <w:bCs/>
                <w:sz w:val="22"/>
                <w:szCs w:val="22"/>
                <w:lang w:bidi="hi-IN"/>
              </w:rPr>
            </w:pPr>
          </w:p>
        </w:tc>
        <w:tc>
          <w:tcPr>
            <w:tcW w:w="1532" w:type="dxa"/>
            <w:vAlign w:val="center"/>
          </w:tcPr>
          <w:p w:rsidR="00F23537" w:rsidRPr="008E3DA3" w:rsidRDefault="00F23537" w:rsidP="008E3DA3">
            <w:pPr>
              <w:spacing w:line="240" w:lineRule="auto"/>
              <w:jc w:val="center"/>
              <w:rPr>
                <w:rFonts w:ascii="Arial" w:hAnsi="Arial"/>
                <w:b/>
                <w:bCs/>
                <w:sz w:val="22"/>
                <w:szCs w:val="22"/>
                <w:lang w:bidi="hi-IN"/>
              </w:rPr>
            </w:pPr>
            <w:r w:rsidRPr="008E3DA3">
              <w:rPr>
                <w:rFonts w:ascii="Arial" w:hAnsi="Arial"/>
                <w:b/>
                <w:bCs/>
                <w:sz w:val="22"/>
                <w:szCs w:val="22"/>
                <w:lang w:bidi="hi-IN"/>
              </w:rPr>
              <w:t>0.55</w:t>
            </w:r>
          </w:p>
        </w:tc>
      </w:tr>
      <w:tr w:rsidR="00F23537" w:rsidRPr="008E3DA3" w:rsidTr="008E3DA3">
        <w:trPr>
          <w:trHeight w:val="370"/>
        </w:trPr>
        <w:tc>
          <w:tcPr>
            <w:tcW w:w="1615" w:type="dxa"/>
            <w:vAlign w:val="center"/>
          </w:tcPr>
          <w:p w:rsidR="00F23537" w:rsidRPr="008E3DA3" w:rsidRDefault="00F23537" w:rsidP="008E3DA3">
            <w:pPr>
              <w:autoSpaceDE w:val="0"/>
              <w:autoSpaceDN w:val="0"/>
              <w:adjustRightInd w:val="0"/>
              <w:jc w:val="center"/>
              <w:rPr>
                <w:b/>
                <w:sz w:val="22"/>
                <w:szCs w:val="22"/>
              </w:rPr>
            </w:pPr>
            <w:r w:rsidRPr="008E3DA3">
              <w:rPr>
                <w:b/>
                <w:sz w:val="22"/>
                <w:szCs w:val="22"/>
              </w:rPr>
              <w:t>INDEX</w:t>
            </w:r>
          </w:p>
        </w:tc>
        <w:tc>
          <w:tcPr>
            <w:tcW w:w="6491" w:type="dxa"/>
            <w:gridSpan w:val="4"/>
            <w:vAlign w:val="center"/>
          </w:tcPr>
          <w:p w:rsidR="00F23537" w:rsidRPr="008E3DA3" w:rsidRDefault="00F23537" w:rsidP="008E3DA3">
            <w:pPr>
              <w:spacing w:line="240" w:lineRule="auto"/>
              <w:jc w:val="center"/>
              <w:rPr>
                <w:rFonts w:ascii="Arial" w:hAnsi="Arial"/>
                <w:b/>
                <w:bCs/>
                <w:sz w:val="22"/>
                <w:szCs w:val="22"/>
                <w:lang w:bidi="hi-IN"/>
              </w:rPr>
            </w:pPr>
            <w:r w:rsidRPr="008E3DA3">
              <w:rPr>
                <w:rFonts w:ascii="Arial" w:hAnsi="Arial"/>
                <w:b/>
                <w:bCs/>
                <w:sz w:val="22"/>
                <w:szCs w:val="22"/>
                <w:lang w:bidi="hi-IN"/>
              </w:rPr>
              <w:t>7.91%</w:t>
            </w:r>
          </w:p>
        </w:tc>
      </w:tr>
    </w:tbl>
    <w:p w:rsidR="007A4861" w:rsidRDefault="00F23537" w:rsidP="00F23537">
      <w:pPr>
        <w:ind w:left="900" w:hanging="360"/>
        <w:rPr>
          <w:sz w:val="22"/>
          <w:szCs w:val="22"/>
        </w:rPr>
      </w:pPr>
      <w:r>
        <w:rPr>
          <w:sz w:val="22"/>
          <w:szCs w:val="22"/>
        </w:rPr>
        <w:tab/>
      </w:r>
    </w:p>
    <w:p w:rsidR="008E60F5" w:rsidRDefault="008E60F5" w:rsidP="0062159F">
      <w:pPr>
        <w:pStyle w:val="Caption"/>
        <w:keepNext/>
        <w:spacing w:line="240" w:lineRule="auto"/>
        <w:jc w:val="center"/>
        <w:rPr>
          <w:sz w:val="22"/>
          <w:szCs w:val="22"/>
        </w:rPr>
      </w:pPr>
      <w:bookmarkStart w:id="50" w:name="_Toc411603997"/>
      <w:r>
        <w:t xml:space="preserve">Table </w:t>
      </w:r>
      <w:fldSimple w:instr=" SEQ Table \* ARABIC ">
        <w:r w:rsidR="002326CE">
          <w:rPr>
            <w:noProof/>
          </w:rPr>
          <w:t>20</w:t>
        </w:r>
      </w:fldSimple>
      <w:r>
        <w:t xml:space="preserve"> : </w:t>
      </w:r>
      <w:r w:rsidRPr="00731C23">
        <w:t>Computation of INDEX</w:t>
      </w:r>
      <w:r>
        <w:t xml:space="preserve"> for FY 2014-15 base year</w:t>
      </w:r>
      <w:bookmarkEnd w:id="50"/>
    </w:p>
    <w:tbl>
      <w:tblPr>
        <w:tblW w:w="81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1440"/>
        <w:gridCol w:w="1620"/>
        <w:gridCol w:w="1350"/>
        <w:gridCol w:w="1460"/>
      </w:tblGrid>
      <w:tr w:rsidR="007A4861" w:rsidRPr="00F95F5A" w:rsidTr="00B97225">
        <w:trPr>
          <w:trHeight w:val="320"/>
        </w:trPr>
        <w:tc>
          <w:tcPr>
            <w:tcW w:w="2250" w:type="dxa"/>
            <w:shd w:val="clear" w:color="auto" w:fill="0070C0"/>
            <w:noWrap/>
            <w:vAlign w:val="bottom"/>
            <w:hideMark/>
          </w:tcPr>
          <w:p w:rsidR="007A4861" w:rsidRPr="00F95F5A" w:rsidRDefault="007A4861" w:rsidP="00433B1A">
            <w:pPr>
              <w:autoSpaceDE w:val="0"/>
              <w:autoSpaceDN w:val="0"/>
              <w:adjustRightInd w:val="0"/>
              <w:spacing w:line="240" w:lineRule="auto"/>
              <w:jc w:val="center"/>
              <w:rPr>
                <w:b/>
                <w:bCs/>
                <w:sz w:val="22"/>
                <w:szCs w:val="22"/>
              </w:rPr>
            </w:pPr>
          </w:p>
        </w:tc>
        <w:tc>
          <w:tcPr>
            <w:tcW w:w="1440" w:type="dxa"/>
            <w:shd w:val="clear" w:color="auto" w:fill="0070C0"/>
            <w:noWrap/>
            <w:vAlign w:val="bottom"/>
            <w:hideMark/>
          </w:tcPr>
          <w:p w:rsidR="007A4861" w:rsidRPr="00F95F5A" w:rsidRDefault="007A4861" w:rsidP="00433B1A">
            <w:pPr>
              <w:autoSpaceDE w:val="0"/>
              <w:autoSpaceDN w:val="0"/>
              <w:adjustRightInd w:val="0"/>
              <w:spacing w:line="240" w:lineRule="auto"/>
              <w:jc w:val="center"/>
              <w:rPr>
                <w:b/>
                <w:bCs/>
                <w:sz w:val="22"/>
                <w:szCs w:val="22"/>
              </w:rPr>
            </w:pPr>
            <w:r w:rsidRPr="00F95F5A">
              <w:rPr>
                <w:b/>
                <w:bCs/>
                <w:sz w:val="22"/>
                <w:szCs w:val="22"/>
              </w:rPr>
              <w:t>CPI</w:t>
            </w:r>
          </w:p>
        </w:tc>
        <w:tc>
          <w:tcPr>
            <w:tcW w:w="1620" w:type="dxa"/>
            <w:shd w:val="clear" w:color="auto" w:fill="0070C0"/>
            <w:noWrap/>
            <w:vAlign w:val="bottom"/>
            <w:hideMark/>
          </w:tcPr>
          <w:p w:rsidR="007A4861" w:rsidRPr="00F95F5A" w:rsidRDefault="007A4861" w:rsidP="00433B1A">
            <w:pPr>
              <w:autoSpaceDE w:val="0"/>
              <w:autoSpaceDN w:val="0"/>
              <w:adjustRightInd w:val="0"/>
              <w:spacing w:line="240" w:lineRule="auto"/>
              <w:jc w:val="center"/>
              <w:rPr>
                <w:b/>
                <w:bCs/>
                <w:sz w:val="22"/>
                <w:szCs w:val="22"/>
              </w:rPr>
            </w:pPr>
            <w:r w:rsidRPr="00F95F5A">
              <w:rPr>
                <w:b/>
                <w:bCs/>
                <w:sz w:val="22"/>
                <w:szCs w:val="22"/>
              </w:rPr>
              <w:t>Change(%)</w:t>
            </w:r>
          </w:p>
        </w:tc>
        <w:tc>
          <w:tcPr>
            <w:tcW w:w="1350" w:type="dxa"/>
            <w:shd w:val="clear" w:color="auto" w:fill="0070C0"/>
            <w:noWrap/>
            <w:vAlign w:val="bottom"/>
            <w:hideMark/>
          </w:tcPr>
          <w:p w:rsidR="007A4861" w:rsidRPr="00F95F5A" w:rsidRDefault="007A4861" w:rsidP="00433B1A">
            <w:pPr>
              <w:autoSpaceDE w:val="0"/>
              <w:autoSpaceDN w:val="0"/>
              <w:adjustRightInd w:val="0"/>
              <w:spacing w:line="240" w:lineRule="auto"/>
              <w:jc w:val="center"/>
              <w:rPr>
                <w:b/>
                <w:bCs/>
                <w:sz w:val="22"/>
                <w:szCs w:val="22"/>
              </w:rPr>
            </w:pPr>
            <w:r w:rsidRPr="00F95F5A">
              <w:rPr>
                <w:b/>
                <w:bCs/>
                <w:sz w:val="22"/>
                <w:szCs w:val="22"/>
              </w:rPr>
              <w:t>WPI</w:t>
            </w:r>
          </w:p>
        </w:tc>
        <w:tc>
          <w:tcPr>
            <w:tcW w:w="1460" w:type="dxa"/>
            <w:shd w:val="clear" w:color="auto" w:fill="0070C0"/>
            <w:noWrap/>
            <w:vAlign w:val="bottom"/>
            <w:hideMark/>
          </w:tcPr>
          <w:p w:rsidR="007A4861" w:rsidRPr="00F95F5A" w:rsidRDefault="007A4861" w:rsidP="00433B1A">
            <w:pPr>
              <w:autoSpaceDE w:val="0"/>
              <w:autoSpaceDN w:val="0"/>
              <w:adjustRightInd w:val="0"/>
              <w:spacing w:line="240" w:lineRule="auto"/>
              <w:jc w:val="center"/>
              <w:rPr>
                <w:b/>
                <w:bCs/>
                <w:sz w:val="22"/>
                <w:szCs w:val="22"/>
              </w:rPr>
            </w:pPr>
            <w:r w:rsidRPr="00F95F5A">
              <w:rPr>
                <w:b/>
                <w:bCs/>
                <w:sz w:val="22"/>
                <w:szCs w:val="22"/>
              </w:rPr>
              <w:t>Change(%)</w:t>
            </w: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center"/>
              <w:rPr>
                <w:rFonts w:ascii="Calibri" w:hAnsi="Calibri" w:cs="Times New Roman"/>
                <w:sz w:val="22"/>
                <w:szCs w:val="22"/>
              </w:rPr>
            </w:pPr>
            <w:r w:rsidRPr="00F95F5A">
              <w:rPr>
                <w:rFonts w:ascii="Calibri" w:hAnsi="Calibri" w:cs="Times New Roman"/>
                <w:sz w:val="22"/>
                <w:szCs w:val="22"/>
              </w:rPr>
              <w:t>2008-09</w:t>
            </w:r>
          </w:p>
        </w:tc>
        <w:tc>
          <w:tcPr>
            <w:tcW w:w="144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144.83</w:t>
            </w:r>
          </w:p>
        </w:tc>
        <w:tc>
          <w:tcPr>
            <w:tcW w:w="162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35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126.02</w:t>
            </w:r>
          </w:p>
        </w:tc>
        <w:tc>
          <w:tcPr>
            <w:tcW w:w="146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center"/>
              <w:rPr>
                <w:rFonts w:ascii="Calibri" w:hAnsi="Calibri" w:cs="Times New Roman"/>
                <w:sz w:val="22"/>
                <w:szCs w:val="22"/>
              </w:rPr>
            </w:pPr>
            <w:r w:rsidRPr="00F95F5A">
              <w:rPr>
                <w:rFonts w:ascii="Calibri" w:hAnsi="Calibri" w:cs="Times New Roman"/>
                <w:sz w:val="22"/>
                <w:szCs w:val="22"/>
              </w:rPr>
              <w:t>2009-10</w:t>
            </w:r>
          </w:p>
        </w:tc>
        <w:tc>
          <w:tcPr>
            <w:tcW w:w="144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162.75</w:t>
            </w:r>
          </w:p>
        </w:tc>
        <w:tc>
          <w:tcPr>
            <w:tcW w:w="162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12.37</w:t>
            </w:r>
          </w:p>
        </w:tc>
        <w:tc>
          <w:tcPr>
            <w:tcW w:w="135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130.81</w:t>
            </w:r>
          </w:p>
        </w:tc>
        <w:tc>
          <w:tcPr>
            <w:tcW w:w="146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3.80</w:t>
            </w: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center"/>
              <w:rPr>
                <w:rFonts w:ascii="Calibri" w:hAnsi="Calibri" w:cs="Times New Roman"/>
                <w:sz w:val="22"/>
                <w:szCs w:val="22"/>
              </w:rPr>
            </w:pPr>
            <w:r w:rsidRPr="00F95F5A">
              <w:rPr>
                <w:rFonts w:ascii="Calibri" w:hAnsi="Calibri" w:cs="Times New Roman"/>
                <w:sz w:val="22"/>
                <w:szCs w:val="22"/>
              </w:rPr>
              <w:t>2010-11</w:t>
            </w:r>
          </w:p>
        </w:tc>
        <w:tc>
          <w:tcPr>
            <w:tcW w:w="144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179.75</w:t>
            </w:r>
          </w:p>
        </w:tc>
        <w:tc>
          <w:tcPr>
            <w:tcW w:w="162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10.45</w:t>
            </w:r>
          </w:p>
        </w:tc>
        <w:tc>
          <w:tcPr>
            <w:tcW w:w="135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143.32</w:t>
            </w:r>
          </w:p>
        </w:tc>
        <w:tc>
          <w:tcPr>
            <w:tcW w:w="146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9.56</w:t>
            </w: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center"/>
              <w:rPr>
                <w:rFonts w:ascii="Calibri" w:hAnsi="Calibri" w:cs="Times New Roman"/>
                <w:sz w:val="22"/>
                <w:szCs w:val="22"/>
              </w:rPr>
            </w:pPr>
            <w:r w:rsidRPr="00F95F5A">
              <w:rPr>
                <w:rFonts w:ascii="Calibri" w:hAnsi="Calibri" w:cs="Times New Roman"/>
                <w:sz w:val="22"/>
                <w:szCs w:val="22"/>
              </w:rPr>
              <w:t>2011-12</w:t>
            </w:r>
          </w:p>
        </w:tc>
        <w:tc>
          <w:tcPr>
            <w:tcW w:w="144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194.83</w:t>
            </w:r>
          </w:p>
        </w:tc>
        <w:tc>
          <w:tcPr>
            <w:tcW w:w="162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8.39</w:t>
            </w:r>
          </w:p>
        </w:tc>
        <w:tc>
          <w:tcPr>
            <w:tcW w:w="135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156.13</w:t>
            </w:r>
          </w:p>
        </w:tc>
        <w:tc>
          <w:tcPr>
            <w:tcW w:w="146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8.94</w:t>
            </w: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center"/>
              <w:rPr>
                <w:rFonts w:ascii="Calibri" w:hAnsi="Calibri" w:cs="Times New Roman"/>
                <w:sz w:val="22"/>
                <w:szCs w:val="22"/>
              </w:rPr>
            </w:pPr>
            <w:r w:rsidRPr="00F95F5A">
              <w:rPr>
                <w:rFonts w:ascii="Calibri" w:hAnsi="Calibri" w:cs="Times New Roman"/>
                <w:sz w:val="22"/>
                <w:szCs w:val="22"/>
              </w:rPr>
              <w:t>2012-13</w:t>
            </w:r>
          </w:p>
        </w:tc>
        <w:tc>
          <w:tcPr>
            <w:tcW w:w="144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215.16</w:t>
            </w:r>
          </w:p>
        </w:tc>
        <w:tc>
          <w:tcPr>
            <w:tcW w:w="162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10.43</w:t>
            </w:r>
          </w:p>
        </w:tc>
        <w:tc>
          <w:tcPr>
            <w:tcW w:w="135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167.62</w:t>
            </w:r>
          </w:p>
        </w:tc>
        <w:tc>
          <w:tcPr>
            <w:tcW w:w="146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7.36</w:t>
            </w: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center"/>
              <w:rPr>
                <w:rFonts w:ascii="Calibri" w:hAnsi="Calibri" w:cs="Times New Roman"/>
                <w:sz w:val="22"/>
                <w:szCs w:val="22"/>
              </w:rPr>
            </w:pPr>
            <w:r w:rsidRPr="00F95F5A">
              <w:rPr>
                <w:rFonts w:ascii="Calibri" w:hAnsi="Calibri" w:cs="Times New Roman"/>
                <w:sz w:val="22"/>
                <w:szCs w:val="22"/>
              </w:rPr>
              <w:t>2013-14</w:t>
            </w:r>
          </w:p>
        </w:tc>
        <w:tc>
          <w:tcPr>
            <w:tcW w:w="144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236</w:t>
            </w:r>
          </w:p>
        </w:tc>
        <w:tc>
          <w:tcPr>
            <w:tcW w:w="162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9.69</w:t>
            </w:r>
          </w:p>
        </w:tc>
        <w:tc>
          <w:tcPr>
            <w:tcW w:w="135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177.64</w:t>
            </w:r>
          </w:p>
        </w:tc>
        <w:tc>
          <w:tcPr>
            <w:tcW w:w="146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5.98</w:t>
            </w: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center"/>
              <w:rPr>
                <w:rFonts w:ascii="Calibri" w:hAnsi="Calibri" w:cs="Times New Roman"/>
                <w:sz w:val="22"/>
                <w:szCs w:val="22"/>
              </w:rPr>
            </w:pPr>
            <w:r w:rsidRPr="00F95F5A">
              <w:rPr>
                <w:rFonts w:ascii="Calibri" w:hAnsi="Calibri" w:cs="Times New Roman"/>
                <w:sz w:val="22"/>
                <w:szCs w:val="22"/>
              </w:rPr>
              <w:t>Average</w:t>
            </w:r>
          </w:p>
        </w:tc>
        <w:tc>
          <w:tcPr>
            <w:tcW w:w="144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62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10.27</w:t>
            </w:r>
          </w:p>
        </w:tc>
        <w:tc>
          <w:tcPr>
            <w:tcW w:w="135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46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7.13</w:t>
            </w: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r w:rsidRPr="00F95F5A">
              <w:rPr>
                <w:rFonts w:ascii="Calibri" w:hAnsi="Calibri" w:cs="Times New Roman"/>
                <w:sz w:val="22"/>
                <w:szCs w:val="22"/>
              </w:rPr>
              <w:t>Projection</w:t>
            </w:r>
          </w:p>
        </w:tc>
        <w:tc>
          <w:tcPr>
            <w:tcW w:w="144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62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35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46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r w:rsidRPr="00F95F5A">
              <w:rPr>
                <w:rFonts w:ascii="Calibri" w:hAnsi="Calibri" w:cs="Times New Roman"/>
                <w:sz w:val="22"/>
                <w:szCs w:val="22"/>
              </w:rPr>
              <w:t>2014-15</w:t>
            </w:r>
          </w:p>
        </w:tc>
        <w:tc>
          <w:tcPr>
            <w:tcW w:w="144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260.23</w:t>
            </w:r>
          </w:p>
        </w:tc>
        <w:tc>
          <w:tcPr>
            <w:tcW w:w="162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10.27</w:t>
            </w:r>
          </w:p>
        </w:tc>
        <w:tc>
          <w:tcPr>
            <w:tcW w:w="135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190.30</w:t>
            </w:r>
          </w:p>
        </w:tc>
        <w:tc>
          <w:tcPr>
            <w:tcW w:w="146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7.13</w:t>
            </w: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r w:rsidRPr="00F95F5A">
              <w:rPr>
                <w:rFonts w:ascii="Calibri" w:hAnsi="Calibri" w:cs="Times New Roman"/>
                <w:sz w:val="22"/>
                <w:szCs w:val="22"/>
              </w:rPr>
              <w:t>2015-16</w:t>
            </w:r>
          </w:p>
        </w:tc>
        <w:tc>
          <w:tcPr>
            <w:tcW w:w="144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286.94</w:t>
            </w:r>
          </w:p>
        </w:tc>
        <w:tc>
          <w:tcPr>
            <w:tcW w:w="162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35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203.87</w:t>
            </w:r>
          </w:p>
        </w:tc>
        <w:tc>
          <w:tcPr>
            <w:tcW w:w="146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r>
      <w:tr w:rsidR="007A4861" w:rsidRPr="00F95F5A" w:rsidTr="00B97225">
        <w:trPr>
          <w:trHeight w:val="320"/>
        </w:trPr>
        <w:tc>
          <w:tcPr>
            <w:tcW w:w="225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r w:rsidRPr="00F95F5A">
              <w:rPr>
                <w:rFonts w:ascii="Calibri" w:hAnsi="Calibri" w:cs="Times New Roman"/>
                <w:sz w:val="22"/>
                <w:szCs w:val="22"/>
              </w:rPr>
              <w:t>Esclation Index</w:t>
            </w:r>
          </w:p>
        </w:tc>
        <w:tc>
          <w:tcPr>
            <w:tcW w:w="144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620" w:type="dxa"/>
            <w:shd w:val="clear" w:color="auto" w:fill="auto"/>
            <w:noWrap/>
            <w:vAlign w:val="bottom"/>
            <w:hideMark/>
          </w:tcPr>
          <w:p w:rsidR="007A4861" w:rsidRPr="00F95F5A" w:rsidRDefault="007A4861" w:rsidP="00433B1A">
            <w:pPr>
              <w:spacing w:line="240" w:lineRule="auto"/>
              <w:jc w:val="right"/>
              <w:rPr>
                <w:rFonts w:ascii="Calibri" w:hAnsi="Calibri" w:cs="Times New Roman"/>
                <w:sz w:val="22"/>
                <w:szCs w:val="22"/>
              </w:rPr>
            </w:pPr>
            <w:r w:rsidRPr="00F95F5A">
              <w:rPr>
                <w:rFonts w:ascii="Calibri" w:hAnsi="Calibri" w:cs="Times New Roman"/>
                <w:sz w:val="22"/>
                <w:szCs w:val="22"/>
              </w:rPr>
              <w:t>8.85</w:t>
            </w:r>
          </w:p>
        </w:tc>
        <w:tc>
          <w:tcPr>
            <w:tcW w:w="135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c>
          <w:tcPr>
            <w:tcW w:w="1460" w:type="dxa"/>
            <w:shd w:val="clear" w:color="auto" w:fill="auto"/>
            <w:noWrap/>
            <w:vAlign w:val="bottom"/>
            <w:hideMark/>
          </w:tcPr>
          <w:p w:rsidR="007A4861" w:rsidRPr="00F95F5A" w:rsidRDefault="007A4861" w:rsidP="00433B1A">
            <w:pPr>
              <w:spacing w:line="240" w:lineRule="auto"/>
              <w:jc w:val="left"/>
              <w:rPr>
                <w:rFonts w:ascii="Calibri" w:hAnsi="Calibri" w:cs="Times New Roman"/>
                <w:sz w:val="22"/>
                <w:szCs w:val="22"/>
              </w:rPr>
            </w:pPr>
          </w:p>
        </w:tc>
      </w:tr>
    </w:tbl>
    <w:p w:rsidR="007A4861" w:rsidRDefault="007A4861" w:rsidP="00F23537">
      <w:pPr>
        <w:ind w:left="900" w:hanging="360"/>
        <w:rPr>
          <w:sz w:val="22"/>
          <w:szCs w:val="22"/>
        </w:rPr>
      </w:pPr>
    </w:p>
    <w:p w:rsidR="007A4861" w:rsidRDefault="0045773D" w:rsidP="0062159F">
      <w:pPr>
        <w:ind w:left="540"/>
        <w:rPr>
          <w:sz w:val="22"/>
          <w:szCs w:val="22"/>
        </w:rPr>
      </w:pPr>
      <w:r>
        <w:rPr>
          <w:sz w:val="22"/>
          <w:szCs w:val="22"/>
        </w:rPr>
        <w:t>Thus, the index for base year FY 2014-15 has changed significantly to 8.85% as compared to 7.91% for base year FY 2011-12 taken for determining the tariff for FY 2012-13, 2013-14 and 2014-15.</w:t>
      </w:r>
    </w:p>
    <w:p w:rsidR="007A4861" w:rsidRDefault="007A4861" w:rsidP="0062159F">
      <w:pPr>
        <w:spacing w:line="240" w:lineRule="auto"/>
        <w:ind w:left="900" w:hanging="360"/>
        <w:rPr>
          <w:sz w:val="22"/>
          <w:szCs w:val="22"/>
        </w:rPr>
      </w:pPr>
    </w:p>
    <w:p w:rsidR="00F23537" w:rsidRDefault="00F23537" w:rsidP="0062159F">
      <w:pPr>
        <w:ind w:left="540"/>
        <w:rPr>
          <w:sz w:val="22"/>
          <w:szCs w:val="22"/>
        </w:rPr>
      </w:pPr>
      <w:r>
        <w:rPr>
          <w:sz w:val="22"/>
          <w:szCs w:val="22"/>
        </w:rPr>
        <w:t>O &amp; M expenses comprise of Employees Expenses, Repairs and Maintenance,</w:t>
      </w:r>
      <w:r w:rsidR="00731C23">
        <w:rPr>
          <w:sz w:val="22"/>
          <w:szCs w:val="22"/>
        </w:rPr>
        <w:t xml:space="preserve"> </w:t>
      </w:r>
      <w:r>
        <w:rPr>
          <w:sz w:val="22"/>
          <w:szCs w:val="22"/>
        </w:rPr>
        <w:t xml:space="preserve">Administrative and General Expenses, Water Charges, etc. The O&amp;M expenses for </w:t>
      </w:r>
      <w:r w:rsidR="00001502">
        <w:rPr>
          <w:sz w:val="22"/>
          <w:szCs w:val="22"/>
        </w:rPr>
        <w:t>FY 2012-13 to FY 2013</w:t>
      </w:r>
      <w:r w:rsidR="002A02DA">
        <w:rPr>
          <w:sz w:val="22"/>
          <w:szCs w:val="22"/>
        </w:rPr>
        <w:t>-1</w:t>
      </w:r>
      <w:r w:rsidR="00001502">
        <w:rPr>
          <w:sz w:val="22"/>
          <w:szCs w:val="22"/>
        </w:rPr>
        <w:t>4</w:t>
      </w:r>
      <w:r>
        <w:rPr>
          <w:sz w:val="22"/>
          <w:szCs w:val="22"/>
        </w:rPr>
        <w:t xml:space="preserve"> are based on the audited accounts for these periods &amp; for FY </w:t>
      </w:r>
      <w:r w:rsidR="00180757">
        <w:rPr>
          <w:sz w:val="22"/>
          <w:szCs w:val="22"/>
        </w:rPr>
        <w:t>2015-16</w:t>
      </w:r>
      <w:r>
        <w:rPr>
          <w:sz w:val="22"/>
          <w:szCs w:val="22"/>
        </w:rPr>
        <w:t xml:space="preserve"> are based on estimates. </w:t>
      </w:r>
    </w:p>
    <w:p w:rsidR="003A2413" w:rsidRPr="00122154" w:rsidRDefault="003A2413" w:rsidP="00C43BF7">
      <w:pPr>
        <w:rPr>
          <w:sz w:val="14"/>
          <w:szCs w:val="22"/>
        </w:rPr>
      </w:pPr>
    </w:p>
    <w:p w:rsidR="00C43BF7" w:rsidRDefault="00C43BF7" w:rsidP="00C43BF7">
      <w:pPr>
        <w:pStyle w:val="Heading6"/>
        <w:numPr>
          <w:ilvl w:val="0"/>
          <w:numId w:val="0"/>
        </w:numPr>
        <w:spacing w:before="0" w:after="0"/>
        <w:rPr>
          <w:u w:val="single"/>
        </w:rPr>
      </w:pPr>
      <w:r>
        <w:rPr>
          <w:u w:val="single"/>
        </w:rPr>
        <w:lastRenderedPageBreak/>
        <w:t>Employees Cost</w:t>
      </w:r>
    </w:p>
    <w:p w:rsidR="00C43BF7" w:rsidRPr="00122154" w:rsidRDefault="00C43BF7" w:rsidP="00C43BF7">
      <w:pPr>
        <w:rPr>
          <w:sz w:val="14"/>
          <w:szCs w:val="22"/>
        </w:rPr>
      </w:pPr>
    </w:p>
    <w:p w:rsidR="00C43BF7" w:rsidRDefault="00C43BF7" w:rsidP="00C43BF7">
      <w:pPr>
        <w:rPr>
          <w:sz w:val="22"/>
          <w:szCs w:val="22"/>
        </w:rPr>
      </w:pPr>
      <w:r>
        <w:rPr>
          <w:sz w:val="22"/>
          <w:szCs w:val="22"/>
        </w:rPr>
        <w:t xml:space="preserve">Employee expenses comprise of salaries, dearness </w:t>
      </w:r>
      <w:r w:rsidR="00E57658">
        <w:rPr>
          <w:sz w:val="22"/>
          <w:szCs w:val="22"/>
        </w:rPr>
        <w:t xml:space="preserve">and other </w:t>
      </w:r>
      <w:r>
        <w:rPr>
          <w:sz w:val="22"/>
          <w:szCs w:val="22"/>
        </w:rPr>
        <w:t>allowance</w:t>
      </w:r>
      <w:r w:rsidR="00E57658">
        <w:rPr>
          <w:sz w:val="22"/>
          <w:szCs w:val="22"/>
        </w:rPr>
        <w:t>s</w:t>
      </w:r>
      <w:r>
        <w:rPr>
          <w:sz w:val="22"/>
          <w:szCs w:val="22"/>
        </w:rPr>
        <w:t xml:space="preserve">, </w:t>
      </w:r>
      <w:r w:rsidR="00E57658">
        <w:rPr>
          <w:sz w:val="22"/>
          <w:szCs w:val="22"/>
        </w:rPr>
        <w:t>ex</w:t>
      </w:r>
      <w:r w:rsidR="00F7684E">
        <w:rPr>
          <w:sz w:val="22"/>
          <w:szCs w:val="22"/>
        </w:rPr>
        <w:t>-</w:t>
      </w:r>
      <w:r w:rsidR="00E57658">
        <w:rPr>
          <w:sz w:val="22"/>
          <w:szCs w:val="22"/>
        </w:rPr>
        <w:t>gratia</w:t>
      </w:r>
      <w:r>
        <w:rPr>
          <w:sz w:val="22"/>
          <w:szCs w:val="22"/>
        </w:rPr>
        <w:t xml:space="preserve">, </w:t>
      </w:r>
      <w:r w:rsidR="00E57658">
        <w:rPr>
          <w:sz w:val="22"/>
          <w:szCs w:val="22"/>
        </w:rPr>
        <w:t xml:space="preserve">contribution towards </w:t>
      </w:r>
      <w:r>
        <w:rPr>
          <w:sz w:val="22"/>
          <w:szCs w:val="22"/>
        </w:rPr>
        <w:t>terminal benefits</w:t>
      </w:r>
      <w:r w:rsidR="00E57658">
        <w:rPr>
          <w:sz w:val="22"/>
          <w:szCs w:val="22"/>
        </w:rPr>
        <w:t xml:space="preserve">, leave encashment, </w:t>
      </w:r>
      <w:r>
        <w:rPr>
          <w:sz w:val="22"/>
          <w:szCs w:val="22"/>
        </w:rPr>
        <w:t>staff welfare expenses</w:t>
      </w:r>
      <w:r w:rsidR="00E57658">
        <w:rPr>
          <w:sz w:val="22"/>
          <w:szCs w:val="22"/>
        </w:rPr>
        <w:t xml:space="preserve"> etc</w:t>
      </w:r>
      <w:r>
        <w:rPr>
          <w:sz w:val="22"/>
          <w:szCs w:val="22"/>
        </w:rPr>
        <w:t xml:space="preserve">. </w:t>
      </w:r>
    </w:p>
    <w:p w:rsidR="00D77366" w:rsidRPr="00122154" w:rsidRDefault="00D77366" w:rsidP="00357871">
      <w:pPr>
        <w:rPr>
          <w:bCs/>
          <w:color w:val="000000"/>
          <w:sz w:val="14"/>
          <w:szCs w:val="22"/>
        </w:rPr>
      </w:pPr>
    </w:p>
    <w:p w:rsidR="00AC0499" w:rsidRPr="00685D15" w:rsidRDefault="00D77366" w:rsidP="00AC0499">
      <w:pPr>
        <w:rPr>
          <w:bCs/>
          <w:color w:val="000000"/>
          <w:sz w:val="22"/>
          <w:szCs w:val="22"/>
        </w:rPr>
      </w:pPr>
      <w:r>
        <w:rPr>
          <w:bCs/>
          <w:color w:val="000000"/>
          <w:sz w:val="22"/>
          <w:szCs w:val="22"/>
        </w:rPr>
        <w:t>However, it is submitted that a</w:t>
      </w:r>
      <w:r w:rsidR="00E25CF1" w:rsidRPr="00633CD0">
        <w:rPr>
          <w:bCs/>
          <w:color w:val="000000"/>
          <w:sz w:val="22"/>
          <w:szCs w:val="22"/>
        </w:rPr>
        <w:t xml:space="preserve">s per the transfer scheme, the terms and condition of service applicable to the erstwhile employees of Delhi Vidyut Board in the transferee company shall in no way be less </w:t>
      </w:r>
      <w:r w:rsidR="004202D0" w:rsidRPr="00633CD0">
        <w:rPr>
          <w:bCs/>
          <w:color w:val="000000"/>
          <w:sz w:val="22"/>
          <w:szCs w:val="22"/>
        </w:rPr>
        <w:t>favorable</w:t>
      </w:r>
      <w:r w:rsidR="00E25CF1" w:rsidRPr="00633CD0">
        <w:rPr>
          <w:bCs/>
          <w:color w:val="000000"/>
          <w:sz w:val="22"/>
          <w:szCs w:val="22"/>
        </w:rPr>
        <w:t xml:space="preserve"> or inferior to that applicable to them immediately before the transfer.</w:t>
      </w:r>
      <w:r w:rsidR="00A47D6C" w:rsidRPr="00633CD0">
        <w:rPr>
          <w:bCs/>
          <w:color w:val="000000"/>
          <w:sz w:val="22"/>
          <w:szCs w:val="22"/>
        </w:rPr>
        <w:t xml:space="preserve"> Their service shall continue to be governed by various rules and laws applicable to them prior to unbundling. </w:t>
      </w:r>
      <w:r w:rsidR="002B1932" w:rsidRPr="00633CD0">
        <w:rPr>
          <w:bCs/>
          <w:color w:val="000000"/>
          <w:sz w:val="22"/>
          <w:szCs w:val="22"/>
        </w:rPr>
        <w:t xml:space="preserve">The </w:t>
      </w:r>
      <w:r w:rsidR="00BF0511" w:rsidRPr="00633CD0">
        <w:rPr>
          <w:bCs/>
          <w:color w:val="000000"/>
          <w:sz w:val="22"/>
          <w:szCs w:val="22"/>
        </w:rPr>
        <w:t xml:space="preserve">salaries of </w:t>
      </w:r>
      <w:r w:rsidR="002B1932" w:rsidRPr="00633CD0">
        <w:rPr>
          <w:bCs/>
          <w:color w:val="000000"/>
          <w:sz w:val="22"/>
          <w:szCs w:val="22"/>
        </w:rPr>
        <w:t>employees of the company are governed by FRSR structure.</w:t>
      </w:r>
      <w:r w:rsidR="002C23C0" w:rsidRPr="00633CD0">
        <w:rPr>
          <w:bCs/>
          <w:color w:val="000000"/>
          <w:sz w:val="22"/>
          <w:szCs w:val="22"/>
        </w:rPr>
        <w:t xml:space="preserve"> </w:t>
      </w:r>
      <w:r w:rsidR="00F644F4" w:rsidRPr="00633CD0">
        <w:rPr>
          <w:bCs/>
          <w:color w:val="000000"/>
          <w:sz w:val="22"/>
          <w:szCs w:val="22"/>
        </w:rPr>
        <w:t xml:space="preserve">The company has </w:t>
      </w:r>
      <w:r w:rsidR="002D7C47" w:rsidRPr="00633CD0">
        <w:rPr>
          <w:bCs/>
          <w:color w:val="000000"/>
          <w:sz w:val="22"/>
          <w:szCs w:val="22"/>
        </w:rPr>
        <w:t xml:space="preserve">to mandatory follow the salary structure as per the FRSR and it has </w:t>
      </w:r>
      <w:r w:rsidR="00F644F4" w:rsidRPr="00633CD0">
        <w:rPr>
          <w:bCs/>
          <w:color w:val="000000"/>
          <w:sz w:val="22"/>
          <w:szCs w:val="22"/>
        </w:rPr>
        <w:t xml:space="preserve">no control </w:t>
      </w:r>
      <w:r w:rsidR="002D7C47" w:rsidRPr="00633CD0">
        <w:rPr>
          <w:bCs/>
          <w:color w:val="000000"/>
          <w:sz w:val="22"/>
          <w:szCs w:val="22"/>
        </w:rPr>
        <w:t>over the same</w:t>
      </w:r>
      <w:r w:rsidR="00F644F4" w:rsidRPr="00633CD0">
        <w:rPr>
          <w:bCs/>
          <w:color w:val="000000"/>
          <w:sz w:val="22"/>
          <w:szCs w:val="22"/>
        </w:rPr>
        <w:t>.</w:t>
      </w:r>
      <w:r w:rsidR="00357871" w:rsidRPr="00633CD0">
        <w:rPr>
          <w:bCs/>
          <w:color w:val="000000"/>
          <w:sz w:val="22"/>
          <w:szCs w:val="22"/>
        </w:rPr>
        <w:t xml:space="preserve"> </w:t>
      </w:r>
      <w:r w:rsidR="00FF749D" w:rsidRPr="00633CD0">
        <w:rPr>
          <w:bCs/>
          <w:color w:val="000000"/>
          <w:sz w:val="22"/>
          <w:szCs w:val="22"/>
        </w:rPr>
        <w:t>Hence,</w:t>
      </w:r>
      <w:r w:rsidR="00FF749D">
        <w:rPr>
          <w:b/>
          <w:color w:val="000000"/>
          <w:sz w:val="22"/>
          <w:szCs w:val="22"/>
        </w:rPr>
        <w:t xml:space="preserve"> </w:t>
      </w:r>
      <w:r w:rsidR="00FF749D">
        <w:rPr>
          <w:sz w:val="22"/>
          <w:szCs w:val="22"/>
        </w:rPr>
        <w:t>the</w:t>
      </w:r>
      <w:r w:rsidR="00357871">
        <w:rPr>
          <w:sz w:val="22"/>
          <w:szCs w:val="22"/>
        </w:rPr>
        <w:t xml:space="preserve"> increase in dearness allowance has been at par with the increase in Pay &amp; allowances of Government employees. The Government allows two installments of DA every year effective in July and January. Due to high inflation in the past, the DA increased in the range of </w:t>
      </w:r>
      <w:r w:rsidR="00D650E1" w:rsidRPr="00A50B80">
        <w:rPr>
          <w:sz w:val="22"/>
          <w:szCs w:val="22"/>
        </w:rPr>
        <w:t>14%</w:t>
      </w:r>
      <w:r w:rsidR="00357871" w:rsidRPr="00A50B80">
        <w:rPr>
          <w:sz w:val="22"/>
          <w:szCs w:val="22"/>
        </w:rPr>
        <w:t xml:space="preserve"> to </w:t>
      </w:r>
      <w:r w:rsidR="00A1688E" w:rsidRPr="00A50B80">
        <w:rPr>
          <w:sz w:val="22"/>
          <w:szCs w:val="22"/>
        </w:rPr>
        <w:t>1</w:t>
      </w:r>
      <w:r w:rsidR="00D650E1" w:rsidRPr="00A50B80">
        <w:rPr>
          <w:sz w:val="22"/>
          <w:szCs w:val="22"/>
        </w:rPr>
        <w:t>8</w:t>
      </w:r>
      <w:r w:rsidR="00357871" w:rsidRPr="00A50B80">
        <w:rPr>
          <w:sz w:val="22"/>
          <w:szCs w:val="22"/>
        </w:rPr>
        <w:t>%</w:t>
      </w:r>
      <w:r w:rsidR="00D650E1" w:rsidRPr="00A50B80">
        <w:rPr>
          <w:sz w:val="22"/>
          <w:szCs w:val="22"/>
        </w:rPr>
        <w:t xml:space="preserve"> during previous years of current MYT period.</w:t>
      </w:r>
      <w:r w:rsidR="00357871" w:rsidRPr="00A50B80">
        <w:rPr>
          <w:sz w:val="22"/>
          <w:szCs w:val="22"/>
        </w:rPr>
        <w:t xml:space="preserve"> </w:t>
      </w:r>
      <w:r w:rsidR="00670328" w:rsidRPr="00A50B80">
        <w:rPr>
          <w:sz w:val="22"/>
          <w:szCs w:val="22"/>
        </w:rPr>
        <w:t xml:space="preserve"> </w:t>
      </w:r>
      <w:r w:rsidR="002C23C0" w:rsidRPr="00685D15">
        <w:rPr>
          <w:bCs/>
          <w:color w:val="000000"/>
          <w:sz w:val="22"/>
          <w:szCs w:val="22"/>
        </w:rPr>
        <w:t xml:space="preserve">The </w:t>
      </w:r>
      <w:r w:rsidR="00E268AD" w:rsidRPr="00685D15">
        <w:rPr>
          <w:bCs/>
          <w:color w:val="000000"/>
          <w:sz w:val="22"/>
          <w:szCs w:val="22"/>
        </w:rPr>
        <w:t xml:space="preserve">average </w:t>
      </w:r>
      <w:r w:rsidR="002C23C0" w:rsidRPr="00685D15">
        <w:rPr>
          <w:bCs/>
          <w:color w:val="000000"/>
          <w:sz w:val="22"/>
          <w:szCs w:val="22"/>
        </w:rPr>
        <w:t>increase in</w:t>
      </w:r>
      <w:r w:rsidR="00685D15" w:rsidRPr="00685D15">
        <w:rPr>
          <w:bCs/>
          <w:color w:val="000000"/>
          <w:sz w:val="22"/>
          <w:szCs w:val="22"/>
        </w:rPr>
        <w:t xml:space="preserve"> DA of </w:t>
      </w:r>
      <w:r w:rsidR="002C23C0" w:rsidRPr="00685D15">
        <w:rPr>
          <w:bCs/>
          <w:color w:val="000000"/>
          <w:sz w:val="22"/>
          <w:szCs w:val="22"/>
        </w:rPr>
        <w:t xml:space="preserve">salary of employees </w:t>
      </w:r>
      <w:r w:rsidR="00633CD0" w:rsidRPr="00685D15">
        <w:rPr>
          <w:bCs/>
          <w:color w:val="000000"/>
          <w:sz w:val="22"/>
          <w:szCs w:val="22"/>
        </w:rPr>
        <w:t>was</w:t>
      </w:r>
      <w:r w:rsidR="002C23C0" w:rsidRPr="00685D15">
        <w:rPr>
          <w:bCs/>
          <w:color w:val="000000"/>
          <w:sz w:val="22"/>
          <w:szCs w:val="22"/>
        </w:rPr>
        <w:t xml:space="preserve"> </w:t>
      </w:r>
      <w:r w:rsidR="001315F5" w:rsidRPr="00685D15">
        <w:rPr>
          <w:bCs/>
          <w:color w:val="000000"/>
          <w:sz w:val="22"/>
          <w:szCs w:val="22"/>
        </w:rPr>
        <w:t>16.33%</w:t>
      </w:r>
      <w:r w:rsidR="00685D15" w:rsidRPr="00685D15">
        <w:rPr>
          <w:bCs/>
          <w:color w:val="000000"/>
          <w:sz w:val="22"/>
          <w:szCs w:val="22"/>
        </w:rPr>
        <w:t>.</w:t>
      </w:r>
      <w:r w:rsidR="002C23C0" w:rsidRPr="00685D15">
        <w:rPr>
          <w:bCs/>
          <w:color w:val="000000"/>
          <w:sz w:val="22"/>
          <w:szCs w:val="22"/>
        </w:rPr>
        <w:t xml:space="preserve"> </w:t>
      </w:r>
    </w:p>
    <w:p w:rsidR="00904B19" w:rsidRPr="00122154" w:rsidRDefault="00243696" w:rsidP="00C43BF7">
      <w:pPr>
        <w:rPr>
          <w:sz w:val="14"/>
          <w:szCs w:val="22"/>
        </w:rPr>
      </w:pPr>
      <w:r>
        <w:rPr>
          <w:bCs/>
          <w:color w:val="000000"/>
          <w:sz w:val="22"/>
          <w:szCs w:val="22"/>
        </w:rPr>
        <w:t>It is submitted that the headquarters of IPGCL &amp; PPCL are common and the employees posted at headquarters are rendering services to both the companies. The common headquarter</w:t>
      </w:r>
      <w:r w:rsidR="00C414F1">
        <w:rPr>
          <w:bCs/>
          <w:color w:val="000000"/>
          <w:sz w:val="22"/>
          <w:szCs w:val="22"/>
        </w:rPr>
        <w:t>s</w:t>
      </w:r>
      <w:r>
        <w:rPr>
          <w:bCs/>
          <w:color w:val="000000"/>
          <w:sz w:val="22"/>
          <w:szCs w:val="22"/>
        </w:rPr>
        <w:t xml:space="preserve"> is helpful in </w:t>
      </w:r>
      <w:r w:rsidR="00451984">
        <w:rPr>
          <w:bCs/>
          <w:color w:val="000000"/>
          <w:sz w:val="22"/>
          <w:szCs w:val="22"/>
        </w:rPr>
        <w:t>economizing</w:t>
      </w:r>
      <w:r>
        <w:rPr>
          <w:bCs/>
          <w:color w:val="000000"/>
          <w:sz w:val="22"/>
          <w:szCs w:val="22"/>
        </w:rPr>
        <w:t xml:space="preserve"> the expenses </w:t>
      </w:r>
      <w:r w:rsidR="00C414F1">
        <w:rPr>
          <w:bCs/>
          <w:color w:val="000000"/>
          <w:sz w:val="22"/>
          <w:szCs w:val="22"/>
        </w:rPr>
        <w:t xml:space="preserve">for </w:t>
      </w:r>
      <w:r>
        <w:rPr>
          <w:bCs/>
          <w:color w:val="000000"/>
          <w:sz w:val="22"/>
          <w:szCs w:val="22"/>
        </w:rPr>
        <w:t xml:space="preserve">both the companies as well as </w:t>
      </w:r>
      <w:r w:rsidR="00326DA7">
        <w:rPr>
          <w:bCs/>
          <w:color w:val="000000"/>
          <w:sz w:val="22"/>
          <w:szCs w:val="22"/>
        </w:rPr>
        <w:t xml:space="preserve">for providing </w:t>
      </w:r>
      <w:r>
        <w:rPr>
          <w:bCs/>
          <w:color w:val="000000"/>
          <w:sz w:val="22"/>
          <w:szCs w:val="22"/>
        </w:rPr>
        <w:t xml:space="preserve">better facilities. The expenses of employees posted at headquarters are allocated between IPGCL &amp; PPCL in the ratio of </w:t>
      </w:r>
      <w:r w:rsidR="0070639E" w:rsidRPr="006C53F4">
        <w:rPr>
          <w:bCs/>
          <w:sz w:val="22"/>
          <w:szCs w:val="22"/>
        </w:rPr>
        <w:t>50:50</w:t>
      </w:r>
      <w:r w:rsidR="001B1096">
        <w:rPr>
          <w:bCs/>
          <w:color w:val="000000"/>
          <w:sz w:val="22"/>
          <w:szCs w:val="22"/>
        </w:rPr>
        <w:t>.</w:t>
      </w:r>
      <w:r w:rsidR="006C53F4">
        <w:rPr>
          <w:bCs/>
          <w:color w:val="000000"/>
          <w:sz w:val="22"/>
          <w:szCs w:val="22"/>
        </w:rPr>
        <w:t xml:space="preserve">  Further, in case of individual plants of a company same has been allocated in the ratio of installed capacity of the stations.</w:t>
      </w:r>
    </w:p>
    <w:p w:rsidR="008A4AB3" w:rsidRPr="00122154" w:rsidRDefault="008A4AB3" w:rsidP="00C43BF7">
      <w:pPr>
        <w:rPr>
          <w:sz w:val="14"/>
          <w:szCs w:val="22"/>
        </w:rPr>
      </w:pPr>
    </w:p>
    <w:p w:rsidR="008A4AB3" w:rsidRPr="00122154" w:rsidRDefault="008A4AB3" w:rsidP="005D7F80">
      <w:pPr>
        <w:spacing w:line="240" w:lineRule="auto"/>
        <w:rPr>
          <w:sz w:val="14"/>
          <w:szCs w:val="22"/>
        </w:rPr>
      </w:pPr>
    </w:p>
    <w:p w:rsidR="00C43BF7" w:rsidRDefault="00C414F1" w:rsidP="00C43BF7">
      <w:pPr>
        <w:rPr>
          <w:sz w:val="22"/>
          <w:szCs w:val="22"/>
        </w:rPr>
      </w:pPr>
      <w:r>
        <w:rPr>
          <w:sz w:val="22"/>
          <w:szCs w:val="22"/>
        </w:rPr>
        <w:t>Petitioner</w:t>
      </w:r>
      <w:r w:rsidR="00C43BF7">
        <w:rPr>
          <w:sz w:val="22"/>
          <w:szCs w:val="22"/>
        </w:rPr>
        <w:t xml:space="preserve"> submits to the Commission that any disallowance of employee expenses by the Commission would force IPGCL to borrow funds in order to finance the differen</w:t>
      </w:r>
      <w:r w:rsidR="00543E6A">
        <w:rPr>
          <w:sz w:val="22"/>
          <w:szCs w:val="22"/>
        </w:rPr>
        <w:t>ce between actual employee cost</w:t>
      </w:r>
      <w:r w:rsidR="00C43BF7">
        <w:rPr>
          <w:sz w:val="22"/>
          <w:szCs w:val="22"/>
        </w:rPr>
        <w:t xml:space="preserve"> incurred and Commission approved cost, which would result in significant burden on IPGCL resources, in turn affecting its functioning and development works</w:t>
      </w:r>
      <w:r w:rsidR="00543E6A">
        <w:rPr>
          <w:sz w:val="22"/>
          <w:szCs w:val="22"/>
        </w:rPr>
        <w:t>,</w:t>
      </w:r>
      <w:r w:rsidR="00C43BF7">
        <w:rPr>
          <w:sz w:val="22"/>
          <w:szCs w:val="22"/>
        </w:rPr>
        <w:t xml:space="preserve"> resulting in low level of generation.</w:t>
      </w:r>
    </w:p>
    <w:p w:rsidR="00C43BF7" w:rsidRPr="005A2B4D" w:rsidRDefault="00C43BF7" w:rsidP="00C43BF7">
      <w:pPr>
        <w:rPr>
          <w:sz w:val="12"/>
          <w:szCs w:val="22"/>
        </w:rPr>
      </w:pPr>
    </w:p>
    <w:p w:rsidR="00C43BF7" w:rsidRDefault="00C43BF7" w:rsidP="00C43BF7">
      <w:pPr>
        <w:rPr>
          <w:sz w:val="22"/>
          <w:szCs w:val="22"/>
        </w:rPr>
      </w:pPr>
      <w:r>
        <w:rPr>
          <w:sz w:val="22"/>
          <w:szCs w:val="22"/>
        </w:rPr>
        <w:t xml:space="preserve">The petitioner would like to pray to the Hon’ble Commission that salaries/employee cost should be considered as uncontrollable factor. The petitioner would not be in </w:t>
      </w:r>
      <w:r>
        <w:rPr>
          <w:sz w:val="22"/>
          <w:szCs w:val="22"/>
        </w:rPr>
        <w:lastRenderedPageBreak/>
        <w:t xml:space="preserve">the position to </w:t>
      </w:r>
      <w:r w:rsidR="00FB670F">
        <w:rPr>
          <w:sz w:val="22"/>
          <w:szCs w:val="22"/>
        </w:rPr>
        <w:t>disallow</w:t>
      </w:r>
      <w:r>
        <w:rPr>
          <w:sz w:val="22"/>
          <w:szCs w:val="22"/>
        </w:rPr>
        <w:t xml:space="preserve"> these increases </w:t>
      </w:r>
      <w:r w:rsidR="00E57658">
        <w:rPr>
          <w:sz w:val="22"/>
          <w:szCs w:val="22"/>
        </w:rPr>
        <w:t xml:space="preserve">as any </w:t>
      </w:r>
      <w:r w:rsidR="00C14590">
        <w:rPr>
          <w:sz w:val="22"/>
          <w:szCs w:val="22"/>
        </w:rPr>
        <w:t>non payment</w:t>
      </w:r>
      <w:r w:rsidR="00E57658">
        <w:rPr>
          <w:sz w:val="22"/>
          <w:szCs w:val="22"/>
        </w:rPr>
        <w:t xml:space="preserve"> will be against</w:t>
      </w:r>
      <w:r>
        <w:rPr>
          <w:sz w:val="22"/>
          <w:szCs w:val="22"/>
        </w:rPr>
        <w:t xml:space="preserve"> law/policy. </w:t>
      </w:r>
    </w:p>
    <w:p w:rsidR="0036560F" w:rsidRPr="005A2B4D" w:rsidRDefault="0036560F" w:rsidP="00C43BF7">
      <w:pPr>
        <w:rPr>
          <w:sz w:val="12"/>
          <w:szCs w:val="22"/>
        </w:rPr>
      </w:pPr>
    </w:p>
    <w:p w:rsidR="00C43BF7" w:rsidRDefault="0036560F" w:rsidP="00C43BF7">
      <w:pPr>
        <w:rPr>
          <w:sz w:val="22"/>
          <w:szCs w:val="22"/>
        </w:rPr>
      </w:pPr>
      <w:r w:rsidRPr="003E25D5">
        <w:rPr>
          <w:sz w:val="22"/>
          <w:szCs w:val="22"/>
        </w:rPr>
        <w:t xml:space="preserve">The Petitioner </w:t>
      </w:r>
      <w:r>
        <w:rPr>
          <w:sz w:val="22"/>
          <w:szCs w:val="22"/>
        </w:rPr>
        <w:t>further submits</w:t>
      </w:r>
      <w:r w:rsidRPr="003E25D5">
        <w:rPr>
          <w:sz w:val="22"/>
          <w:szCs w:val="22"/>
        </w:rPr>
        <w:t xml:space="preserve"> that </w:t>
      </w:r>
      <w:r>
        <w:rPr>
          <w:sz w:val="22"/>
          <w:szCs w:val="22"/>
        </w:rPr>
        <w:t xml:space="preserve">IPGCL is already cutting corners on employee cost. As prayed in earlier petitions also that </w:t>
      </w:r>
      <w:r w:rsidRPr="003E25D5">
        <w:rPr>
          <w:sz w:val="22"/>
          <w:szCs w:val="22"/>
        </w:rPr>
        <w:t>despite the fact that the Company was transferred with sizeable number of employees, resulting in substantial wage bill for the Company, efforts have been made by the Company to optimize the manpower</w:t>
      </w:r>
      <w:r>
        <w:rPr>
          <w:sz w:val="22"/>
          <w:szCs w:val="22"/>
        </w:rPr>
        <w:t xml:space="preserve"> cost</w:t>
      </w:r>
      <w:r w:rsidRPr="003E25D5">
        <w:rPr>
          <w:sz w:val="22"/>
          <w:szCs w:val="22"/>
        </w:rPr>
        <w:t xml:space="preserve">. In this pursuit, VRS was </w:t>
      </w:r>
      <w:r w:rsidR="003215DF" w:rsidRPr="003E25D5">
        <w:rPr>
          <w:sz w:val="22"/>
          <w:szCs w:val="22"/>
        </w:rPr>
        <w:t xml:space="preserve">given </w:t>
      </w:r>
      <w:r w:rsidR="003215DF">
        <w:rPr>
          <w:sz w:val="22"/>
          <w:szCs w:val="22"/>
        </w:rPr>
        <w:t>on</w:t>
      </w:r>
      <w:r w:rsidR="00754ACF">
        <w:rPr>
          <w:sz w:val="22"/>
          <w:szCs w:val="22"/>
        </w:rPr>
        <w:t xml:space="preserve"> number of oc</w:t>
      </w:r>
      <w:r w:rsidR="00DC2147">
        <w:rPr>
          <w:sz w:val="22"/>
          <w:szCs w:val="22"/>
        </w:rPr>
        <w:t>c</w:t>
      </w:r>
      <w:r w:rsidR="00754ACF">
        <w:rPr>
          <w:sz w:val="22"/>
          <w:szCs w:val="22"/>
        </w:rPr>
        <w:t xml:space="preserve">asions in the past. </w:t>
      </w:r>
      <w:r w:rsidRPr="003E25D5">
        <w:rPr>
          <w:sz w:val="22"/>
          <w:szCs w:val="22"/>
        </w:rPr>
        <w:t>383</w:t>
      </w:r>
      <w:r>
        <w:rPr>
          <w:sz w:val="22"/>
          <w:szCs w:val="22"/>
        </w:rPr>
        <w:t xml:space="preserve"> employees in 2003,</w:t>
      </w:r>
      <w:r w:rsidR="006766F3">
        <w:rPr>
          <w:sz w:val="22"/>
          <w:szCs w:val="22"/>
        </w:rPr>
        <w:t xml:space="preserve"> </w:t>
      </w:r>
      <w:r w:rsidR="00754ACF">
        <w:rPr>
          <w:sz w:val="22"/>
          <w:szCs w:val="22"/>
        </w:rPr>
        <w:t xml:space="preserve">101 </w:t>
      </w:r>
      <w:r>
        <w:rPr>
          <w:sz w:val="22"/>
          <w:szCs w:val="22"/>
        </w:rPr>
        <w:t>employees in 2008 and</w:t>
      </w:r>
      <w:r w:rsidR="00754ACF">
        <w:rPr>
          <w:sz w:val="22"/>
          <w:szCs w:val="22"/>
        </w:rPr>
        <w:t xml:space="preserve"> </w:t>
      </w:r>
      <w:smartTag w:uri="urn:schemas-microsoft-com:office:smarttags" w:element="metricconverter">
        <w:smartTagPr>
          <w:attr w:name="ProductID" w:val="328 in"/>
        </w:smartTagPr>
        <w:r w:rsidR="00754ACF">
          <w:rPr>
            <w:sz w:val="22"/>
            <w:szCs w:val="22"/>
          </w:rPr>
          <w:t>328</w:t>
        </w:r>
        <w:r>
          <w:rPr>
            <w:sz w:val="22"/>
            <w:szCs w:val="22"/>
          </w:rPr>
          <w:t xml:space="preserve"> in</w:t>
        </w:r>
      </w:smartTag>
      <w:r>
        <w:rPr>
          <w:sz w:val="22"/>
          <w:szCs w:val="22"/>
        </w:rPr>
        <w:t xml:space="preserve"> </w:t>
      </w:r>
      <w:r w:rsidR="003215DF">
        <w:rPr>
          <w:sz w:val="22"/>
          <w:szCs w:val="22"/>
        </w:rPr>
        <w:t>2010 were</w:t>
      </w:r>
      <w:r w:rsidR="00754ACF">
        <w:rPr>
          <w:sz w:val="22"/>
          <w:szCs w:val="22"/>
        </w:rPr>
        <w:t xml:space="preserve"> given VRS</w:t>
      </w:r>
      <w:r w:rsidR="00551474">
        <w:rPr>
          <w:sz w:val="22"/>
          <w:szCs w:val="22"/>
        </w:rPr>
        <w:t xml:space="preserve">. </w:t>
      </w:r>
      <w:r w:rsidR="000F7FFA">
        <w:rPr>
          <w:sz w:val="22"/>
          <w:szCs w:val="22"/>
        </w:rPr>
        <w:t>It may be appreciated that t</w:t>
      </w:r>
      <w:r w:rsidR="00C43BF7">
        <w:rPr>
          <w:sz w:val="22"/>
          <w:szCs w:val="22"/>
        </w:rPr>
        <w:t xml:space="preserve">he </w:t>
      </w:r>
      <w:r w:rsidR="003215DF">
        <w:rPr>
          <w:sz w:val="22"/>
          <w:szCs w:val="22"/>
        </w:rPr>
        <w:t>downsizing of</w:t>
      </w:r>
      <w:r w:rsidR="00DC2147">
        <w:rPr>
          <w:sz w:val="22"/>
          <w:szCs w:val="22"/>
        </w:rPr>
        <w:t xml:space="preserve"> manpower by way of any other mode </w:t>
      </w:r>
      <w:r w:rsidR="004004BF">
        <w:rPr>
          <w:sz w:val="22"/>
          <w:szCs w:val="22"/>
        </w:rPr>
        <w:t>can</w:t>
      </w:r>
      <w:r w:rsidR="00C43BF7">
        <w:rPr>
          <w:sz w:val="22"/>
          <w:szCs w:val="22"/>
        </w:rPr>
        <w:t xml:space="preserve">not </w:t>
      </w:r>
      <w:r w:rsidR="00A1508D">
        <w:rPr>
          <w:sz w:val="22"/>
          <w:szCs w:val="22"/>
        </w:rPr>
        <w:t xml:space="preserve">be </w:t>
      </w:r>
      <w:r w:rsidR="004004BF">
        <w:rPr>
          <w:sz w:val="22"/>
          <w:szCs w:val="22"/>
        </w:rPr>
        <w:t>done</w:t>
      </w:r>
      <w:r w:rsidR="00A1508D">
        <w:rPr>
          <w:sz w:val="22"/>
          <w:szCs w:val="22"/>
        </w:rPr>
        <w:t xml:space="preserve"> in present set-up.</w:t>
      </w:r>
      <w:r w:rsidR="004004BF">
        <w:rPr>
          <w:sz w:val="22"/>
          <w:szCs w:val="22"/>
        </w:rPr>
        <w:t xml:space="preserve"> </w:t>
      </w:r>
      <w:r w:rsidR="00C43BF7">
        <w:rPr>
          <w:sz w:val="22"/>
          <w:szCs w:val="22"/>
        </w:rPr>
        <w:t>Further</w:t>
      </w:r>
      <w:r w:rsidR="00A7652C">
        <w:rPr>
          <w:sz w:val="22"/>
          <w:szCs w:val="22"/>
        </w:rPr>
        <w:t>,</w:t>
      </w:r>
      <w:r w:rsidR="00C43BF7">
        <w:rPr>
          <w:sz w:val="22"/>
          <w:szCs w:val="22"/>
        </w:rPr>
        <w:t xml:space="preserve"> the petitioner would like to highlight that the petitioner </w:t>
      </w:r>
      <w:r w:rsidR="00A7652C">
        <w:rPr>
          <w:sz w:val="22"/>
          <w:szCs w:val="22"/>
        </w:rPr>
        <w:t>ha</w:t>
      </w:r>
      <w:r w:rsidR="00C43BF7">
        <w:rPr>
          <w:sz w:val="22"/>
          <w:szCs w:val="22"/>
        </w:rPr>
        <w:t>s not recruit</w:t>
      </w:r>
      <w:r w:rsidR="00A7652C">
        <w:rPr>
          <w:sz w:val="22"/>
          <w:szCs w:val="22"/>
        </w:rPr>
        <w:t>ed</w:t>
      </w:r>
      <w:r w:rsidR="00C43BF7">
        <w:rPr>
          <w:sz w:val="22"/>
          <w:szCs w:val="22"/>
        </w:rPr>
        <w:t xml:space="preserve"> any </w:t>
      </w:r>
      <w:r w:rsidR="00A7652C">
        <w:rPr>
          <w:sz w:val="22"/>
          <w:szCs w:val="22"/>
        </w:rPr>
        <w:t>manpower</w:t>
      </w:r>
      <w:r w:rsidR="00C43BF7">
        <w:rPr>
          <w:sz w:val="22"/>
          <w:szCs w:val="22"/>
        </w:rPr>
        <w:t xml:space="preserve"> in </w:t>
      </w:r>
      <w:r w:rsidR="004004BF">
        <w:rPr>
          <w:sz w:val="22"/>
          <w:szCs w:val="22"/>
        </w:rPr>
        <w:t>B, C, D category</w:t>
      </w:r>
      <w:r w:rsidR="00C43BF7">
        <w:rPr>
          <w:sz w:val="22"/>
          <w:szCs w:val="22"/>
        </w:rPr>
        <w:t>.</w:t>
      </w:r>
    </w:p>
    <w:p w:rsidR="000F7FFA" w:rsidRPr="005A2B4D" w:rsidRDefault="000F7FFA" w:rsidP="00C43BF7">
      <w:pPr>
        <w:pStyle w:val="Heading6"/>
        <w:numPr>
          <w:ilvl w:val="0"/>
          <w:numId w:val="0"/>
        </w:numPr>
        <w:spacing w:before="0" w:after="0"/>
        <w:jc w:val="left"/>
        <w:rPr>
          <w:sz w:val="14"/>
          <w:u w:val="single"/>
        </w:rPr>
      </w:pPr>
    </w:p>
    <w:p w:rsidR="000F7FFA" w:rsidRDefault="000F7FFA" w:rsidP="000F7FFA">
      <w:pPr>
        <w:rPr>
          <w:sz w:val="22"/>
          <w:szCs w:val="22"/>
        </w:rPr>
      </w:pPr>
      <w:r w:rsidRPr="00DF198A">
        <w:rPr>
          <w:b/>
          <w:bCs/>
          <w:sz w:val="22"/>
          <w:szCs w:val="22"/>
        </w:rPr>
        <w:t>Therefore,</w:t>
      </w:r>
      <w:r>
        <w:rPr>
          <w:sz w:val="22"/>
          <w:szCs w:val="22"/>
        </w:rPr>
        <w:t xml:space="preserve"> </w:t>
      </w:r>
      <w:r w:rsidRPr="005A0615">
        <w:rPr>
          <w:b/>
          <w:sz w:val="22"/>
          <w:szCs w:val="22"/>
        </w:rPr>
        <w:t xml:space="preserve">petitioner requests the Commission to adopt a relaxed and realistic approach for employee expenditure, keeping in view the </w:t>
      </w:r>
      <w:r>
        <w:rPr>
          <w:b/>
          <w:sz w:val="22"/>
          <w:szCs w:val="22"/>
        </w:rPr>
        <w:t xml:space="preserve">obligation of the organization towards the </w:t>
      </w:r>
      <w:r w:rsidRPr="005A0615">
        <w:rPr>
          <w:b/>
          <w:sz w:val="22"/>
          <w:szCs w:val="22"/>
        </w:rPr>
        <w:t>employees.</w:t>
      </w:r>
    </w:p>
    <w:p w:rsidR="00FE4611" w:rsidRDefault="00FE4611" w:rsidP="00FE4611">
      <w:pPr>
        <w:pStyle w:val="Heading6"/>
        <w:numPr>
          <w:ilvl w:val="0"/>
          <w:numId w:val="0"/>
        </w:numPr>
        <w:spacing w:before="0" w:after="0" w:line="240" w:lineRule="auto"/>
        <w:jc w:val="left"/>
        <w:rPr>
          <w:u w:val="single"/>
        </w:rPr>
      </w:pPr>
    </w:p>
    <w:p w:rsidR="00C43BF7" w:rsidRDefault="00C43BF7" w:rsidP="00C43BF7">
      <w:pPr>
        <w:pStyle w:val="Heading6"/>
        <w:numPr>
          <w:ilvl w:val="0"/>
          <w:numId w:val="0"/>
        </w:numPr>
        <w:spacing w:before="0" w:after="0"/>
        <w:jc w:val="left"/>
        <w:rPr>
          <w:u w:val="single"/>
        </w:rPr>
      </w:pPr>
      <w:r>
        <w:rPr>
          <w:u w:val="single"/>
        </w:rPr>
        <w:t>R</w:t>
      </w:r>
      <w:r w:rsidR="004004BF">
        <w:rPr>
          <w:u w:val="single"/>
        </w:rPr>
        <w:t xml:space="preserve">epair </w:t>
      </w:r>
      <w:r>
        <w:rPr>
          <w:u w:val="single"/>
        </w:rPr>
        <w:t>&amp;</w:t>
      </w:r>
      <w:r w:rsidR="004004BF">
        <w:rPr>
          <w:u w:val="single"/>
        </w:rPr>
        <w:t xml:space="preserve"> </w:t>
      </w:r>
      <w:r>
        <w:rPr>
          <w:u w:val="single"/>
        </w:rPr>
        <w:t>M</w:t>
      </w:r>
      <w:r w:rsidR="00BC1822">
        <w:rPr>
          <w:u w:val="single"/>
        </w:rPr>
        <w:t>aintenance</w:t>
      </w:r>
      <w:r>
        <w:rPr>
          <w:u w:val="single"/>
        </w:rPr>
        <w:t xml:space="preserve"> Cost</w:t>
      </w:r>
    </w:p>
    <w:p w:rsidR="00C43BF7" w:rsidRDefault="00C43BF7" w:rsidP="005D7F80">
      <w:pPr>
        <w:spacing w:line="240" w:lineRule="auto"/>
      </w:pPr>
    </w:p>
    <w:p w:rsidR="00C43BF7" w:rsidRDefault="00C43BF7" w:rsidP="00C43BF7">
      <w:pPr>
        <w:rPr>
          <w:sz w:val="22"/>
          <w:szCs w:val="22"/>
        </w:rPr>
      </w:pPr>
      <w:r>
        <w:rPr>
          <w:sz w:val="22"/>
          <w:szCs w:val="22"/>
        </w:rPr>
        <w:t>These expenses include expenses on repairs and maintenance of Plant and Machinery, Building, Other Civil works, Hydraulic works, Vehicles, Furniture &amp; Fixtures, Office equipment, etc.</w:t>
      </w:r>
    </w:p>
    <w:p w:rsidR="002805F5" w:rsidRDefault="00E16C4B" w:rsidP="00E16C4B">
      <w:pPr>
        <w:rPr>
          <w:bCs/>
          <w:sz w:val="22"/>
          <w:szCs w:val="22"/>
        </w:rPr>
      </w:pPr>
      <w:r w:rsidRPr="00113FAA">
        <w:rPr>
          <w:bCs/>
          <w:sz w:val="22"/>
          <w:szCs w:val="22"/>
        </w:rPr>
        <w:t xml:space="preserve">The petitioner would like to reiterate that the R&amp;M expenditure would be relatively high due to the small size of the units and due to old age of the stations.  The R&amp;M will result into improved capacity utilization and </w:t>
      </w:r>
      <w:r w:rsidR="00B53EC8">
        <w:rPr>
          <w:bCs/>
          <w:sz w:val="22"/>
          <w:szCs w:val="22"/>
        </w:rPr>
        <w:t>reliable operation of the station</w:t>
      </w:r>
      <w:r w:rsidRPr="00113FAA">
        <w:rPr>
          <w:bCs/>
          <w:sz w:val="22"/>
          <w:szCs w:val="22"/>
        </w:rPr>
        <w:t xml:space="preserve">. </w:t>
      </w:r>
    </w:p>
    <w:p w:rsidR="00235E34" w:rsidRDefault="00235E34" w:rsidP="00FE4611">
      <w:pPr>
        <w:spacing w:line="240" w:lineRule="auto"/>
        <w:rPr>
          <w:bCs/>
          <w:sz w:val="22"/>
          <w:szCs w:val="22"/>
        </w:rPr>
      </w:pPr>
    </w:p>
    <w:p w:rsidR="00235E34" w:rsidRPr="00235E34" w:rsidRDefault="00235E34" w:rsidP="00235E34">
      <w:pPr>
        <w:tabs>
          <w:tab w:val="left" w:pos="2529"/>
        </w:tabs>
        <w:rPr>
          <w:b/>
          <w:sz w:val="20"/>
          <w:szCs w:val="20"/>
        </w:rPr>
      </w:pPr>
      <w:r w:rsidRPr="00235E34">
        <w:rPr>
          <w:b/>
          <w:sz w:val="20"/>
          <w:szCs w:val="20"/>
        </w:rPr>
        <w:t xml:space="preserve">Rajghat Power House </w:t>
      </w:r>
      <w:r w:rsidRPr="00235E34">
        <w:rPr>
          <w:b/>
          <w:sz w:val="20"/>
          <w:szCs w:val="20"/>
        </w:rPr>
        <w:tab/>
      </w:r>
    </w:p>
    <w:p w:rsidR="00235E34" w:rsidRDefault="00235E34" w:rsidP="006A71BB">
      <w:pPr>
        <w:rPr>
          <w:bCs/>
          <w:sz w:val="22"/>
          <w:szCs w:val="22"/>
        </w:rPr>
      </w:pPr>
      <w:r>
        <w:rPr>
          <w:bCs/>
          <w:sz w:val="22"/>
          <w:szCs w:val="22"/>
        </w:rPr>
        <w:t>The Un</w:t>
      </w:r>
      <w:r w:rsidR="00F92336">
        <w:rPr>
          <w:bCs/>
          <w:sz w:val="22"/>
          <w:szCs w:val="22"/>
        </w:rPr>
        <w:t xml:space="preserve">it 1&amp; 2 of Rajghat Power House is under overhauling as per directive of DPCC </w:t>
      </w:r>
      <w:r w:rsidR="005A5FBF">
        <w:rPr>
          <w:bCs/>
          <w:sz w:val="22"/>
          <w:szCs w:val="22"/>
        </w:rPr>
        <w:t>conveyed</w:t>
      </w:r>
      <w:r w:rsidR="00C9601F">
        <w:rPr>
          <w:bCs/>
          <w:sz w:val="22"/>
          <w:szCs w:val="22"/>
        </w:rPr>
        <w:t xml:space="preserve"> to IPGCL vide letter No. F.No.DPCC/WMC-I</w:t>
      </w:r>
      <w:r w:rsidR="00136EDA">
        <w:rPr>
          <w:bCs/>
          <w:sz w:val="22"/>
          <w:szCs w:val="22"/>
        </w:rPr>
        <w:t>I/2014/T-13/2027 dt. 01.04.2014</w:t>
      </w:r>
      <w:r w:rsidR="005A5FBF">
        <w:rPr>
          <w:bCs/>
          <w:sz w:val="22"/>
          <w:szCs w:val="22"/>
        </w:rPr>
        <w:t>. The</w:t>
      </w:r>
      <w:r w:rsidR="00136EDA">
        <w:rPr>
          <w:bCs/>
          <w:sz w:val="22"/>
          <w:szCs w:val="22"/>
        </w:rPr>
        <w:t xml:space="preserve"> overhauling is to be completed before 01.04.2015.</w:t>
      </w:r>
      <w:r w:rsidR="00674C38" w:rsidRPr="00674C38">
        <w:rPr>
          <w:bCs/>
          <w:sz w:val="22"/>
          <w:szCs w:val="22"/>
        </w:rPr>
        <w:t xml:space="preserve"> </w:t>
      </w:r>
      <w:r w:rsidR="00674C38">
        <w:rPr>
          <w:bCs/>
          <w:sz w:val="22"/>
          <w:szCs w:val="22"/>
        </w:rPr>
        <w:t>This will involve overhauling of ESP, Boiler, Turbine and Milling system, installation of EP IC Controller and online pollution control system.  This overhauling will add up to further over O&amp;M cost of the station and unavoidable capital expenditure to meet out environmental norms.</w:t>
      </w:r>
      <w:r w:rsidR="00136EDA">
        <w:rPr>
          <w:bCs/>
          <w:sz w:val="22"/>
          <w:szCs w:val="22"/>
        </w:rPr>
        <w:t xml:space="preserve"> </w:t>
      </w:r>
      <w:r w:rsidR="00145ED6">
        <w:rPr>
          <w:bCs/>
          <w:sz w:val="22"/>
          <w:szCs w:val="22"/>
        </w:rPr>
        <w:t xml:space="preserve"> </w:t>
      </w:r>
      <w:r w:rsidR="005A5FBF">
        <w:rPr>
          <w:sz w:val="22"/>
          <w:szCs w:val="22"/>
        </w:rPr>
        <w:t>The</w:t>
      </w:r>
      <w:r w:rsidR="005A5FBF" w:rsidRPr="00440A2D">
        <w:rPr>
          <w:sz w:val="22"/>
          <w:szCs w:val="22"/>
        </w:rPr>
        <w:t xml:space="preserve"> plant</w:t>
      </w:r>
      <w:r w:rsidR="0096720C" w:rsidRPr="00440A2D">
        <w:rPr>
          <w:sz w:val="22"/>
          <w:szCs w:val="22"/>
        </w:rPr>
        <w:t xml:space="preserve"> is </w:t>
      </w:r>
      <w:r w:rsidR="005A5FBF" w:rsidRPr="00440A2D">
        <w:rPr>
          <w:sz w:val="22"/>
          <w:szCs w:val="22"/>
        </w:rPr>
        <w:t>proposed to</w:t>
      </w:r>
      <w:r w:rsidR="0096720C" w:rsidRPr="00440A2D">
        <w:rPr>
          <w:sz w:val="22"/>
          <w:szCs w:val="22"/>
        </w:rPr>
        <w:t xml:space="preserve"> be closed with Provision of Transmission and Evacuation facility near RPH to transmit and distribute power in Central Delhi.  This was decided in </w:t>
      </w:r>
      <w:r w:rsidR="0096720C">
        <w:rPr>
          <w:sz w:val="22"/>
          <w:szCs w:val="22"/>
        </w:rPr>
        <w:t>meeting</w:t>
      </w:r>
      <w:r w:rsidR="00CB1B7E">
        <w:rPr>
          <w:sz w:val="22"/>
          <w:szCs w:val="22"/>
        </w:rPr>
        <w:t xml:space="preserve"> chaired by Chief S</w:t>
      </w:r>
      <w:r w:rsidR="0096720C" w:rsidRPr="00440A2D">
        <w:rPr>
          <w:sz w:val="22"/>
          <w:szCs w:val="22"/>
        </w:rPr>
        <w:t xml:space="preserve">ecretary, GNCTD on </w:t>
      </w:r>
      <w:r w:rsidR="0096720C" w:rsidRPr="00440A2D">
        <w:rPr>
          <w:sz w:val="22"/>
          <w:szCs w:val="22"/>
        </w:rPr>
        <w:lastRenderedPageBreak/>
        <w:t>18.03.2014 to provide separate transmission line within 2 years</w:t>
      </w:r>
      <w:r w:rsidR="0096720C">
        <w:rPr>
          <w:sz w:val="22"/>
          <w:szCs w:val="22"/>
        </w:rPr>
        <w:t xml:space="preserve"> before closure of RPH is affected</w:t>
      </w:r>
      <w:r w:rsidR="0096720C" w:rsidRPr="00440A2D">
        <w:rPr>
          <w:sz w:val="22"/>
          <w:szCs w:val="22"/>
        </w:rPr>
        <w:t>.  PGCIL (Power Grid Corporation of India Ltd.) has been entrusted to erect and Commission 400KV GIS (</w:t>
      </w:r>
      <w:r w:rsidR="00441EDE">
        <w:rPr>
          <w:sz w:val="22"/>
          <w:szCs w:val="22"/>
        </w:rPr>
        <w:t>Gas</w:t>
      </w:r>
      <w:r w:rsidR="0096720C" w:rsidRPr="00440A2D">
        <w:rPr>
          <w:sz w:val="22"/>
          <w:szCs w:val="22"/>
        </w:rPr>
        <w:t xml:space="preserve"> Insulated Station) substation near RPH. The foundation stone of the same has been led in December 2014 and project is to be completed in FY 2016-17</w:t>
      </w:r>
      <w:r w:rsidR="00532C04">
        <w:rPr>
          <w:bCs/>
          <w:sz w:val="22"/>
          <w:szCs w:val="22"/>
        </w:rPr>
        <w:t>.</w:t>
      </w:r>
      <w:r w:rsidR="00063229">
        <w:rPr>
          <w:bCs/>
          <w:sz w:val="22"/>
          <w:szCs w:val="22"/>
        </w:rPr>
        <w:t xml:space="preserve">  The petitioner, therefore, requests Hon’ble Commission to allow </w:t>
      </w:r>
      <w:r w:rsidR="0081377B">
        <w:rPr>
          <w:bCs/>
          <w:sz w:val="22"/>
          <w:szCs w:val="22"/>
        </w:rPr>
        <w:t>additional expenditure on account of above expenditure and capital expenditure as a special R&amp;M as per Clause 6.15 of MYT Regulation, 2011.</w:t>
      </w:r>
    </w:p>
    <w:p w:rsidR="00235E34" w:rsidRPr="00235E34" w:rsidRDefault="00235E34" w:rsidP="006A71BB">
      <w:pPr>
        <w:rPr>
          <w:b/>
          <w:sz w:val="20"/>
          <w:szCs w:val="20"/>
        </w:rPr>
      </w:pPr>
      <w:r w:rsidRPr="00235E34">
        <w:rPr>
          <w:b/>
          <w:sz w:val="20"/>
          <w:szCs w:val="20"/>
        </w:rPr>
        <w:t xml:space="preserve">Gas Turbine Power Station </w:t>
      </w:r>
    </w:p>
    <w:p w:rsidR="007A4C8C" w:rsidRDefault="007A4C8C" w:rsidP="007A4C8C">
      <w:pPr>
        <w:rPr>
          <w:bCs/>
          <w:sz w:val="22"/>
          <w:szCs w:val="22"/>
        </w:rPr>
      </w:pPr>
      <w:r>
        <w:rPr>
          <w:bCs/>
          <w:sz w:val="22"/>
          <w:szCs w:val="22"/>
        </w:rPr>
        <w:t xml:space="preserve">It is submitted that in the case of GTPS, Repair and Maintenance expenses are varying on year to year basis because of cyclic nature of maintenance activities of Gas Turbines. Normally, Combustion Inspection is carried out after every 8000 hours, Hot Gas Path Inspection after operation of machines for 24000 hours and Major Inspection after every 48000Hours of Operation of Gas Turbines. In a cyclic period of six years gas turbine will undergo four Combustion Inspections, one Hot Gas Path Inspection, and one major Inspection. The station is having nine units (six Gas Turbines and three steam turbines).  The repair and maintenance expenditure will vary on year to year depending on the type of inspection carried out in the machines. </w:t>
      </w:r>
    </w:p>
    <w:p w:rsidR="005D7F80" w:rsidRDefault="005D7F80" w:rsidP="005D7F80">
      <w:pPr>
        <w:spacing w:line="240" w:lineRule="auto"/>
        <w:rPr>
          <w:bCs/>
          <w:sz w:val="22"/>
          <w:szCs w:val="22"/>
        </w:rPr>
      </w:pPr>
    </w:p>
    <w:p w:rsidR="009C56E3" w:rsidRDefault="007A4C8C" w:rsidP="007A4C8C">
      <w:pPr>
        <w:rPr>
          <w:bCs/>
          <w:sz w:val="22"/>
          <w:szCs w:val="22"/>
        </w:rPr>
      </w:pPr>
      <w:r>
        <w:rPr>
          <w:bCs/>
          <w:sz w:val="22"/>
          <w:szCs w:val="22"/>
        </w:rPr>
        <w:t>It is further submitted that IPGTPS is having nine number of machines and the major inspection of one Gas Turbine costs around Rs. 12-15 Crore, Hot Gas Path Inspection of one Gas Turbine is around Rs. 6-7 Crore and cost of one Combustion Inspection is around Rs. 2-3 Crore. The petitioner would like to submit that in a cycl</w:t>
      </w:r>
      <w:r w:rsidR="00685D15">
        <w:rPr>
          <w:bCs/>
          <w:sz w:val="22"/>
          <w:szCs w:val="22"/>
        </w:rPr>
        <w:t>e</w:t>
      </w:r>
      <w:r>
        <w:rPr>
          <w:bCs/>
          <w:sz w:val="22"/>
          <w:szCs w:val="22"/>
        </w:rPr>
        <w:t xml:space="preserve"> of six years, the average repair &amp; maintenance expenditure of the station including </w:t>
      </w:r>
      <w:r w:rsidR="003A0688">
        <w:rPr>
          <w:bCs/>
          <w:sz w:val="22"/>
          <w:szCs w:val="22"/>
        </w:rPr>
        <w:t>various inspections of GTs from time to time, repair &amp; maintenance of STGs, HRSGs, balance of plant, civil work and share of headquarters will be around Rs. 35 Crore.</w:t>
      </w:r>
    </w:p>
    <w:p w:rsidR="005934AB" w:rsidRPr="005934AB" w:rsidRDefault="005934AB" w:rsidP="00E16C4B">
      <w:pPr>
        <w:rPr>
          <w:b/>
          <w:bCs/>
          <w:sz w:val="22"/>
          <w:szCs w:val="22"/>
        </w:rPr>
      </w:pPr>
      <w:r w:rsidRPr="005934AB">
        <w:rPr>
          <w:b/>
          <w:bCs/>
          <w:sz w:val="22"/>
          <w:szCs w:val="22"/>
        </w:rPr>
        <w:t>Special Repair &amp; Maintenance</w:t>
      </w:r>
    </w:p>
    <w:p w:rsidR="00A97FC4" w:rsidRPr="00235E34" w:rsidRDefault="00424B25" w:rsidP="00E16C4B">
      <w:pPr>
        <w:rPr>
          <w:b/>
          <w:bCs/>
          <w:sz w:val="20"/>
          <w:szCs w:val="20"/>
        </w:rPr>
      </w:pPr>
      <w:r w:rsidRPr="00235E34">
        <w:rPr>
          <w:b/>
          <w:bCs/>
          <w:sz w:val="20"/>
          <w:szCs w:val="20"/>
        </w:rPr>
        <w:t>Rajghat Power House</w:t>
      </w:r>
    </w:p>
    <w:p w:rsidR="00424B25" w:rsidRDefault="0038397D" w:rsidP="00523647">
      <w:pPr>
        <w:ind w:firstLine="360"/>
        <w:rPr>
          <w:sz w:val="22"/>
          <w:szCs w:val="22"/>
        </w:rPr>
      </w:pPr>
      <w:r>
        <w:rPr>
          <w:sz w:val="22"/>
          <w:szCs w:val="22"/>
        </w:rPr>
        <w:t>In this regard, petitioner may like to submit that RPH is anticipated to be closed down FY 16-17 or after completion of power evacuation facility near RPH being undertaken by M/s. PGCIL</w:t>
      </w:r>
      <w:r w:rsidR="00685D15">
        <w:rPr>
          <w:sz w:val="22"/>
          <w:szCs w:val="22"/>
        </w:rPr>
        <w:t>.</w:t>
      </w:r>
      <w:r w:rsidR="00685D15" w:rsidRPr="00685D15">
        <w:rPr>
          <w:sz w:val="22"/>
          <w:szCs w:val="26"/>
        </w:rPr>
        <w:t xml:space="preserve"> </w:t>
      </w:r>
      <w:r w:rsidR="00685D15">
        <w:rPr>
          <w:sz w:val="22"/>
          <w:szCs w:val="26"/>
        </w:rPr>
        <w:t xml:space="preserve">The station </w:t>
      </w:r>
      <w:r w:rsidR="00685D15" w:rsidRPr="001F4F03">
        <w:rPr>
          <w:sz w:val="22"/>
          <w:szCs w:val="26"/>
        </w:rPr>
        <w:t>is around 25 years</w:t>
      </w:r>
      <w:r w:rsidR="00685D15">
        <w:rPr>
          <w:sz w:val="22"/>
          <w:szCs w:val="26"/>
        </w:rPr>
        <w:t xml:space="preserve"> old. The station is to be closed down in the near future due to environmental concerns.   Therefore, i</w:t>
      </w:r>
      <w:r w:rsidR="00685D15">
        <w:rPr>
          <w:rFonts w:cs="Arial"/>
          <w:sz w:val="22"/>
          <w:szCs w:val="22"/>
        </w:rPr>
        <w:t xml:space="preserve">n the </w:t>
      </w:r>
      <w:r w:rsidR="00685D15">
        <w:rPr>
          <w:rFonts w:cs="Arial"/>
          <w:sz w:val="22"/>
          <w:szCs w:val="22"/>
        </w:rPr>
        <w:lastRenderedPageBreak/>
        <w:t xml:space="preserve">station no major R&amp;M activities is being carried out and only need based maintenance is being carried out.  </w:t>
      </w:r>
      <w:r>
        <w:rPr>
          <w:sz w:val="22"/>
          <w:szCs w:val="22"/>
        </w:rPr>
        <w:t xml:space="preserve">  However, for</w:t>
      </w:r>
      <w:r w:rsidR="00264BEA">
        <w:rPr>
          <w:sz w:val="22"/>
          <w:szCs w:val="22"/>
        </w:rPr>
        <w:t xml:space="preserve"> smooth operation of the plant </w:t>
      </w:r>
      <w:r>
        <w:rPr>
          <w:sz w:val="22"/>
          <w:szCs w:val="22"/>
        </w:rPr>
        <w:t xml:space="preserve">some plants &amp; equipments of capital nature </w:t>
      </w:r>
      <w:r w:rsidR="00CB134C">
        <w:rPr>
          <w:sz w:val="22"/>
          <w:szCs w:val="22"/>
        </w:rPr>
        <w:t>is</w:t>
      </w:r>
      <w:r>
        <w:rPr>
          <w:sz w:val="22"/>
          <w:szCs w:val="22"/>
        </w:rPr>
        <w:t xml:space="preserve"> required as per direction of Delhi Pollution Control Committee for installation of </w:t>
      </w:r>
      <w:r w:rsidR="0052476D">
        <w:rPr>
          <w:sz w:val="22"/>
          <w:szCs w:val="22"/>
        </w:rPr>
        <w:t xml:space="preserve">SPM control and </w:t>
      </w:r>
      <w:r>
        <w:rPr>
          <w:sz w:val="22"/>
          <w:szCs w:val="22"/>
        </w:rPr>
        <w:t>st</w:t>
      </w:r>
      <w:r w:rsidR="0052476D">
        <w:rPr>
          <w:sz w:val="22"/>
          <w:szCs w:val="22"/>
        </w:rPr>
        <w:t>a</w:t>
      </w:r>
      <w:r>
        <w:rPr>
          <w:sz w:val="22"/>
          <w:szCs w:val="22"/>
        </w:rPr>
        <w:t>ck monitoring system.</w:t>
      </w:r>
      <w:r w:rsidR="00B02E37">
        <w:rPr>
          <w:sz w:val="22"/>
          <w:szCs w:val="22"/>
        </w:rPr>
        <w:t xml:space="preserve"> </w:t>
      </w:r>
      <w:r w:rsidR="002C5AE5">
        <w:rPr>
          <w:sz w:val="22"/>
          <w:szCs w:val="26"/>
        </w:rPr>
        <w:t xml:space="preserve">The station was commissioned in the year 1989-90. </w:t>
      </w:r>
      <w:r w:rsidR="002C5AE5">
        <w:rPr>
          <w:rFonts w:cs="Arial"/>
          <w:sz w:val="22"/>
          <w:szCs w:val="22"/>
        </w:rPr>
        <w:t>Petitioner therefore requests Hon’ble Commission to allow additional Rs. 6.9833</w:t>
      </w:r>
      <w:r w:rsidR="00EB4E12">
        <w:rPr>
          <w:rFonts w:cs="Arial"/>
          <w:sz w:val="22"/>
          <w:szCs w:val="22"/>
        </w:rPr>
        <w:t xml:space="preserve"> </w:t>
      </w:r>
      <w:r w:rsidR="002C5AE5">
        <w:rPr>
          <w:rFonts w:cs="Arial"/>
          <w:sz w:val="22"/>
          <w:szCs w:val="22"/>
        </w:rPr>
        <w:t>lakh</w:t>
      </w:r>
      <w:r w:rsidR="00EB4E12">
        <w:rPr>
          <w:rFonts w:cs="Arial"/>
          <w:sz w:val="22"/>
          <w:szCs w:val="22"/>
        </w:rPr>
        <w:t>/MW/</w:t>
      </w:r>
      <w:r w:rsidR="002C5AE5">
        <w:rPr>
          <w:rFonts w:cs="Arial"/>
          <w:sz w:val="22"/>
          <w:szCs w:val="22"/>
        </w:rPr>
        <w:t>year separate compensation in addition to normal O&amp;M in line with Clause 6.15 of the DERC Regulation, 2011, to meet out requirement of renovation &amp; modernization expenditure for FY 2015-16.</w:t>
      </w:r>
      <w:r w:rsidR="00523647">
        <w:rPr>
          <w:rFonts w:cs="Arial"/>
          <w:sz w:val="22"/>
          <w:szCs w:val="22"/>
        </w:rPr>
        <w:t xml:space="preserve">  Further, </w:t>
      </w:r>
      <w:r w:rsidR="00B02E37">
        <w:rPr>
          <w:sz w:val="22"/>
          <w:szCs w:val="22"/>
        </w:rPr>
        <w:t>petitioner requests Hon’ble Commission to allow separate compensation allowance of Rs. 0.65 lac /  MW / year as per Clause No.6.44 of DERC MYT Regulation, 2011</w:t>
      </w:r>
      <w:r w:rsidR="00523647">
        <w:rPr>
          <w:sz w:val="22"/>
          <w:szCs w:val="22"/>
        </w:rPr>
        <w:t xml:space="preserve"> to meet out additional expenditure </w:t>
      </w:r>
      <w:r w:rsidR="00D548D6">
        <w:rPr>
          <w:sz w:val="22"/>
          <w:szCs w:val="22"/>
        </w:rPr>
        <w:t>to meet out expenditure on procurement of new assets of capital nature including in the nature of minor assets</w:t>
      </w:r>
      <w:r w:rsidR="00B02E37">
        <w:rPr>
          <w:sz w:val="22"/>
          <w:szCs w:val="22"/>
        </w:rPr>
        <w:t>.</w:t>
      </w:r>
      <w:r w:rsidR="00770FAA">
        <w:rPr>
          <w:sz w:val="22"/>
          <w:szCs w:val="22"/>
        </w:rPr>
        <w:t xml:space="preserve">  </w:t>
      </w:r>
      <w:r w:rsidR="008F560A">
        <w:rPr>
          <w:sz w:val="22"/>
          <w:szCs w:val="22"/>
        </w:rPr>
        <w:t xml:space="preserve">The total expenditure </w:t>
      </w:r>
      <w:r w:rsidR="00DA3C89">
        <w:rPr>
          <w:sz w:val="22"/>
          <w:szCs w:val="22"/>
        </w:rPr>
        <w:t xml:space="preserve">for 2015-16 under Clauses 6.15 &amp; 6.44 will be as </w:t>
      </w:r>
      <w:r w:rsidR="005D7F80">
        <w:rPr>
          <w:sz w:val="22"/>
          <w:szCs w:val="22"/>
        </w:rPr>
        <w:t>under:</w:t>
      </w:r>
    </w:p>
    <w:p w:rsidR="00685F91" w:rsidRDefault="00685F91" w:rsidP="00685F91">
      <w:pPr>
        <w:pStyle w:val="Caption"/>
        <w:jc w:val="center"/>
      </w:pPr>
      <w:bookmarkStart w:id="51" w:name="_Toc411603998"/>
      <w:r>
        <w:t xml:space="preserve">Table </w:t>
      </w:r>
      <w:fldSimple w:instr=" SEQ Table \* ARABIC ">
        <w:r w:rsidR="002326CE">
          <w:rPr>
            <w:noProof/>
          </w:rPr>
          <w:t>21</w:t>
        </w:r>
      </w:fldSimple>
      <w:r>
        <w:t xml:space="preserve"> : </w:t>
      </w:r>
      <w:r w:rsidR="00630EE7">
        <w:t>Special allowances for RPH</w:t>
      </w:r>
      <w:bookmarkEnd w:id="51"/>
    </w:p>
    <w:p w:rsidR="00DA3C89" w:rsidRDefault="00DA3C89" w:rsidP="006A1757">
      <w:pPr>
        <w:spacing w:line="240" w:lineRule="auto"/>
        <w:ind w:firstLine="360"/>
        <w:rPr>
          <w:sz w:val="22"/>
          <w:szCs w:val="22"/>
        </w:rPr>
      </w:pPr>
    </w:p>
    <w:tbl>
      <w:tblPr>
        <w:tblW w:w="8494" w:type="dxa"/>
        <w:tblInd w:w="90" w:type="dxa"/>
        <w:tblLook w:val="0000"/>
      </w:tblPr>
      <w:tblGrid>
        <w:gridCol w:w="4158"/>
        <w:gridCol w:w="1021"/>
        <w:gridCol w:w="1127"/>
        <w:gridCol w:w="910"/>
        <w:gridCol w:w="1278"/>
      </w:tblGrid>
      <w:tr w:rsidR="00454348" w:rsidTr="00D93E88">
        <w:trPr>
          <w:trHeight w:val="582"/>
        </w:trPr>
        <w:tc>
          <w:tcPr>
            <w:tcW w:w="4158"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454348" w:rsidRDefault="00454348" w:rsidP="00433B1A">
            <w:pPr>
              <w:spacing w:line="240" w:lineRule="auto"/>
              <w:rPr>
                <w:b/>
                <w:bCs/>
                <w:color w:val="FFFFFF"/>
                <w:sz w:val="20"/>
                <w:szCs w:val="20"/>
              </w:rPr>
            </w:pPr>
            <w:r>
              <w:rPr>
                <w:b/>
                <w:bCs/>
                <w:color w:val="FFFFFF"/>
                <w:sz w:val="20"/>
                <w:szCs w:val="20"/>
              </w:rPr>
              <w:t xml:space="preserve">Particulars </w:t>
            </w:r>
          </w:p>
          <w:p w:rsidR="00454348" w:rsidRDefault="00454348" w:rsidP="00433B1A">
            <w:pPr>
              <w:spacing w:line="240" w:lineRule="auto"/>
              <w:rPr>
                <w:b/>
                <w:bCs/>
                <w:color w:val="FFFFFF"/>
                <w:sz w:val="20"/>
                <w:szCs w:val="20"/>
              </w:rPr>
            </w:pPr>
            <w:r>
              <w:rPr>
                <w:b/>
                <w:bCs/>
                <w:color w:val="FFFFFF"/>
                <w:sz w:val="20"/>
                <w:szCs w:val="20"/>
              </w:rPr>
              <w:t>(Rs. Crores)</w:t>
            </w:r>
          </w:p>
        </w:tc>
        <w:tc>
          <w:tcPr>
            <w:tcW w:w="1144" w:type="dxa"/>
            <w:tcBorders>
              <w:top w:val="single" w:sz="4" w:space="0" w:color="auto"/>
              <w:left w:val="nil"/>
              <w:bottom w:val="single" w:sz="4" w:space="0" w:color="auto"/>
              <w:right w:val="single" w:sz="4" w:space="0" w:color="auto"/>
            </w:tcBorders>
            <w:shd w:val="clear" w:color="auto" w:fill="000080"/>
            <w:vAlign w:val="center"/>
          </w:tcPr>
          <w:p w:rsidR="00454348" w:rsidRPr="005A7CA3" w:rsidRDefault="00454348" w:rsidP="00433B1A">
            <w:pPr>
              <w:spacing w:line="240" w:lineRule="auto"/>
              <w:ind w:left="-108" w:right="-108"/>
              <w:jc w:val="center"/>
              <w:rPr>
                <w:rFonts w:cs="Arial"/>
                <w:b/>
                <w:sz w:val="20"/>
                <w:szCs w:val="20"/>
              </w:rPr>
            </w:pPr>
            <w:r w:rsidRPr="005A7CA3">
              <w:rPr>
                <w:rFonts w:cs="Arial"/>
                <w:b/>
                <w:sz w:val="20"/>
                <w:szCs w:val="20"/>
              </w:rPr>
              <w:t>12-13</w:t>
            </w:r>
          </w:p>
        </w:tc>
        <w:tc>
          <w:tcPr>
            <w:tcW w:w="1282" w:type="dxa"/>
            <w:tcBorders>
              <w:top w:val="single" w:sz="4" w:space="0" w:color="auto"/>
              <w:left w:val="nil"/>
              <w:bottom w:val="single" w:sz="4" w:space="0" w:color="auto"/>
              <w:right w:val="single" w:sz="4" w:space="0" w:color="auto"/>
            </w:tcBorders>
            <w:shd w:val="clear" w:color="auto" w:fill="000080"/>
            <w:vAlign w:val="center"/>
          </w:tcPr>
          <w:p w:rsidR="00454348" w:rsidRDefault="00454348" w:rsidP="00433B1A">
            <w:pPr>
              <w:spacing w:line="240" w:lineRule="auto"/>
              <w:ind w:left="-108" w:right="-108"/>
              <w:jc w:val="center"/>
              <w:rPr>
                <w:rFonts w:cs="Arial"/>
                <w:b/>
                <w:bCs/>
                <w:sz w:val="20"/>
                <w:szCs w:val="20"/>
              </w:rPr>
            </w:pPr>
            <w:r>
              <w:rPr>
                <w:rFonts w:cs="Arial"/>
                <w:b/>
                <w:bCs/>
                <w:sz w:val="20"/>
                <w:szCs w:val="20"/>
              </w:rPr>
              <w:t>13-14</w:t>
            </w:r>
          </w:p>
        </w:tc>
        <w:tc>
          <w:tcPr>
            <w:tcW w:w="999" w:type="dxa"/>
            <w:tcBorders>
              <w:top w:val="single" w:sz="4" w:space="0" w:color="auto"/>
              <w:left w:val="nil"/>
              <w:bottom w:val="single" w:sz="4" w:space="0" w:color="auto"/>
              <w:right w:val="single" w:sz="4" w:space="0" w:color="auto"/>
            </w:tcBorders>
            <w:shd w:val="clear" w:color="auto" w:fill="000080"/>
            <w:vAlign w:val="center"/>
          </w:tcPr>
          <w:p w:rsidR="00454348" w:rsidRDefault="00454348" w:rsidP="00433B1A">
            <w:pPr>
              <w:spacing w:line="240" w:lineRule="auto"/>
              <w:ind w:left="-108" w:right="-108"/>
              <w:jc w:val="center"/>
              <w:rPr>
                <w:rFonts w:cs="Arial"/>
                <w:b/>
                <w:bCs/>
                <w:sz w:val="20"/>
                <w:szCs w:val="20"/>
              </w:rPr>
            </w:pPr>
            <w:r>
              <w:rPr>
                <w:rFonts w:cs="Arial"/>
                <w:b/>
                <w:bCs/>
                <w:sz w:val="20"/>
                <w:szCs w:val="20"/>
              </w:rPr>
              <w:t>14-15</w:t>
            </w:r>
          </w:p>
        </w:tc>
        <w:tc>
          <w:tcPr>
            <w:tcW w:w="911" w:type="dxa"/>
            <w:tcBorders>
              <w:top w:val="single" w:sz="4" w:space="0" w:color="auto"/>
              <w:left w:val="nil"/>
              <w:bottom w:val="single" w:sz="4" w:space="0" w:color="auto"/>
              <w:right w:val="single" w:sz="4" w:space="0" w:color="auto"/>
            </w:tcBorders>
            <w:shd w:val="clear" w:color="auto" w:fill="000080"/>
            <w:vAlign w:val="center"/>
          </w:tcPr>
          <w:p w:rsidR="004B6D5D" w:rsidRDefault="004B6D5D" w:rsidP="004B6D5D">
            <w:pPr>
              <w:spacing w:line="240" w:lineRule="auto"/>
              <w:jc w:val="center"/>
              <w:rPr>
                <w:b/>
                <w:sz w:val="22"/>
                <w:szCs w:val="22"/>
              </w:rPr>
            </w:pPr>
            <w:r>
              <w:rPr>
                <w:b/>
                <w:sz w:val="22"/>
                <w:szCs w:val="22"/>
              </w:rPr>
              <w:t>15-16</w:t>
            </w:r>
          </w:p>
          <w:p w:rsidR="00454348" w:rsidRDefault="004B6D5D" w:rsidP="004B6D5D">
            <w:pPr>
              <w:spacing w:line="240" w:lineRule="auto"/>
              <w:ind w:left="-108" w:right="-108"/>
              <w:jc w:val="center"/>
              <w:rPr>
                <w:b/>
                <w:bCs/>
                <w:color w:val="FFFFFF"/>
                <w:sz w:val="20"/>
                <w:szCs w:val="20"/>
              </w:rPr>
            </w:pPr>
            <w:r>
              <w:rPr>
                <w:b/>
                <w:sz w:val="22"/>
                <w:szCs w:val="22"/>
              </w:rPr>
              <w:t>(Estimated)</w:t>
            </w:r>
            <w:r w:rsidR="00264BEA">
              <w:rPr>
                <w:rFonts w:cs="Arial"/>
                <w:b/>
                <w:bCs/>
                <w:color w:val="00B0F0"/>
                <w:sz w:val="20"/>
                <w:szCs w:val="20"/>
              </w:rPr>
              <w:t>)</w:t>
            </w:r>
          </w:p>
        </w:tc>
      </w:tr>
      <w:tr w:rsidR="00454348" w:rsidTr="00D93E88">
        <w:trPr>
          <w:trHeight w:val="645"/>
        </w:trPr>
        <w:tc>
          <w:tcPr>
            <w:tcW w:w="4158" w:type="dxa"/>
            <w:tcBorders>
              <w:top w:val="nil"/>
              <w:left w:val="single" w:sz="4" w:space="0" w:color="auto"/>
              <w:bottom w:val="single" w:sz="4" w:space="0" w:color="auto"/>
              <w:right w:val="single" w:sz="4" w:space="0" w:color="auto"/>
            </w:tcBorders>
            <w:shd w:val="clear" w:color="auto" w:fill="auto"/>
            <w:vAlign w:val="center"/>
          </w:tcPr>
          <w:p w:rsidR="00454348" w:rsidRDefault="00454348" w:rsidP="00D93E88">
            <w:pPr>
              <w:spacing w:line="240" w:lineRule="auto"/>
              <w:ind w:left="-90" w:right="72"/>
              <w:jc w:val="left"/>
              <w:rPr>
                <w:sz w:val="20"/>
                <w:szCs w:val="20"/>
              </w:rPr>
            </w:pPr>
            <w:r>
              <w:rPr>
                <w:sz w:val="20"/>
                <w:szCs w:val="20"/>
              </w:rPr>
              <w:t>Compensation as per Clause 6.15</w:t>
            </w:r>
            <w:r w:rsidR="00D93E88">
              <w:rPr>
                <w:sz w:val="20"/>
                <w:szCs w:val="20"/>
              </w:rPr>
              <w:t xml:space="preserve"> on account of </w:t>
            </w:r>
            <w:r w:rsidR="00672D30">
              <w:rPr>
                <w:sz w:val="20"/>
                <w:szCs w:val="20"/>
              </w:rPr>
              <w:t xml:space="preserve">Renovation </w:t>
            </w:r>
            <w:r w:rsidR="00D93E88">
              <w:rPr>
                <w:sz w:val="20"/>
                <w:szCs w:val="20"/>
              </w:rPr>
              <w:t xml:space="preserve">&amp; </w:t>
            </w:r>
            <w:r w:rsidR="00672D30">
              <w:rPr>
                <w:sz w:val="20"/>
                <w:szCs w:val="20"/>
              </w:rPr>
              <w:t>Modernization</w:t>
            </w:r>
            <w:r w:rsidR="00D93E88">
              <w:rPr>
                <w:sz w:val="20"/>
                <w:szCs w:val="20"/>
              </w:rPr>
              <w:t xml:space="preserve"> </w:t>
            </w:r>
          </w:p>
        </w:tc>
        <w:tc>
          <w:tcPr>
            <w:tcW w:w="1144" w:type="dxa"/>
            <w:tcBorders>
              <w:top w:val="nil"/>
              <w:left w:val="nil"/>
              <w:bottom w:val="single" w:sz="4" w:space="0" w:color="auto"/>
              <w:right w:val="single" w:sz="4" w:space="0" w:color="auto"/>
            </w:tcBorders>
            <w:shd w:val="clear" w:color="auto" w:fill="auto"/>
            <w:vAlign w:val="center"/>
          </w:tcPr>
          <w:p w:rsidR="00454348" w:rsidRDefault="00454348" w:rsidP="00433B1A">
            <w:pPr>
              <w:spacing w:line="240" w:lineRule="auto"/>
              <w:ind w:left="-108" w:right="-108"/>
              <w:jc w:val="center"/>
              <w:rPr>
                <w:rFonts w:ascii="Arial" w:hAnsi="Arial"/>
                <w:sz w:val="20"/>
                <w:szCs w:val="20"/>
              </w:rPr>
            </w:pPr>
            <w:r>
              <w:rPr>
                <w:rFonts w:ascii="Arial" w:hAnsi="Arial"/>
                <w:sz w:val="20"/>
                <w:szCs w:val="20"/>
              </w:rPr>
              <w:t xml:space="preserve">5.1861 </w:t>
            </w:r>
          </w:p>
        </w:tc>
        <w:tc>
          <w:tcPr>
            <w:tcW w:w="1282" w:type="dxa"/>
            <w:tcBorders>
              <w:top w:val="nil"/>
              <w:left w:val="nil"/>
              <w:bottom w:val="single" w:sz="4" w:space="0" w:color="auto"/>
              <w:right w:val="single" w:sz="4" w:space="0" w:color="auto"/>
            </w:tcBorders>
            <w:shd w:val="clear" w:color="auto" w:fill="auto"/>
            <w:vAlign w:val="center"/>
          </w:tcPr>
          <w:p w:rsidR="00454348" w:rsidRDefault="00454348" w:rsidP="00433B1A">
            <w:pPr>
              <w:spacing w:line="240" w:lineRule="auto"/>
              <w:ind w:left="-108" w:right="-108"/>
              <w:jc w:val="center"/>
              <w:rPr>
                <w:rFonts w:ascii="Arial" w:hAnsi="Arial"/>
                <w:sz w:val="20"/>
                <w:szCs w:val="20"/>
              </w:rPr>
            </w:pPr>
            <w:r>
              <w:rPr>
                <w:rFonts w:ascii="Arial" w:hAnsi="Arial"/>
                <w:sz w:val="20"/>
                <w:szCs w:val="20"/>
              </w:rPr>
              <w:t>5.4827</w:t>
            </w:r>
          </w:p>
        </w:tc>
        <w:tc>
          <w:tcPr>
            <w:tcW w:w="999" w:type="dxa"/>
            <w:tcBorders>
              <w:top w:val="nil"/>
              <w:left w:val="nil"/>
              <w:bottom w:val="single" w:sz="4" w:space="0" w:color="auto"/>
              <w:right w:val="single" w:sz="4" w:space="0" w:color="auto"/>
            </w:tcBorders>
            <w:shd w:val="clear" w:color="auto" w:fill="auto"/>
            <w:vAlign w:val="center"/>
          </w:tcPr>
          <w:p w:rsidR="00454348" w:rsidRDefault="00454348" w:rsidP="00433B1A">
            <w:pPr>
              <w:spacing w:line="240" w:lineRule="auto"/>
              <w:ind w:left="-108" w:right="-108"/>
              <w:jc w:val="center"/>
              <w:rPr>
                <w:rFonts w:ascii="Arial" w:hAnsi="Arial"/>
                <w:sz w:val="20"/>
                <w:szCs w:val="20"/>
              </w:rPr>
            </w:pPr>
            <w:r>
              <w:rPr>
                <w:rFonts w:ascii="Arial" w:hAnsi="Arial"/>
                <w:sz w:val="20"/>
                <w:szCs w:val="20"/>
              </w:rPr>
              <w:t>5.7963</w:t>
            </w:r>
          </w:p>
        </w:tc>
        <w:tc>
          <w:tcPr>
            <w:tcW w:w="911" w:type="dxa"/>
            <w:tcBorders>
              <w:top w:val="nil"/>
              <w:left w:val="nil"/>
              <w:bottom w:val="single" w:sz="4" w:space="0" w:color="auto"/>
              <w:right w:val="single" w:sz="4" w:space="0" w:color="auto"/>
            </w:tcBorders>
            <w:shd w:val="clear" w:color="auto" w:fill="auto"/>
            <w:vAlign w:val="center"/>
          </w:tcPr>
          <w:p w:rsidR="00454348" w:rsidRDefault="00454348" w:rsidP="00433B1A">
            <w:pPr>
              <w:spacing w:line="240" w:lineRule="auto"/>
              <w:ind w:left="-108" w:right="-108"/>
              <w:jc w:val="center"/>
              <w:rPr>
                <w:rFonts w:ascii="Arial" w:hAnsi="Arial"/>
                <w:sz w:val="20"/>
                <w:szCs w:val="20"/>
              </w:rPr>
            </w:pPr>
            <w:r>
              <w:rPr>
                <w:rFonts w:ascii="Arial" w:hAnsi="Arial"/>
                <w:sz w:val="20"/>
                <w:szCs w:val="20"/>
              </w:rPr>
              <w:t>6.1278</w:t>
            </w:r>
          </w:p>
        </w:tc>
      </w:tr>
      <w:tr w:rsidR="00BB6F0E" w:rsidTr="00433B1A">
        <w:trPr>
          <w:trHeight w:val="693"/>
        </w:trPr>
        <w:tc>
          <w:tcPr>
            <w:tcW w:w="4158" w:type="dxa"/>
            <w:tcBorders>
              <w:top w:val="nil"/>
              <w:left w:val="single" w:sz="4" w:space="0" w:color="auto"/>
              <w:bottom w:val="single" w:sz="4" w:space="0" w:color="auto"/>
              <w:right w:val="single" w:sz="4" w:space="0" w:color="auto"/>
            </w:tcBorders>
            <w:shd w:val="clear" w:color="auto" w:fill="auto"/>
            <w:vAlign w:val="center"/>
          </w:tcPr>
          <w:p w:rsidR="00BB6F0E" w:rsidRDefault="00BB6F0E" w:rsidP="00433B1A">
            <w:pPr>
              <w:spacing w:line="240" w:lineRule="auto"/>
              <w:ind w:left="-90" w:right="-108"/>
              <w:jc w:val="left"/>
              <w:rPr>
                <w:b/>
                <w:bCs/>
                <w:sz w:val="20"/>
                <w:szCs w:val="20"/>
              </w:rPr>
            </w:pPr>
            <w:r w:rsidRPr="00672D30">
              <w:rPr>
                <w:sz w:val="20"/>
                <w:szCs w:val="20"/>
              </w:rPr>
              <w:t>Compensation as per Clause 6.44 for acquiring new assets of capital nature.</w:t>
            </w:r>
          </w:p>
        </w:tc>
        <w:tc>
          <w:tcPr>
            <w:tcW w:w="1144" w:type="dxa"/>
            <w:tcBorders>
              <w:top w:val="nil"/>
              <w:left w:val="nil"/>
              <w:bottom w:val="single" w:sz="4" w:space="0" w:color="auto"/>
              <w:right w:val="single" w:sz="4" w:space="0" w:color="auto"/>
            </w:tcBorders>
            <w:shd w:val="clear" w:color="auto" w:fill="auto"/>
            <w:vAlign w:val="center"/>
          </w:tcPr>
          <w:p w:rsidR="00BB6F0E" w:rsidRPr="00672D30" w:rsidRDefault="00BB6F0E" w:rsidP="00433B1A">
            <w:pPr>
              <w:spacing w:line="240" w:lineRule="auto"/>
              <w:ind w:left="-108" w:right="-108"/>
              <w:jc w:val="center"/>
              <w:rPr>
                <w:rFonts w:ascii="Arial" w:hAnsi="Arial"/>
                <w:bCs/>
                <w:sz w:val="20"/>
                <w:szCs w:val="20"/>
              </w:rPr>
            </w:pPr>
            <w:r w:rsidRPr="00672D30">
              <w:rPr>
                <w:rFonts w:ascii="Arial" w:hAnsi="Arial"/>
                <w:bCs/>
                <w:sz w:val="20"/>
                <w:szCs w:val="20"/>
              </w:rPr>
              <w:t>0.8775</w:t>
            </w:r>
          </w:p>
        </w:tc>
        <w:tc>
          <w:tcPr>
            <w:tcW w:w="1282" w:type="dxa"/>
            <w:tcBorders>
              <w:top w:val="nil"/>
              <w:left w:val="nil"/>
              <w:bottom w:val="single" w:sz="4" w:space="0" w:color="auto"/>
              <w:right w:val="single" w:sz="4" w:space="0" w:color="auto"/>
            </w:tcBorders>
            <w:shd w:val="clear" w:color="auto" w:fill="auto"/>
            <w:vAlign w:val="center"/>
          </w:tcPr>
          <w:p w:rsidR="00BB6F0E" w:rsidRPr="00672D30" w:rsidRDefault="00BB6F0E" w:rsidP="00433B1A">
            <w:pPr>
              <w:spacing w:line="240" w:lineRule="auto"/>
              <w:ind w:left="-108" w:right="-108"/>
              <w:jc w:val="center"/>
              <w:rPr>
                <w:rFonts w:ascii="Arial" w:hAnsi="Arial"/>
                <w:bCs/>
                <w:sz w:val="20"/>
                <w:szCs w:val="20"/>
              </w:rPr>
            </w:pPr>
            <w:r w:rsidRPr="00672D30">
              <w:rPr>
                <w:rFonts w:ascii="Arial" w:hAnsi="Arial"/>
                <w:bCs/>
                <w:sz w:val="20"/>
                <w:szCs w:val="20"/>
              </w:rPr>
              <w:t>0.8775</w:t>
            </w:r>
          </w:p>
        </w:tc>
        <w:tc>
          <w:tcPr>
            <w:tcW w:w="999" w:type="dxa"/>
            <w:tcBorders>
              <w:top w:val="nil"/>
              <w:left w:val="nil"/>
              <w:bottom w:val="single" w:sz="4" w:space="0" w:color="auto"/>
              <w:right w:val="single" w:sz="4" w:space="0" w:color="auto"/>
            </w:tcBorders>
            <w:shd w:val="clear" w:color="auto" w:fill="auto"/>
            <w:vAlign w:val="center"/>
          </w:tcPr>
          <w:p w:rsidR="00BB6F0E" w:rsidRPr="00672D30" w:rsidRDefault="00BB6F0E" w:rsidP="00433B1A">
            <w:pPr>
              <w:spacing w:line="240" w:lineRule="auto"/>
              <w:ind w:left="-108" w:right="-108"/>
              <w:jc w:val="center"/>
              <w:rPr>
                <w:rFonts w:ascii="Arial" w:hAnsi="Arial"/>
                <w:bCs/>
                <w:sz w:val="20"/>
                <w:szCs w:val="20"/>
              </w:rPr>
            </w:pPr>
            <w:r w:rsidRPr="00672D30">
              <w:rPr>
                <w:rFonts w:ascii="Arial" w:hAnsi="Arial"/>
                <w:bCs/>
                <w:sz w:val="20"/>
                <w:szCs w:val="20"/>
              </w:rPr>
              <w:t>0.8775</w:t>
            </w:r>
          </w:p>
        </w:tc>
        <w:tc>
          <w:tcPr>
            <w:tcW w:w="911" w:type="dxa"/>
            <w:tcBorders>
              <w:top w:val="nil"/>
              <w:left w:val="nil"/>
              <w:bottom w:val="single" w:sz="4" w:space="0" w:color="auto"/>
              <w:right w:val="single" w:sz="4" w:space="0" w:color="auto"/>
            </w:tcBorders>
            <w:shd w:val="clear" w:color="auto" w:fill="auto"/>
            <w:vAlign w:val="center"/>
          </w:tcPr>
          <w:p w:rsidR="00BB6F0E" w:rsidRPr="00672D30" w:rsidRDefault="00BB6F0E" w:rsidP="00433B1A">
            <w:pPr>
              <w:spacing w:line="240" w:lineRule="auto"/>
              <w:ind w:left="-108" w:right="-108"/>
              <w:jc w:val="center"/>
              <w:rPr>
                <w:rFonts w:ascii="Arial" w:hAnsi="Arial"/>
                <w:bCs/>
                <w:sz w:val="20"/>
                <w:szCs w:val="20"/>
              </w:rPr>
            </w:pPr>
            <w:r w:rsidRPr="00672D30">
              <w:rPr>
                <w:rFonts w:ascii="Arial" w:hAnsi="Arial"/>
                <w:bCs/>
                <w:sz w:val="20"/>
                <w:szCs w:val="20"/>
              </w:rPr>
              <w:t>0.8775</w:t>
            </w:r>
          </w:p>
        </w:tc>
      </w:tr>
      <w:tr w:rsidR="00BB6F0E" w:rsidTr="00D93E88">
        <w:trPr>
          <w:trHeight w:val="645"/>
        </w:trPr>
        <w:tc>
          <w:tcPr>
            <w:tcW w:w="4158" w:type="dxa"/>
            <w:tcBorders>
              <w:top w:val="nil"/>
              <w:left w:val="single" w:sz="4" w:space="0" w:color="auto"/>
              <w:bottom w:val="single" w:sz="4" w:space="0" w:color="auto"/>
              <w:right w:val="single" w:sz="4" w:space="0" w:color="auto"/>
            </w:tcBorders>
            <w:shd w:val="clear" w:color="auto" w:fill="auto"/>
            <w:vAlign w:val="center"/>
          </w:tcPr>
          <w:p w:rsidR="00BB6F0E" w:rsidRPr="001522B6" w:rsidRDefault="00AB0EBD" w:rsidP="00D93E88">
            <w:pPr>
              <w:spacing w:line="240" w:lineRule="auto"/>
              <w:ind w:left="-90" w:right="72"/>
              <w:jc w:val="left"/>
              <w:rPr>
                <w:b/>
                <w:sz w:val="20"/>
                <w:szCs w:val="20"/>
              </w:rPr>
            </w:pPr>
            <w:r>
              <w:rPr>
                <w:b/>
                <w:sz w:val="20"/>
                <w:szCs w:val="20"/>
              </w:rPr>
              <w:t xml:space="preserve">                                    </w:t>
            </w:r>
            <w:r w:rsidR="00BB6F0E" w:rsidRPr="001522B6">
              <w:rPr>
                <w:b/>
                <w:sz w:val="20"/>
                <w:szCs w:val="20"/>
              </w:rPr>
              <w:t>Total</w:t>
            </w:r>
          </w:p>
        </w:tc>
        <w:tc>
          <w:tcPr>
            <w:tcW w:w="1144" w:type="dxa"/>
            <w:tcBorders>
              <w:top w:val="nil"/>
              <w:left w:val="nil"/>
              <w:bottom w:val="single" w:sz="4" w:space="0" w:color="auto"/>
              <w:right w:val="single" w:sz="4" w:space="0" w:color="auto"/>
            </w:tcBorders>
            <w:shd w:val="clear" w:color="auto" w:fill="auto"/>
            <w:vAlign w:val="center"/>
          </w:tcPr>
          <w:p w:rsidR="00BB6F0E" w:rsidRPr="001522B6" w:rsidRDefault="00BB6F0E" w:rsidP="00433B1A">
            <w:pPr>
              <w:spacing w:line="240" w:lineRule="auto"/>
              <w:ind w:left="-108" w:right="-108"/>
              <w:jc w:val="center"/>
              <w:rPr>
                <w:rFonts w:ascii="Arial" w:hAnsi="Arial"/>
                <w:b/>
                <w:sz w:val="20"/>
                <w:szCs w:val="20"/>
              </w:rPr>
            </w:pPr>
            <w:r w:rsidRPr="001522B6">
              <w:rPr>
                <w:rFonts w:ascii="Arial" w:hAnsi="Arial"/>
                <w:b/>
                <w:sz w:val="20"/>
                <w:szCs w:val="20"/>
              </w:rPr>
              <w:t>6.0636</w:t>
            </w:r>
          </w:p>
        </w:tc>
        <w:tc>
          <w:tcPr>
            <w:tcW w:w="1282" w:type="dxa"/>
            <w:tcBorders>
              <w:top w:val="nil"/>
              <w:left w:val="nil"/>
              <w:bottom w:val="single" w:sz="4" w:space="0" w:color="auto"/>
              <w:right w:val="single" w:sz="4" w:space="0" w:color="auto"/>
            </w:tcBorders>
            <w:shd w:val="clear" w:color="auto" w:fill="auto"/>
            <w:vAlign w:val="center"/>
          </w:tcPr>
          <w:p w:rsidR="00BB6F0E" w:rsidRPr="001522B6" w:rsidRDefault="001522B6" w:rsidP="00433B1A">
            <w:pPr>
              <w:spacing w:line="240" w:lineRule="auto"/>
              <w:ind w:left="-108" w:right="-108"/>
              <w:jc w:val="center"/>
              <w:rPr>
                <w:rFonts w:ascii="Arial" w:hAnsi="Arial"/>
                <w:b/>
                <w:sz w:val="20"/>
                <w:szCs w:val="20"/>
              </w:rPr>
            </w:pPr>
            <w:r>
              <w:rPr>
                <w:rFonts w:ascii="Arial" w:hAnsi="Arial"/>
                <w:b/>
                <w:sz w:val="20"/>
                <w:szCs w:val="20"/>
              </w:rPr>
              <w:t>6.3602</w:t>
            </w:r>
          </w:p>
        </w:tc>
        <w:tc>
          <w:tcPr>
            <w:tcW w:w="999" w:type="dxa"/>
            <w:tcBorders>
              <w:top w:val="nil"/>
              <w:left w:val="nil"/>
              <w:bottom w:val="single" w:sz="4" w:space="0" w:color="auto"/>
              <w:right w:val="single" w:sz="4" w:space="0" w:color="auto"/>
            </w:tcBorders>
            <w:shd w:val="clear" w:color="auto" w:fill="auto"/>
            <w:vAlign w:val="center"/>
          </w:tcPr>
          <w:p w:rsidR="00BB6F0E" w:rsidRPr="001522B6" w:rsidRDefault="001522B6" w:rsidP="00433B1A">
            <w:pPr>
              <w:spacing w:line="240" w:lineRule="auto"/>
              <w:ind w:left="-108" w:right="-108"/>
              <w:jc w:val="center"/>
              <w:rPr>
                <w:rFonts w:ascii="Arial" w:hAnsi="Arial"/>
                <w:b/>
                <w:sz w:val="20"/>
                <w:szCs w:val="20"/>
              </w:rPr>
            </w:pPr>
            <w:r>
              <w:rPr>
                <w:rFonts w:ascii="Arial" w:hAnsi="Arial"/>
                <w:b/>
                <w:sz w:val="20"/>
                <w:szCs w:val="20"/>
              </w:rPr>
              <w:t>6.6738</w:t>
            </w:r>
          </w:p>
        </w:tc>
        <w:tc>
          <w:tcPr>
            <w:tcW w:w="911" w:type="dxa"/>
            <w:tcBorders>
              <w:top w:val="nil"/>
              <w:left w:val="nil"/>
              <w:bottom w:val="single" w:sz="4" w:space="0" w:color="auto"/>
              <w:right w:val="single" w:sz="4" w:space="0" w:color="auto"/>
            </w:tcBorders>
            <w:shd w:val="clear" w:color="auto" w:fill="auto"/>
            <w:vAlign w:val="center"/>
          </w:tcPr>
          <w:p w:rsidR="00BB6F0E" w:rsidRPr="001522B6" w:rsidRDefault="001522B6" w:rsidP="00433B1A">
            <w:pPr>
              <w:spacing w:line="240" w:lineRule="auto"/>
              <w:ind w:left="-108" w:right="-108"/>
              <w:jc w:val="center"/>
              <w:rPr>
                <w:rFonts w:ascii="Arial" w:hAnsi="Arial"/>
                <w:b/>
                <w:sz w:val="20"/>
                <w:szCs w:val="20"/>
              </w:rPr>
            </w:pPr>
            <w:r>
              <w:rPr>
                <w:rFonts w:ascii="Arial" w:hAnsi="Arial"/>
                <w:b/>
                <w:sz w:val="20"/>
                <w:szCs w:val="20"/>
              </w:rPr>
              <w:t>7.0053</w:t>
            </w:r>
          </w:p>
        </w:tc>
      </w:tr>
    </w:tbl>
    <w:p w:rsidR="00454348" w:rsidRDefault="00454348" w:rsidP="00523647">
      <w:pPr>
        <w:ind w:firstLine="360"/>
        <w:rPr>
          <w:sz w:val="22"/>
          <w:szCs w:val="22"/>
        </w:rPr>
      </w:pPr>
    </w:p>
    <w:p w:rsidR="00C43BF7" w:rsidRDefault="00FA6B2F" w:rsidP="00FA6B2F">
      <w:pPr>
        <w:pStyle w:val="Caption"/>
        <w:jc w:val="center"/>
      </w:pPr>
      <w:bookmarkStart w:id="52" w:name="_Toc173941709"/>
      <w:bookmarkStart w:id="53" w:name="_Toc174434522"/>
      <w:bookmarkStart w:id="54" w:name="_Toc411603999"/>
      <w:r>
        <w:t xml:space="preserve">Table </w:t>
      </w:r>
      <w:fldSimple w:instr=" SEQ Table \* ARABIC ">
        <w:r w:rsidR="002326CE">
          <w:rPr>
            <w:noProof/>
          </w:rPr>
          <w:t>22</w:t>
        </w:r>
      </w:fldSimple>
      <w:r>
        <w:t xml:space="preserve"> </w:t>
      </w:r>
      <w:r w:rsidR="00C43BF7">
        <w:t>:</w:t>
      </w:r>
      <w:r>
        <w:t xml:space="preserve"> </w:t>
      </w:r>
      <w:r w:rsidR="00C43BF7">
        <w:t>Total R&amp;M expense</w:t>
      </w:r>
      <w:r w:rsidR="006306D6">
        <w:t>s</w:t>
      </w:r>
      <w:r w:rsidR="00C43BF7">
        <w:t xml:space="preserve"> for IPGCL</w:t>
      </w:r>
      <w:bookmarkEnd w:id="52"/>
      <w:bookmarkEnd w:id="53"/>
      <w:bookmarkEnd w:id="54"/>
    </w:p>
    <w:tbl>
      <w:tblPr>
        <w:tblW w:w="8546" w:type="dxa"/>
        <w:tblInd w:w="90" w:type="dxa"/>
        <w:tblLook w:val="0000"/>
      </w:tblPr>
      <w:tblGrid>
        <w:gridCol w:w="3330"/>
        <w:gridCol w:w="1376"/>
        <w:gridCol w:w="1542"/>
        <w:gridCol w:w="1202"/>
        <w:gridCol w:w="1202"/>
      </w:tblGrid>
      <w:tr w:rsidR="003200CB" w:rsidTr="00630D8A">
        <w:trPr>
          <w:trHeight w:val="626"/>
        </w:trPr>
        <w:tc>
          <w:tcPr>
            <w:tcW w:w="3330"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3200CB" w:rsidRDefault="003200CB" w:rsidP="00FA6B2F">
            <w:pPr>
              <w:spacing w:line="240" w:lineRule="auto"/>
              <w:rPr>
                <w:b/>
                <w:bCs/>
                <w:color w:val="FFFFFF"/>
                <w:sz w:val="20"/>
                <w:szCs w:val="20"/>
              </w:rPr>
            </w:pPr>
            <w:bookmarkStart w:id="55" w:name="_Hlk290115116"/>
            <w:r>
              <w:rPr>
                <w:b/>
                <w:bCs/>
                <w:color w:val="FFFFFF"/>
                <w:sz w:val="20"/>
                <w:szCs w:val="20"/>
              </w:rPr>
              <w:t xml:space="preserve">Particulars </w:t>
            </w:r>
          </w:p>
          <w:p w:rsidR="003200CB" w:rsidRDefault="003200CB" w:rsidP="00FA6B2F">
            <w:pPr>
              <w:spacing w:line="240" w:lineRule="auto"/>
              <w:rPr>
                <w:b/>
                <w:bCs/>
                <w:color w:val="FFFFFF"/>
                <w:sz w:val="20"/>
                <w:szCs w:val="20"/>
              </w:rPr>
            </w:pPr>
            <w:r>
              <w:rPr>
                <w:b/>
                <w:bCs/>
                <w:color w:val="FFFFFF"/>
                <w:sz w:val="20"/>
                <w:szCs w:val="20"/>
              </w:rPr>
              <w:t>(Rs. Crores)</w:t>
            </w:r>
          </w:p>
        </w:tc>
        <w:tc>
          <w:tcPr>
            <w:tcW w:w="1376" w:type="dxa"/>
            <w:tcBorders>
              <w:top w:val="single" w:sz="4" w:space="0" w:color="auto"/>
              <w:left w:val="nil"/>
              <w:bottom w:val="single" w:sz="4" w:space="0" w:color="auto"/>
              <w:right w:val="single" w:sz="4" w:space="0" w:color="auto"/>
            </w:tcBorders>
            <w:shd w:val="clear" w:color="auto" w:fill="000080"/>
            <w:vAlign w:val="center"/>
          </w:tcPr>
          <w:p w:rsidR="003200CB" w:rsidRPr="005A7CA3" w:rsidRDefault="003200CB" w:rsidP="00527F23">
            <w:pPr>
              <w:spacing w:line="240" w:lineRule="auto"/>
              <w:ind w:left="-108" w:right="-108"/>
              <w:jc w:val="center"/>
              <w:rPr>
                <w:rFonts w:cs="Arial"/>
                <w:b/>
                <w:sz w:val="20"/>
                <w:szCs w:val="20"/>
              </w:rPr>
            </w:pPr>
            <w:r w:rsidRPr="005A7CA3">
              <w:rPr>
                <w:rFonts w:cs="Arial"/>
                <w:b/>
                <w:sz w:val="20"/>
                <w:szCs w:val="20"/>
              </w:rPr>
              <w:t>12-13</w:t>
            </w:r>
          </w:p>
        </w:tc>
        <w:tc>
          <w:tcPr>
            <w:tcW w:w="1542" w:type="dxa"/>
            <w:tcBorders>
              <w:top w:val="single" w:sz="4" w:space="0" w:color="auto"/>
              <w:left w:val="nil"/>
              <w:bottom w:val="single" w:sz="4" w:space="0" w:color="auto"/>
              <w:right w:val="single" w:sz="4" w:space="0" w:color="auto"/>
            </w:tcBorders>
            <w:shd w:val="clear" w:color="auto" w:fill="000080"/>
            <w:vAlign w:val="center"/>
          </w:tcPr>
          <w:p w:rsidR="003200CB" w:rsidRDefault="003200CB" w:rsidP="00527F23">
            <w:pPr>
              <w:spacing w:line="240" w:lineRule="auto"/>
              <w:ind w:left="-108" w:right="-108"/>
              <w:jc w:val="center"/>
              <w:rPr>
                <w:rFonts w:cs="Arial"/>
                <w:b/>
                <w:bCs/>
                <w:sz w:val="20"/>
                <w:szCs w:val="20"/>
              </w:rPr>
            </w:pPr>
            <w:r>
              <w:rPr>
                <w:rFonts w:cs="Arial"/>
                <w:b/>
                <w:bCs/>
                <w:sz w:val="20"/>
                <w:szCs w:val="20"/>
              </w:rPr>
              <w:t>13-14</w:t>
            </w:r>
          </w:p>
        </w:tc>
        <w:tc>
          <w:tcPr>
            <w:tcW w:w="1202" w:type="dxa"/>
            <w:tcBorders>
              <w:top w:val="single" w:sz="4" w:space="0" w:color="auto"/>
              <w:left w:val="nil"/>
              <w:bottom w:val="single" w:sz="4" w:space="0" w:color="auto"/>
              <w:right w:val="single" w:sz="4" w:space="0" w:color="auto"/>
            </w:tcBorders>
            <w:shd w:val="clear" w:color="auto" w:fill="000080"/>
            <w:vAlign w:val="center"/>
          </w:tcPr>
          <w:p w:rsidR="003200CB" w:rsidRDefault="003200CB" w:rsidP="00527F23">
            <w:pPr>
              <w:spacing w:line="240" w:lineRule="auto"/>
              <w:ind w:left="-108" w:right="-108"/>
              <w:jc w:val="center"/>
              <w:rPr>
                <w:rFonts w:cs="Arial"/>
                <w:b/>
                <w:bCs/>
                <w:sz w:val="20"/>
                <w:szCs w:val="20"/>
              </w:rPr>
            </w:pPr>
            <w:r>
              <w:rPr>
                <w:rFonts w:cs="Arial"/>
                <w:b/>
                <w:bCs/>
                <w:sz w:val="20"/>
                <w:szCs w:val="20"/>
              </w:rPr>
              <w:t>14-15</w:t>
            </w:r>
          </w:p>
        </w:tc>
        <w:tc>
          <w:tcPr>
            <w:tcW w:w="1096" w:type="dxa"/>
            <w:tcBorders>
              <w:top w:val="single" w:sz="4" w:space="0" w:color="auto"/>
              <w:left w:val="nil"/>
              <w:bottom w:val="single" w:sz="4" w:space="0" w:color="auto"/>
              <w:right w:val="single" w:sz="4" w:space="0" w:color="auto"/>
            </w:tcBorders>
            <w:shd w:val="clear" w:color="auto" w:fill="000080"/>
            <w:vAlign w:val="center"/>
          </w:tcPr>
          <w:p w:rsidR="004B6D5D" w:rsidRDefault="004B6D5D" w:rsidP="004B6D5D">
            <w:pPr>
              <w:spacing w:line="240" w:lineRule="auto"/>
              <w:jc w:val="center"/>
              <w:rPr>
                <w:b/>
                <w:sz w:val="22"/>
                <w:szCs w:val="22"/>
              </w:rPr>
            </w:pPr>
            <w:r>
              <w:rPr>
                <w:b/>
                <w:sz w:val="22"/>
                <w:szCs w:val="22"/>
              </w:rPr>
              <w:t>15-16</w:t>
            </w:r>
          </w:p>
          <w:p w:rsidR="003200CB" w:rsidRDefault="004B6D5D" w:rsidP="004B6D5D">
            <w:pPr>
              <w:spacing w:line="240" w:lineRule="auto"/>
              <w:ind w:left="-108" w:right="-108"/>
              <w:jc w:val="center"/>
              <w:rPr>
                <w:b/>
                <w:bCs/>
                <w:color w:val="FFFFFF"/>
                <w:sz w:val="20"/>
                <w:szCs w:val="20"/>
              </w:rPr>
            </w:pPr>
            <w:r>
              <w:rPr>
                <w:b/>
                <w:sz w:val="22"/>
                <w:szCs w:val="22"/>
              </w:rPr>
              <w:t>(Estimated)</w:t>
            </w:r>
          </w:p>
        </w:tc>
      </w:tr>
      <w:tr w:rsidR="003200CB" w:rsidTr="00630D8A">
        <w:trPr>
          <w:trHeight w:val="693"/>
        </w:trPr>
        <w:tc>
          <w:tcPr>
            <w:tcW w:w="3330" w:type="dxa"/>
            <w:tcBorders>
              <w:top w:val="nil"/>
              <w:left w:val="single" w:sz="4" w:space="0" w:color="auto"/>
              <w:bottom w:val="single" w:sz="4" w:space="0" w:color="auto"/>
              <w:right w:val="single" w:sz="4" w:space="0" w:color="auto"/>
            </w:tcBorders>
            <w:shd w:val="clear" w:color="auto" w:fill="auto"/>
            <w:vAlign w:val="center"/>
          </w:tcPr>
          <w:p w:rsidR="003200CB" w:rsidRDefault="003200CB" w:rsidP="00FA6B2F">
            <w:pPr>
              <w:spacing w:line="240" w:lineRule="auto"/>
              <w:ind w:left="-90" w:right="-108"/>
              <w:jc w:val="left"/>
              <w:rPr>
                <w:sz w:val="20"/>
                <w:szCs w:val="20"/>
              </w:rPr>
            </w:pPr>
            <w:r>
              <w:rPr>
                <w:sz w:val="20"/>
                <w:szCs w:val="20"/>
              </w:rPr>
              <w:t>Rajghat Power Station</w:t>
            </w:r>
          </w:p>
        </w:tc>
        <w:tc>
          <w:tcPr>
            <w:tcW w:w="1376" w:type="dxa"/>
            <w:tcBorders>
              <w:top w:val="nil"/>
              <w:left w:val="nil"/>
              <w:bottom w:val="single" w:sz="4" w:space="0" w:color="auto"/>
              <w:right w:val="single" w:sz="4" w:space="0" w:color="auto"/>
            </w:tcBorders>
            <w:shd w:val="clear" w:color="auto" w:fill="auto"/>
            <w:vAlign w:val="center"/>
          </w:tcPr>
          <w:p w:rsidR="003200CB" w:rsidRPr="00C42EAC" w:rsidRDefault="000507C9" w:rsidP="00527F23">
            <w:pPr>
              <w:spacing w:line="240" w:lineRule="auto"/>
              <w:ind w:left="-108" w:right="-108"/>
              <w:jc w:val="center"/>
              <w:rPr>
                <w:rFonts w:ascii="Arial" w:hAnsi="Arial"/>
                <w:sz w:val="20"/>
                <w:szCs w:val="20"/>
              </w:rPr>
            </w:pPr>
            <w:r>
              <w:rPr>
                <w:rFonts w:ascii="Arial" w:hAnsi="Arial"/>
                <w:sz w:val="20"/>
                <w:szCs w:val="20"/>
              </w:rPr>
              <w:t>21.91</w:t>
            </w:r>
          </w:p>
        </w:tc>
        <w:tc>
          <w:tcPr>
            <w:tcW w:w="1542" w:type="dxa"/>
            <w:tcBorders>
              <w:top w:val="nil"/>
              <w:left w:val="nil"/>
              <w:bottom w:val="single" w:sz="4" w:space="0" w:color="auto"/>
              <w:right w:val="single" w:sz="4" w:space="0" w:color="auto"/>
            </w:tcBorders>
            <w:shd w:val="clear" w:color="auto" w:fill="auto"/>
            <w:vAlign w:val="center"/>
          </w:tcPr>
          <w:p w:rsidR="003200CB" w:rsidRPr="00C42EAC" w:rsidRDefault="000507C9" w:rsidP="00527F23">
            <w:pPr>
              <w:spacing w:line="240" w:lineRule="auto"/>
              <w:ind w:left="-108" w:right="-108"/>
              <w:jc w:val="center"/>
              <w:rPr>
                <w:rFonts w:ascii="Arial" w:hAnsi="Arial"/>
                <w:sz w:val="20"/>
                <w:szCs w:val="20"/>
              </w:rPr>
            </w:pPr>
            <w:r>
              <w:rPr>
                <w:rFonts w:ascii="Arial" w:hAnsi="Arial"/>
                <w:sz w:val="20"/>
                <w:szCs w:val="20"/>
              </w:rPr>
              <w:t>22.77</w:t>
            </w:r>
          </w:p>
        </w:tc>
        <w:tc>
          <w:tcPr>
            <w:tcW w:w="1202" w:type="dxa"/>
            <w:tcBorders>
              <w:top w:val="nil"/>
              <w:left w:val="nil"/>
              <w:bottom w:val="single" w:sz="4" w:space="0" w:color="auto"/>
              <w:right w:val="single" w:sz="4" w:space="0" w:color="auto"/>
            </w:tcBorders>
            <w:shd w:val="clear" w:color="auto" w:fill="auto"/>
            <w:vAlign w:val="center"/>
          </w:tcPr>
          <w:p w:rsidR="003200CB" w:rsidRPr="00C42EAC" w:rsidRDefault="000507C9" w:rsidP="00527F23">
            <w:pPr>
              <w:spacing w:line="240" w:lineRule="auto"/>
              <w:ind w:left="-108" w:right="-108"/>
              <w:jc w:val="center"/>
              <w:rPr>
                <w:rFonts w:ascii="Arial" w:hAnsi="Arial"/>
                <w:sz w:val="20"/>
                <w:szCs w:val="20"/>
              </w:rPr>
            </w:pPr>
            <w:r>
              <w:rPr>
                <w:rFonts w:ascii="Arial" w:hAnsi="Arial"/>
                <w:sz w:val="20"/>
                <w:szCs w:val="20"/>
              </w:rPr>
              <w:t>26.24</w:t>
            </w:r>
          </w:p>
        </w:tc>
        <w:tc>
          <w:tcPr>
            <w:tcW w:w="1096" w:type="dxa"/>
            <w:tcBorders>
              <w:top w:val="nil"/>
              <w:left w:val="nil"/>
              <w:bottom w:val="single" w:sz="4" w:space="0" w:color="auto"/>
              <w:right w:val="single" w:sz="4" w:space="0" w:color="auto"/>
            </w:tcBorders>
            <w:shd w:val="clear" w:color="auto" w:fill="auto"/>
            <w:vAlign w:val="center"/>
          </w:tcPr>
          <w:p w:rsidR="003200CB" w:rsidRPr="00C42EAC" w:rsidRDefault="000507C9" w:rsidP="00FA6B2F">
            <w:pPr>
              <w:spacing w:line="240" w:lineRule="auto"/>
              <w:ind w:left="-108" w:right="-108"/>
              <w:jc w:val="center"/>
              <w:rPr>
                <w:rFonts w:ascii="Arial" w:hAnsi="Arial"/>
                <w:sz w:val="20"/>
                <w:szCs w:val="20"/>
              </w:rPr>
            </w:pPr>
            <w:r>
              <w:rPr>
                <w:rFonts w:ascii="Arial" w:hAnsi="Arial"/>
                <w:sz w:val="20"/>
                <w:szCs w:val="20"/>
              </w:rPr>
              <w:t>28.31</w:t>
            </w:r>
          </w:p>
        </w:tc>
      </w:tr>
      <w:tr w:rsidR="003200CB" w:rsidTr="00630D8A">
        <w:trPr>
          <w:trHeight w:val="638"/>
        </w:trPr>
        <w:tc>
          <w:tcPr>
            <w:tcW w:w="3330" w:type="dxa"/>
            <w:tcBorders>
              <w:top w:val="nil"/>
              <w:left w:val="single" w:sz="4" w:space="0" w:color="auto"/>
              <w:bottom w:val="single" w:sz="4" w:space="0" w:color="auto"/>
              <w:right w:val="single" w:sz="4" w:space="0" w:color="auto"/>
            </w:tcBorders>
            <w:shd w:val="clear" w:color="auto" w:fill="auto"/>
            <w:vAlign w:val="center"/>
          </w:tcPr>
          <w:p w:rsidR="003200CB" w:rsidRDefault="003200CB" w:rsidP="00FA6B2F">
            <w:pPr>
              <w:spacing w:line="240" w:lineRule="auto"/>
              <w:ind w:left="-90" w:right="-108"/>
              <w:jc w:val="left"/>
              <w:rPr>
                <w:sz w:val="20"/>
                <w:szCs w:val="20"/>
              </w:rPr>
            </w:pPr>
            <w:r>
              <w:rPr>
                <w:sz w:val="20"/>
                <w:szCs w:val="20"/>
              </w:rPr>
              <w:t>GT Power Station</w:t>
            </w:r>
          </w:p>
        </w:tc>
        <w:tc>
          <w:tcPr>
            <w:tcW w:w="1376" w:type="dxa"/>
            <w:tcBorders>
              <w:top w:val="nil"/>
              <w:left w:val="nil"/>
              <w:bottom w:val="single" w:sz="4" w:space="0" w:color="auto"/>
              <w:right w:val="single" w:sz="4" w:space="0" w:color="auto"/>
            </w:tcBorders>
            <w:shd w:val="clear" w:color="auto" w:fill="auto"/>
            <w:noWrap/>
            <w:vAlign w:val="center"/>
          </w:tcPr>
          <w:p w:rsidR="003200CB" w:rsidRPr="00C42EAC" w:rsidRDefault="00176C0F" w:rsidP="00527F23">
            <w:pPr>
              <w:spacing w:line="240" w:lineRule="auto"/>
              <w:ind w:left="-108" w:right="-108"/>
              <w:jc w:val="center"/>
              <w:rPr>
                <w:rFonts w:ascii="Arial" w:hAnsi="Arial"/>
                <w:sz w:val="20"/>
                <w:szCs w:val="20"/>
              </w:rPr>
            </w:pPr>
            <w:r w:rsidRPr="00C42EAC">
              <w:rPr>
                <w:rFonts w:ascii="Arial" w:hAnsi="Arial"/>
                <w:sz w:val="20"/>
                <w:szCs w:val="20"/>
              </w:rPr>
              <w:t>32.20</w:t>
            </w:r>
          </w:p>
        </w:tc>
        <w:tc>
          <w:tcPr>
            <w:tcW w:w="1542" w:type="dxa"/>
            <w:tcBorders>
              <w:top w:val="nil"/>
              <w:left w:val="nil"/>
              <w:bottom w:val="single" w:sz="4" w:space="0" w:color="auto"/>
              <w:right w:val="single" w:sz="4" w:space="0" w:color="auto"/>
            </w:tcBorders>
            <w:shd w:val="clear" w:color="auto" w:fill="auto"/>
            <w:noWrap/>
            <w:vAlign w:val="center"/>
          </w:tcPr>
          <w:p w:rsidR="003200CB" w:rsidRPr="00C42EAC" w:rsidRDefault="00176C0F" w:rsidP="00527F23">
            <w:pPr>
              <w:spacing w:line="240" w:lineRule="auto"/>
              <w:ind w:left="-108" w:right="-108"/>
              <w:jc w:val="center"/>
              <w:rPr>
                <w:rFonts w:ascii="Arial" w:hAnsi="Arial"/>
                <w:sz w:val="20"/>
                <w:szCs w:val="20"/>
              </w:rPr>
            </w:pPr>
            <w:r w:rsidRPr="00C42EAC">
              <w:rPr>
                <w:rFonts w:ascii="Arial" w:hAnsi="Arial"/>
                <w:sz w:val="20"/>
                <w:szCs w:val="20"/>
              </w:rPr>
              <w:t>15.74</w:t>
            </w:r>
          </w:p>
        </w:tc>
        <w:tc>
          <w:tcPr>
            <w:tcW w:w="1202" w:type="dxa"/>
            <w:tcBorders>
              <w:top w:val="nil"/>
              <w:left w:val="nil"/>
              <w:bottom w:val="single" w:sz="4" w:space="0" w:color="auto"/>
              <w:right w:val="single" w:sz="4" w:space="0" w:color="auto"/>
            </w:tcBorders>
            <w:shd w:val="clear" w:color="auto" w:fill="auto"/>
            <w:noWrap/>
            <w:vAlign w:val="center"/>
          </w:tcPr>
          <w:p w:rsidR="003200CB" w:rsidRPr="00C42EAC" w:rsidRDefault="00176C0F" w:rsidP="00527F23">
            <w:pPr>
              <w:spacing w:line="240" w:lineRule="auto"/>
              <w:ind w:left="-108" w:right="-108"/>
              <w:jc w:val="center"/>
              <w:rPr>
                <w:rFonts w:ascii="Arial" w:hAnsi="Arial"/>
                <w:sz w:val="20"/>
                <w:szCs w:val="20"/>
              </w:rPr>
            </w:pPr>
            <w:r w:rsidRPr="00C42EAC">
              <w:rPr>
                <w:rFonts w:ascii="Arial" w:hAnsi="Arial"/>
                <w:sz w:val="20"/>
                <w:szCs w:val="20"/>
              </w:rPr>
              <w:t>16.05</w:t>
            </w:r>
          </w:p>
        </w:tc>
        <w:tc>
          <w:tcPr>
            <w:tcW w:w="1096" w:type="dxa"/>
            <w:tcBorders>
              <w:top w:val="nil"/>
              <w:left w:val="nil"/>
              <w:bottom w:val="single" w:sz="4" w:space="0" w:color="auto"/>
              <w:right w:val="single" w:sz="4" w:space="0" w:color="auto"/>
            </w:tcBorders>
            <w:shd w:val="clear" w:color="auto" w:fill="auto"/>
            <w:noWrap/>
            <w:vAlign w:val="center"/>
          </w:tcPr>
          <w:p w:rsidR="003200CB" w:rsidRPr="00C42EAC" w:rsidRDefault="00176C0F" w:rsidP="00FA6B2F">
            <w:pPr>
              <w:spacing w:line="240" w:lineRule="auto"/>
              <w:ind w:left="-108" w:right="-108"/>
              <w:jc w:val="center"/>
              <w:rPr>
                <w:rFonts w:ascii="Arial" w:hAnsi="Arial"/>
                <w:sz w:val="20"/>
                <w:szCs w:val="20"/>
              </w:rPr>
            </w:pPr>
            <w:r w:rsidRPr="00C42EAC">
              <w:rPr>
                <w:rFonts w:ascii="Arial" w:hAnsi="Arial"/>
                <w:sz w:val="20"/>
                <w:szCs w:val="20"/>
              </w:rPr>
              <w:t>17.47</w:t>
            </w:r>
          </w:p>
        </w:tc>
      </w:tr>
      <w:tr w:rsidR="003200CB" w:rsidTr="00630D8A">
        <w:trPr>
          <w:trHeight w:val="745"/>
        </w:trPr>
        <w:tc>
          <w:tcPr>
            <w:tcW w:w="3330" w:type="dxa"/>
            <w:tcBorders>
              <w:top w:val="nil"/>
              <w:left w:val="single" w:sz="4" w:space="0" w:color="auto"/>
              <w:bottom w:val="single" w:sz="4" w:space="0" w:color="auto"/>
              <w:right w:val="single" w:sz="4" w:space="0" w:color="auto"/>
            </w:tcBorders>
            <w:shd w:val="clear" w:color="auto" w:fill="auto"/>
            <w:vAlign w:val="center"/>
          </w:tcPr>
          <w:p w:rsidR="003200CB" w:rsidRDefault="003200CB" w:rsidP="00FA6B2F">
            <w:pPr>
              <w:spacing w:line="240" w:lineRule="auto"/>
              <w:ind w:left="-90" w:right="-108"/>
              <w:jc w:val="left"/>
              <w:rPr>
                <w:b/>
                <w:bCs/>
                <w:sz w:val="20"/>
                <w:szCs w:val="20"/>
              </w:rPr>
            </w:pPr>
            <w:r>
              <w:rPr>
                <w:b/>
                <w:bCs/>
                <w:sz w:val="20"/>
                <w:szCs w:val="20"/>
              </w:rPr>
              <w:t>IPGCL (as a whole)</w:t>
            </w:r>
          </w:p>
        </w:tc>
        <w:tc>
          <w:tcPr>
            <w:tcW w:w="1376" w:type="dxa"/>
            <w:tcBorders>
              <w:top w:val="nil"/>
              <w:left w:val="nil"/>
              <w:bottom w:val="single" w:sz="4" w:space="0" w:color="auto"/>
              <w:right w:val="single" w:sz="4" w:space="0" w:color="auto"/>
            </w:tcBorders>
            <w:shd w:val="clear" w:color="auto" w:fill="auto"/>
            <w:vAlign w:val="center"/>
          </w:tcPr>
          <w:p w:rsidR="003200CB" w:rsidRPr="00C42EAC" w:rsidRDefault="000507C9" w:rsidP="00527F23">
            <w:pPr>
              <w:spacing w:line="240" w:lineRule="auto"/>
              <w:ind w:left="-108" w:right="-108"/>
              <w:jc w:val="center"/>
              <w:rPr>
                <w:rFonts w:ascii="Arial" w:hAnsi="Arial"/>
                <w:b/>
                <w:bCs/>
                <w:sz w:val="20"/>
                <w:szCs w:val="20"/>
              </w:rPr>
            </w:pPr>
            <w:r>
              <w:rPr>
                <w:rFonts w:ascii="Arial" w:hAnsi="Arial"/>
                <w:b/>
                <w:bCs/>
                <w:sz w:val="20"/>
                <w:szCs w:val="20"/>
              </w:rPr>
              <w:t>54.11</w:t>
            </w:r>
          </w:p>
        </w:tc>
        <w:tc>
          <w:tcPr>
            <w:tcW w:w="1542" w:type="dxa"/>
            <w:tcBorders>
              <w:top w:val="nil"/>
              <w:left w:val="nil"/>
              <w:bottom w:val="single" w:sz="4" w:space="0" w:color="auto"/>
              <w:right w:val="single" w:sz="4" w:space="0" w:color="auto"/>
            </w:tcBorders>
            <w:shd w:val="clear" w:color="auto" w:fill="auto"/>
            <w:vAlign w:val="center"/>
          </w:tcPr>
          <w:p w:rsidR="003200CB" w:rsidRPr="00C42EAC" w:rsidRDefault="00DC20C1" w:rsidP="00527F23">
            <w:pPr>
              <w:spacing w:line="240" w:lineRule="auto"/>
              <w:ind w:left="-108" w:right="-108"/>
              <w:jc w:val="center"/>
              <w:rPr>
                <w:rFonts w:ascii="Arial" w:hAnsi="Arial"/>
                <w:b/>
                <w:bCs/>
                <w:sz w:val="20"/>
                <w:szCs w:val="20"/>
              </w:rPr>
            </w:pPr>
            <w:r>
              <w:rPr>
                <w:rFonts w:ascii="Arial" w:hAnsi="Arial"/>
                <w:b/>
                <w:bCs/>
                <w:sz w:val="20"/>
                <w:szCs w:val="20"/>
              </w:rPr>
              <w:t>38.5</w:t>
            </w:r>
            <w:r w:rsidR="000507C9">
              <w:rPr>
                <w:rFonts w:ascii="Arial" w:hAnsi="Arial"/>
                <w:b/>
                <w:bCs/>
                <w:sz w:val="20"/>
                <w:szCs w:val="20"/>
              </w:rPr>
              <w:t>1</w:t>
            </w:r>
          </w:p>
        </w:tc>
        <w:tc>
          <w:tcPr>
            <w:tcW w:w="1202" w:type="dxa"/>
            <w:tcBorders>
              <w:top w:val="nil"/>
              <w:left w:val="nil"/>
              <w:bottom w:val="single" w:sz="4" w:space="0" w:color="auto"/>
              <w:right w:val="single" w:sz="4" w:space="0" w:color="auto"/>
            </w:tcBorders>
            <w:shd w:val="clear" w:color="auto" w:fill="auto"/>
            <w:vAlign w:val="center"/>
          </w:tcPr>
          <w:p w:rsidR="003200CB" w:rsidRPr="00C42EAC" w:rsidRDefault="000507C9" w:rsidP="00DC20C1">
            <w:pPr>
              <w:spacing w:line="240" w:lineRule="auto"/>
              <w:ind w:left="-108" w:right="-108"/>
              <w:jc w:val="center"/>
              <w:rPr>
                <w:rFonts w:ascii="Arial" w:hAnsi="Arial"/>
                <w:b/>
                <w:bCs/>
                <w:sz w:val="20"/>
                <w:szCs w:val="20"/>
              </w:rPr>
            </w:pPr>
            <w:r>
              <w:rPr>
                <w:rFonts w:ascii="Arial" w:hAnsi="Arial"/>
                <w:b/>
                <w:bCs/>
                <w:sz w:val="20"/>
                <w:szCs w:val="20"/>
              </w:rPr>
              <w:t>4</w:t>
            </w:r>
            <w:r w:rsidR="00DC20C1">
              <w:rPr>
                <w:rFonts w:ascii="Arial" w:hAnsi="Arial"/>
                <w:b/>
                <w:bCs/>
                <w:sz w:val="20"/>
                <w:szCs w:val="20"/>
              </w:rPr>
              <w:t>2</w:t>
            </w:r>
            <w:r>
              <w:rPr>
                <w:rFonts w:ascii="Arial" w:hAnsi="Arial"/>
                <w:b/>
                <w:bCs/>
                <w:sz w:val="20"/>
                <w:szCs w:val="20"/>
              </w:rPr>
              <w:t>.29</w:t>
            </w:r>
          </w:p>
        </w:tc>
        <w:tc>
          <w:tcPr>
            <w:tcW w:w="1096" w:type="dxa"/>
            <w:tcBorders>
              <w:top w:val="nil"/>
              <w:left w:val="nil"/>
              <w:bottom w:val="single" w:sz="4" w:space="0" w:color="auto"/>
              <w:right w:val="single" w:sz="4" w:space="0" w:color="auto"/>
            </w:tcBorders>
            <w:shd w:val="clear" w:color="auto" w:fill="auto"/>
            <w:vAlign w:val="center"/>
          </w:tcPr>
          <w:p w:rsidR="003200CB" w:rsidRPr="00C42EAC" w:rsidRDefault="000507C9" w:rsidP="00FA6B2F">
            <w:pPr>
              <w:spacing w:line="240" w:lineRule="auto"/>
              <w:ind w:left="-108" w:right="-108"/>
              <w:jc w:val="center"/>
              <w:rPr>
                <w:rFonts w:ascii="Arial" w:hAnsi="Arial"/>
                <w:b/>
                <w:bCs/>
                <w:sz w:val="20"/>
                <w:szCs w:val="20"/>
              </w:rPr>
            </w:pPr>
            <w:r>
              <w:rPr>
                <w:rFonts w:ascii="Arial" w:hAnsi="Arial"/>
                <w:b/>
                <w:bCs/>
                <w:sz w:val="20"/>
                <w:szCs w:val="20"/>
              </w:rPr>
              <w:t>45.78</w:t>
            </w:r>
          </w:p>
        </w:tc>
      </w:tr>
      <w:bookmarkEnd w:id="55"/>
    </w:tbl>
    <w:p w:rsidR="006A1757" w:rsidRDefault="006A1757" w:rsidP="00FE4611">
      <w:pPr>
        <w:spacing w:line="240" w:lineRule="auto"/>
        <w:jc w:val="left"/>
        <w:rPr>
          <w:u w:val="single"/>
        </w:rPr>
      </w:pPr>
    </w:p>
    <w:p w:rsidR="00264BEA" w:rsidRDefault="00264BEA" w:rsidP="00C43BF7">
      <w:pPr>
        <w:jc w:val="left"/>
        <w:rPr>
          <w:b/>
          <w:bCs/>
          <w:u w:val="single"/>
        </w:rPr>
      </w:pPr>
    </w:p>
    <w:p w:rsidR="00C43BF7" w:rsidRDefault="00C43BF7" w:rsidP="00C43BF7">
      <w:pPr>
        <w:jc w:val="left"/>
        <w:rPr>
          <w:b/>
          <w:bCs/>
          <w:u w:val="single"/>
        </w:rPr>
      </w:pPr>
      <w:r>
        <w:rPr>
          <w:b/>
          <w:bCs/>
          <w:u w:val="single"/>
        </w:rPr>
        <w:lastRenderedPageBreak/>
        <w:t>A&amp;G Cost</w:t>
      </w:r>
    </w:p>
    <w:p w:rsidR="00C43BF7" w:rsidRDefault="00C43BF7" w:rsidP="00FE4611">
      <w:pPr>
        <w:spacing w:line="240" w:lineRule="auto"/>
      </w:pPr>
    </w:p>
    <w:p w:rsidR="00C43BF7" w:rsidRDefault="00C43BF7" w:rsidP="00C43BF7">
      <w:pPr>
        <w:rPr>
          <w:sz w:val="22"/>
          <w:szCs w:val="22"/>
        </w:rPr>
      </w:pPr>
      <w:r>
        <w:rPr>
          <w:sz w:val="22"/>
          <w:szCs w:val="22"/>
        </w:rPr>
        <w:t xml:space="preserve">Administration expenses mainly comprise of </w:t>
      </w:r>
      <w:r w:rsidR="002B21F2">
        <w:rPr>
          <w:sz w:val="22"/>
          <w:szCs w:val="22"/>
        </w:rPr>
        <w:t>security expenses</w:t>
      </w:r>
      <w:r w:rsidR="00A65CA8">
        <w:rPr>
          <w:sz w:val="22"/>
          <w:szCs w:val="22"/>
        </w:rPr>
        <w:t xml:space="preserve"> on CISF</w:t>
      </w:r>
      <w:r w:rsidR="002B21F2">
        <w:rPr>
          <w:sz w:val="22"/>
          <w:szCs w:val="22"/>
        </w:rPr>
        <w:t xml:space="preserve">, </w:t>
      </w:r>
      <w:r>
        <w:rPr>
          <w:sz w:val="22"/>
          <w:szCs w:val="22"/>
        </w:rPr>
        <w:t xml:space="preserve">rent, </w:t>
      </w:r>
      <w:r w:rsidR="008E3B78">
        <w:rPr>
          <w:sz w:val="22"/>
          <w:szCs w:val="22"/>
        </w:rPr>
        <w:t xml:space="preserve">insurance, </w:t>
      </w:r>
      <w:r>
        <w:rPr>
          <w:sz w:val="22"/>
          <w:szCs w:val="22"/>
        </w:rPr>
        <w:t xml:space="preserve">telephone and other communication expenses, professional charges, conveyance and traveling allowances, </w:t>
      </w:r>
      <w:r w:rsidR="00385480">
        <w:rPr>
          <w:sz w:val="22"/>
          <w:szCs w:val="22"/>
        </w:rPr>
        <w:t>etc</w:t>
      </w:r>
      <w:r>
        <w:rPr>
          <w:sz w:val="22"/>
          <w:szCs w:val="22"/>
        </w:rPr>
        <w:t xml:space="preserve">. </w:t>
      </w:r>
    </w:p>
    <w:p w:rsidR="00C43BF7" w:rsidRDefault="00A65CA8" w:rsidP="00C43BF7">
      <w:pPr>
        <w:rPr>
          <w:sz w:val="22"/>
          <w:szCs w:val="22"/>
        </w:rPr>
      </w:pPr>
      <w:r>
        <w:rPr>
          <w:sz w:val="22"/>
          <w:szCs w:val="22"/>
        </w:rPr>
        <w:t xml:space="preserve">Petitioner has estimated </w:t>
      </w:r>
      <w:r w:rsidR="00C43BF7">
        <w:rPr>
          <w:sz w:val="22"/>
          <w:szCs w:val="22"/>
        </w:rPr>
        <w:t xml:space="preserve">the A&amp;G </w:t>
      </w:r>
      <w:r w:rsidR="00E90F67">
        <w:rPr>
          <w:sz w:val="22"/>
          <w:szCs w:val="22"/>
        </w:rPr>
        <w:t xml:space="preserve">expenses </w:t>
      </w:r>
      <w:r w:rsidR="00C43BF7">
        <w:rPr>
          <w:sz w:val="22"/>
          <w:szCs w:val="22"/>
        </w:rPr>
        <w:t xml:space="preserve">for FY </w:t>
      </w:r>
      <w:r w:rsidR="00042C9E">
        <w:rPr>
          <w:sz w:val="22"/>
          <w:szCs w:val="22"/>
        </w:rPr>
        <w:t>2015-16</w:t>
      </w:r>
      <w:r>
        <w:rPr>
          <w:sz w:val="22"/>
          <w:szCs w:val="22"/>
        </w:rPr>
        <w:t xml:space="preserve"> on the basis of expenditure incurred till </w:t>
      </w:r>
      <w:r w:rsidR="00FE0AC1" w:rsidRPr="00FE0AC1">
        <w:rPr>
          <w:sz w:val="22"/>
          <w:szCs w:val="22"/>
        </w:rPr>
        <w:t>Dec.</w:t>
      </w:r>
      <w:r w:rsidR="00FE0AC1">
        <w:rPr>
          <w:sz w:val="22"/>
          <w:szCs w:val="22"/>
        </w:rPr>
        <w:t>,</w:t>
      </w:r>
      <w:r w:rsidRPr="00FE0AC1">
        <w:rPr>
          <w:sz w:val="22"/>
          <w:szCs w:val="22"/>
        </w:rPr>
        <w:t xml:space="preserve"> 20</w:t>
      </w:r>
      <w:r w:rsidR="00042C9E" w:rsidRPr="00FE0AC1">
        <w:rPr>
          <w:sz w:val="22"/>
          <w:szCs w:val="22"/>
        </w:rPr>
        <w:t>14</w:t>
      </w:r>
      <w:r w:rsidR="00042C9E">
        <w:rPr>
          <w:sz w:val="22"/>
          <w:szCs w:val="22"/>
        </w:rPr>
        <w:t xml:space="preserve"> </w:t>
      </w:r>
      <w:r>
        <w:rPr>
          <w:sz w:val="22"/>
          <w:szCs w:val="22"/>
        </w:rPr>
        <w:t xml:space="preserve">and </w:t>
      </w:r>
      <w:r w:rsidR="00C43BF7">
        <w:rPr>
          <w:sz w:val="22"/>
          <w:szCs w:val="22"/>
        </w:rPr>
        <w:t xml:space="preserve"> the A&amp;G expenses for the </w:t>
      </w:r>
      <w:r w:rsidR="001D47FB">
        <w:rPr>
          <w:sz w:val="22"/>
          <w:szCs w:val="22"/>
        </w:rPr>
        <w:t xml:space="preserve">FY </w:t>
      </w:r>
      <w:r w:rsidR="00042C9E">
        <w:rPr>
          <w:sz w:val="22"/>
          <w:szCs w:val="22"/>
        </w:rPr>
        <w:t>2015-16</w:t>
      </w:r>
      <w:r w:rsidR="00A67863">
        <w:rPr>
          <w:sz w:val="22"/>
          <w:szCs w:val="22"/>
        </w:rPr>
        <w:t xml:space="preserve"> </w:t>
      </w:r>
      <w:r>
        <w:rPr>
          <w:sz w:val="22"/>
          <w:szCs w:val="22"/>
        </w:rPr>
        <w:t xml:space="preserve">has been projected </w:t>
      </w:r>
      <w:r w:rsidR="00A67863">
        <w:rPr>
          <w:sz w:val="22"/>
          <w:szCs w:val="22"/>
        </w:rPr>
        <w:t xml:space="preserve">with </w:t>
      </w:r>
      <w:r w:rsidR="00042C9E">
        <w:rPr>
          <w:sz w:val="22"/>
          <w:szCs w:val="22"/>
        </w:rPr>
        <w:t>revised</w:t>
      </w:r>
      <w:r w:rsidR="00A67863">
        <w:rPr>
          <w:sz w:val="22"/>
          <w:szCs w:val="22"/>
        </w:rPr>
        <w:t xml:space="preserve"> escalation of </w:t>
      </w:r>
      <w:r w:rsidR="00042C9E" w:rsidRPr="00FE0AC1">
        <w:rPr>
          <w:sz w:val="22"/>
          <w:szCs w:val="22"/>
        </w:rPr>
        <w:t>8.85</w:t>
      </w:r>
      <w:r w:rsidR="00A67863" w:rsidRPr="00FE0AC1">
        <w:rPr>
          <w:sz w:val="22"/>
          <w:szCs w:val="22"/>
        </w:rPr>
        <w:t>%</w:t>
      </w:r>
      <w:r w:rsidR="00A67863">
        <w:rPr>
          <w:sz w:val="22"/>
          <w:szCs w:val="22"/>
        </w:rPr>
        <w:t xml:space="preserve"> as </w:t>
      </w:r>
      <w:r>
        <w:rPr>
          <w:sz w:val="22"/>
          <w:szCs w:val="22"/>
        </w:rPr>
        <w:t xml:space="preserve">derived </w:t>
      </w:r>
      <w:r w:rsidR="007301C9">
        <w:rPr>
          <w:sz w:val="22"/>
          <w:szCs w:val="22"/>
        </w:rPr>
        <w:t>in</w:t>
      </w:r>
      <w:r>
        <w:rPr>
          <w:sz w:val="22"/>
          <w:szCs w:val="22"/>
        </w:rPr>
        <w:t xml:space="preserve"> accordance with the </w:t>
      </w:r>
      <w:r w:rsidR="007301C9">
        <w:rPr>
          <w:sz w:val="22"/>
          <w:szCs w:val="22"/>
        </w:rPr>
        <w:t xml:space="preserve"> D</w:t>
      </w:r>
      <w:r w:rsidR="00A67863">
        <w:rPr>
          <w:sz w:val="22"/>
          <w:szCs w:val="22"/>
        </w:rPr>
        <w:t>ERC Tariff Regulations,</w:t>
      </w:r>
      <w:r w:rsidR="00790F27">
        <w:rPr>
          <w:sz w:val="22"/>
          <w:szCs w:val="22"/>
        </w:rPr>
        <w:t xml:space="preserve"> </w:t>
      </w:r>
      <w:r w:rsidR="00A67863">
        <w:rPr>
          <w:sz w:val="22"/>
          <w:szCs w:val="22"/>
        </w:rPr>
        <w:t>20</w:t>
      </w:r>
      <w:r w:rsidR="00F44A73">
        <w:rPr>
          <w:sz w:val="22"/>
          <w:szCs w:val="22"/>
        </w:rPr>
        <w:t>11</w:t>
      </w:r>
      <w:r w:rsidR="00C43BF7">
        <w:rPr>
          <w:sz w:val="22"/>
          <w:szCs w:val="22"/>
        </w:rPr>
        <w:t xml:space="preserve">.  </w:t>
      </w:r>
    </w:p>
    <w:p w:rsidR="00E12537" w:rsidRPr="00A67863" w:rsidRDefault="0005636B" w:rsidP="008A5652">
      <w:pPr>
        <w:rPr>
          <w:b/>
          <w:bCs/>
          <w:sz w:val="22"/>
          <w:szCs w:val="22"/>
        </w:rPr>
      </w:pPr>
      <w:r w:rsidRPr="00A67863">
        <w:rPr>
          <w:b/>
          <w:bCs/>
          <w:sz w:val="22"/>
          <w:szCs w:val="22"/>
        </w:rPr>
        <w:t>Security</w:t>
      </w:r>
      <w:r w:rsidR="002D2772" w:rsidRPr="00A67863">
        <w:rPr>
          <w:b/>
          <w:bCs/>
          <w:sz w:val="22"/>
          <w:szCs w:val="22"/>
        </w:rPr>
        <w:t>:</w:t>
      </w:r>
    </w:p>
    <w:p w:rsidR="007A32F3" w:rsidRDefault="0001067F" w:rsidP="00F950CD">
      <w:pPr>
        <w:rPr>
          <w:sz w:val="22"/>
          <w:szCs w:val="22"/>
        </w:rPr>
      </w:pPr>
      <w:r>
        <w:rPr>
          <w:bCs/>
          <w:sz w:val="22"/>
          <w:szCs w:val="22"/>
        </w:rPr>
        <w:t xml:space="preserve">IPGCL </w:t>
      </w:r>
      <w:r w:rsidR="007A32F3">
        <w:rPr>
          <w:bCs/>
          <w:sz w:val="22"/>
          <w:szCs w:val="22"/>
        </w:rPr>
        <w:t>has deployed CISF for the security of its plants. Their manpower deployment and expenditure are as per their specified norms. Their pay structure is also governed by the Central Government rules. It is further submitted that GoI has imposed service tax w.e.f. 01</w:t>
      </w:r>
      <w:r w:rsidR="007A32F3">
        <w:rPr>
          <w:bCs/>
          <w:sz w:val="22"/>
          <w:szCs w:val="22"/>
          <w:vertAlign w:val="superscript"/>
        </w:rPr>
        <w:t>st</w:t>
      </w:r>
      <w:r w:rsidR="007A32F3">
        <w:rPr>
          <w:bCs/>
          <w:sz w:val="22"/>
          <w:szCs w:val="22"/>
        </w:rPr>
        <w:t xml:space="preserve"> May, 2006 on security agency services through Finance Act. Ministry of Home Affairs has decided to charge service tax on the services provided by CISF w.e.f. 1</w:t>
      </w:r>
      <w:r w:rsidR="007A32F3">
        <w:rPr>
          <w:bCs/>
          <w:sz w:val="22"/>
          <w:szCs w:val="22"/>
          <w:vertAlign w:val="superscript"/>
        </w:rPr>
        <w:t>st</w:t>
      </w:r>
      <w:r w:rsidR="007A32F3">
        <w:rPr>
          <w:bCs/>
          <w:sz w:val="22"/>
          <w:szCs w:val="22"/>
        </w:rPr>
        <w:t xml:space="preserve"> April, 2009 and service tax for the period prior to 01.04.2009 is not payable pending decision by GoI. The company is paying service tax of 10.3% additionally on the services provided by CISF. Accordingly, the expenditure on security has also increased substantially. Petitioner may further like to say that during FY 2012-13 to 14-15 the increase in Dearness Allowance (DA) of Central Govt. employees has been increased 14%, 18% &amp; 17 % respectively</w:t>
      </w:r>
      <w:r w:rsidR="00FD2131">
        <w:rPr>
          <w:bCs/>
          <w:sz w:val="22"/>
          <w:szCs w:val="22"/>
        </w:rPr>
        <w:t xml:space="preserve"> for FY 12-13, 13-14, 14-15</w:t>
      </w:r>
      <w:r w:rsidR="007A32F3">
        <w:rPr>
          <w:bCs/>
          <w:sz w:val="22"/>
          <w:szCs w:val="22"/>
        </w:rPr>
        <w:t xml:space="preserve">.  This increase in DA is applicable to employees of the petitioner and CISF personnel.  </w:t>
      </w:r>
      <w:r w:rsidR="00AE60D5">
        <w:rPr>
          <w:bCs/>
          <w:sz w:val="22"/>
          <w:szCs w:val="22"/>
        </w:rPr>
        <w:t xml:space="preserve">Hon;’ble Commission is therefore to consider above increase in DA while deciding R&amp;M of RPH and GTPS.  </w:t>
      </w:r>
      <w:r w:rsidR="007A32F3">
        <w:rPr>
          <w:sz w:val="22"/>
          <w:szCs w:val="22"/>
        </w:rPr>
        <w:t>Details of increase in DA is given in table as below.  Further, 7</w:t>
      </w:r>
      <w:r w:rsidR="007A32F3">
        <w:rPr>
          <w:sz w:val="22"/>
          <w:szCs w:val="22"/>
          <w:vertAlign w:val="superscript"/>
        </w:rPr>
        <w:t>th</w:t>
      </w:r>
      <w:r w:rsidR="007A32F3">
        <w:rPr>
          <w:sz w:val="22"/>
          <w:szCs w:val="22"/>
        </w:rPr>
        <w:t xml:space="preserve"> Pay Commission for Central Govt. Employees has already been formulated.  The salary structure of CISF is determined in accordance with the recommendations of the Central Pay Commission. Therefore, 7</w:t>
      </w:r>
      <w:r w:rsidR="007A32F3">
        <w:rPr>
          <w:sz w:val="22"/>
          <w:szCs w:val="22"/>
          <w:vertAlign w:val="superscript"/>
        </w:rPr>
        <w:t>th</w:t>
      </w:r>
      <w:r w:rsidR="007A32F3">
        <w:rPr>
          <w:sz w:val="22"/>
          <w:szCs w:val="22"/>
        </w:rPr>
        <w:t xml:space="preserve"> Pay Commission recommendations which are likely to be implemented in January, 2016 may have impact on expenses on account of deployment of CISF at the power stations of the petitioner.</w:t>
      </w:r>
    </w:p>
    <w:p w:rsidR="00264BEA" w:rsidRDefault="00264BEA" w:rsidP="00F950CD">
      <w:pPr>
        <w:rPr>
          <w:sz w:val="22"/>
          <w:szCs w:val="22"/>
        </w:rPr>
      </w:pPr>
    </w:p>
    <w:p w:rsidR="00264BEA" w:rsidRDefault="00264BEA" w:rsidP="00F950CD">
      <w:pPr>
        <w:rPr>
          <w:sz w:val="22"/>
          <w:szCs w:val="22"/>
        </w:rPr>
      </w:pPr>
    </w:p>
    <w:p w:rsidR="00264BEA" w:rsidRDefault="00264BEA" w:rsidP="00F950CD">
      <w:pPr>
        <w:rPr>
          <w:sz w:val="22"/>
          <w:szCs w:val="22"/>
        </w:rPr>
      </w:pPr>
    </w:p>
    <w:p w:rsidR="00264BEA" w:rsidRDefault="00264BEA" w:rsidP="00F950CD">
      <w:pPr>
        <w:rPr>
          <w:bCs/>
          <w:sz w:val="22"/>
          <w:szCs w:val="22"/>
        </w:rPr>
      </w:pPr>
    </w:p>
    <w:p w:rsidR="007A32F3" w:rsidRDefault="007A32F3" w:rsidP="007A32F3">
      <w:pPr>
        <w:pStyle w:val="Caption"/>
        <w:ind w:left="540"/>
        <w:jc w:val="center"/>
      </w:pPr>
      <w:bookmarkStart w:id="56" w:name="_Toc411604000"/>
      <w:r>
        <w:lastRenderedPageBreak/>
        <w:t xml:space="preserve">Table </w:t>
      </w:r>
      <w:fldSimple w:instr=" SEQ Table \* ARABIC ">
        <w:r w:rsidR="002326CE">
          <w:rPr>
            <w:noProof/>
          </w:rPr>
          <w:t>23</w:t>
        </w:r>
      </w:fldSimple>
      <w:r>
        <w:t xml:space="preserve"> : Increase in DA of employees during FY 2012-13 to 2014-15</w:t>
      </w:r>
      <w:bookmarkEnd w:id="56"/>
    </w:p>
    <w:tbl>
      <w:tblPr>
        <w:tblW w:w="3854" w:type="pct"/>
        <w:tblInd w:w="1604" w:type="dxa"/>
        <w:tblBorders>
          <w:top w:val="outset" w:sz="6" w:space="0" w:color="111111"/>
          <w:left w:val="outset" w:sz="6" w:space="0" w:color="111111"/>
          <w:bottom w:val="outset" w:sz="6" w:space="0" w:color="111111"/>
          <w:right w:val="outset" w:sz="6" w:space="0" w:color="111111"/>
        </w:tblBorders>
        <w:tblCellMar>
          <w:top w:w="75" w:type="dxa"/>
          <w:left w:w="75" w:type="dxa"/>
          <w:bottom w:w="75" w:type="dxa"/>
          <w:right w:w="75" w:type="dxa"/>
        </w:tblCellMar>
        <w:tblLook w:val="04A0"/>
      </w:tblPr>
      <w:tblGrid>
        <w:gridCol w:w="1982"/>
        <w:gridCol w:w="2070"/>
        <w:gridCol w:w="2879"/>
      </w:tblGrid>
      <w:tr w:rsidR="007A32F3" w:rsidTr="00FE4611">
        <w:trPr>
          <w:trHeight w:val="803"/>
        </w:trPr>
        <w:tc>
          <w:tcPr>
            <w:tcW w:w="1430" w:type="pct"/>
            <w:tcBorders>
              <w:top w:val="outset" w:sz="6" w:space="0" w:color="111111"/>
              <w:left w:val="outset" w:sz="6" w:space="0" w:color="111111"/>
              <w:bottom w:val="outset" w:sz="6" w:space="0" w:color="111111"/>
              <w:right w:val="outset" w:sz="6" w:space="0" w:color="111111"/>
            </w:tcBorders>
            <w:shd w:val="clear" w:color="auto" w:fill="002060"/>
            <w:vAlign w:val="center"/>
            <w:hideMark/>
          </w:tcPr>
          <w:p w:rsidR="007A32F3" w:rsidRDefault="007A32F3" w:rsidP="009322EE">
            <w:pPr>
              <w:spacing w:line="240" w:lineRule="auto"/>
            </w:pPr>
            <w:r>
              <w:t>Effective Dates</w:t>
            </w:r>
          </w:p>
        </w:tc>
        <w:tc>
          <w:tcPr>
            <w:tcW w:w="1493" w:type="pct"/>
            <w:tcBorders>
              <w:top w:val="outset" w:sz="6" w:space="0" w:color="111111"/>
              <w:left w:val="outset" w:sz="6" w:space="0" w:color="111111"/>
              <w:bottom w:val="outset" w:sz="6" w:space="0" w:color="111111"/>
              <w:right w:val="outset" w:sz="6" w:space="0" w:color="111111"/>
            </w:tcBorders>
            <w:shd w:val="clear" w:color="auto" w:fill="002060"/>
            <w:vAlign w:val="center"/>
            <w:hideMark/>
          </w:tcPr>
          <w:p w:rsidR="007A32F3" w:rsidRDefault="007A32F3" w:rsidP="009322EE">
            <w:pPr>
              <w:spacing w:line="240" w:lineRule="auto"/>
            </w:pPr>
            <w:r>
              <w:t>Increased DA</w:t>
            </w:r>
          </w:p>
        </w:tc>
        <w:tc>
          <w:tcPr>
            <w:tcW w:w="2077" w:type="pct"/>
            <w:tcBorders>
              <w:top w:val="outset" w:sz="6" w:space="0" w:color="111111"/>
              <w:left w:val="outset" w:sz="6" w:space="0" w:color="111111"/>
              <w:bottom w:val="outset" w:sz="6" w:space="0" w:color="111111"/>
              <w:right w:val="outset" w:sz="6" w:space="0" w:color="111111"/>
            </w:tcBorders>
            <w:shd w:val="clear" w:color="auto" w:fill="002060"/>
            <w:vAlign w:val="center"/>
            <w:hideMark/>
          </w:tcPr>
          <w:p w:rsidR="007A32F3" w:rsidRDefault="007A32F3" w:rsidP="009322EE">
            <w:pPr>
              <w:spacing w:line="240" w:lineRule="auto"/>
            </w:pPr>
            <w:r>
              <w:t>Total cumulative DA</w:t>
            </w:r>
          </w:p>
        </w:tc>
      </w:tr>
      <w:tr w:rsidR="007A32F3" w:rsidTr="00FE4611">
        <w:tc>
          <w:tcPr>
            <w:tcW w:w="1430"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pPr>
            <w:r>
              <w:t>1.1.2012</w:t>
            </w:r>
          </w:p>
        </w:tc>
        <w:tc>
          <w:tcPr>
            <w:tcW w:w="1493"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7%</w:t>
            </w:r>
          </w:p>
        </w:tc>
        <w:tc>
          <w:tcPr>
            <w:tcW w:w="2077"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65%</w:t>
            </w:r>
          </w:p>
        </w:tc>
      </w:tr>
      <w:tr w:rsidR="007A32F3" w:rsidTr="00FE4611">
        <w:tc>
          <w:tcPr>
            <w:tcW w:w="1430"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pPr>
            <w:r>
              <w:t>1.7.2012</w:t>
            </w:r>
          </w:p>
        </w:tc>
        <w:tc>
          <w:tcPr>
            <w:tcW w:w="1493"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7%</w:t>
            </w:r>
          </w:p>
        </w:tc>
        <w:tc>
          <w:tcPr>
            <w:tcW w:w="2077"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72%</w:t>
            </w:r>
          </w:p>
        </w:tc>
      </w:tr>
      <w:tr w:rsidR="007A32F3" w:rsidTr="00FE4611">
        <w:tc>
          <w:tcPr>
            <w:tcW w:w="1430"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pPr>
            <w:r>
              <w:t>1.1.2013</w:t>
            </w:r>
          </w:p>
        </w:tc>
        <w:tc>
          <w:tcPr>
            <w:tcW w:w="1493"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8%</w:t>
            </w:r>
          </w:p>
        </w:tc>
        <w:tc>
          <w:tcPr>
            <w:tcW w:w="2077"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80%</w:t>
            </w:r>
          </w:p>
        </w:tc>
      </w:tr>
      <w:tr w:rsidR="007A32F3" w:rsidTr="00FE4611">
        <w:tc>
          <w:tcPr>
            <w:tcW w:w="1430"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pPr>
            <w:r>
              <w:t>1.7.2013</w:t>
            </w:r>
          </w:p>
        </w:tc>
        <w:tc>
          <w:tcPr>
            <w:tcW w:w="1493"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10%</w:t>
            </w:r>
          </w:p>
        </w:tc>
        <w:tc>
          <w:tcPr>
            <w:tcW w:w="2077"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90%</w:t>
            </w:r>
          </w:p>
        </w:tc>
      </w:tr>
      <w:tr w:rsidR="007A32F3" w:rsidTr="00FE4611">
        <w:trPr>
          <w:trHeight w:val="344"/>
        </w:trPr>
        <w:tc>
          <w:tcPr>
            <w:tcW w:w="1430"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pPr>
            <w:r>
              <w:t>1.1.2014</w:t>
            </w:r>
          </w:p>
        </w:tc>
        <w:tc>
          <w:tcPr>
            <w:tcW w:w="1493"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10%</w:t>
            </w:r>
          </w:p>
        </w:tc>
        <w:tc>
          <w:tcPr>
            <w:tcW w:w="2077"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100%</w:t>
            </w:r>
          </w:p>
        </w:tc>
      </w:tr>
      <w:tr w:rsidR="007A32F3" w:rsidTr="00FE4611">
        <w:tc>
          <w:tcPr>
            <w:tcW w:w="1430"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pPr>
            <w:r>
              <w:t>1.7.2014</w:t>
            </w:r>
          </w:p>
        </w:tc>
        <w:tc>
          <w:tcPr>
            <w:tcW w:w="1493"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7%</w:t>
            </w:r>
          </w:p>
        </w:tc>
        <w:tc>
          <w:tcPr>
            <w:tcW w:w="2077" w:type="pct"/>
            <w:tcBorders>
              <w:top w:val="outset" w:sz="6" w:space="0" w:color="111111"/>
              <w:left w:val="outset" w:sz="6" w:space="0" w:color="111111"/>
              <w:bottom w:val="outset" w:sz="6" w:space="0" w:color="111111"/>
              <w:right w:val="outset" w:sz="6" w:space="0" w:color="111111"/>
            </w:tcBorders>
            <w:vAlign w:val="center"/>
            <w:hideMark/>
          </w:tcPr>
          <w:p w:rsidR="007A32F3" w:rsidRDefault="007A32F3" w:rsidP="009322EE">
            <w:pPr>
              <w:spacing w:line="240" w:lineRule="auto"/>
              <w:jc w:val="center"/>
            </w:pPr>
            <w:r>
              <w:t>107%</w:t>
            </w:r>
          </w:p>
        </w:tc>
      </w:tr>
    </w:tbl>
    <w:p w:rsidR="007A32F3" w:rsidRDefault="007A32F3" w:rsidP="007A32F3">
      <w:pPr>
        <w:rPr>
          <w:bCs/>
          <w:color w:val="FF0000"/>
          <w:sz w:val="22"/>
          <w:szCs w:val="22"/>
        </w:rPr>
      </w:pPr>
    </w:p>
    <w:p w:rsidR="008A5652" w:rsidRDefault="008A5652" w:rsidP="00E12537">
      <w:pPr>
        <w:tabs>
          <w:tab w:val="left" w:pos="5445"/>
        </w:tabs>
        <w:rPr>
          <w:b/>
          <w:sz w:val="22"/>
          <w:szCs w:val="22"/>
        </w:rPr>
      </w:pPr>
      <w:r w:rsidRPr="008A5652">
        <w:rPr>
          <w:b/>
          <w:sz w:val="22"/>
          <w:szCs w:val="22"/>
        </w:rPr>
        <w:t>Water Charges and Property Tax:</w:t>
      </w:r>
      <w:r w:rsidR="00E12537">
        <w:rPr>
          <w:b/>
          <w:sz w:val="22"/>
          <w:szCs w:val="22"/>
        </w:rPr>
        <w:tab/>
      </w:r>
    </w:p>
    <w:p w:rsidR="006E2FF8" w:rsidRPr="001B0C0B" w:rsidRDefault="006E2FF8" w:rsidP="006E2FF8">
      <w:pPr>
        <w:rPr>
          <w:sz w:val="22"/>
          <w:szCs w:val="22"/>
        </w:rPr>
      </w:pPr>
      <w:r w:rsidRPr="001B0C0B">
        <w:rPr>
          <w:sz w:val="22"/>
          <w:szCs w:val="22"/>
        </w:rPr>
        <w:t>Barrage at ITO is being maintained by Haryana Irrigation Department for meeting the water requirements of IPGCL and its O&amp;M expenses are shared/reimb</w:t>
      </w:r>
      <w:r w:rsidR="00E12537">
        <w:rPr>
          <w:sz w:val="22"/>
          <w:szCs w:val="22"/>
        </w:rPr>
        <w:t>ursed by IPGCL.</w:t>
      </w:r>
      <w:r w:rsidR="00EA01AC">
        <w:rPr>
          <w:sz w:val="22"/>
          <w:szCs w:val="22"/>
        </w:rPr>
        <w:t xml:space="preserve"> </w:t>
      </w:r>
      <w:r w:rsidR="00E12537">
        <w:rPr>
          <w:sz w:val="22"/>
          <w:szCs w:val="22"/>
        </w:rPr>
        <w:t xml:space="preserve">Besides this, </w:t>
      </w:r>
      <w:r w:rsidRPr="001B0C0B">
        <w:rPr>
          <w:sz w:val="22"/>
          <w:szCs w:val="22"/>
        </w:rPr>
        <w:t xml:space="preserve">water charges are also being paid to Delhi Jal Board for domestic and industrial water consumption in the form of water charges. </w:t>
      </w:r>
    </w:p>
    <w:p w:rsidR="00B64C26" w:rsidRDefault="00B64C26" w:rsidP="008A5652">
      <w:pPr>
        <w:rPr>
          <w:b/>
          <w:sz w:val="22"/>
          <w:szCs w:val="22"/>
        </w:rPr>
      </w:pPr>
    </w:p>
    <w:p w:rsidR="00B64C26" w:rsidRDefault="009F3D1A" w:rsidP="00B64C26">
      <w:pPr>
        <w:rPr>
          <w:b/>
          <w:bCs/>
          <w:sz w:val="22"/>
          <w:szCs w:val="22"/>
        </w:rPr>
      </w:pPr>
      <w:r>
        <w:rPr>
          <w:sz w:val="22"/>
          <w:szCs w:val="22"/>
        </w:rPr>
        <w:t>It is submitted that Taxes and duties including water Cess, property</w:t>
      </w:r>
      <w:r w:rsidR="00EF581C">
        <w:rPr>
          <w:sz w:val="22"/>
          <w:szCs w:val="22"/>
        </w:rPr>
        <w:t>/service</w:t>
      </w:r>
      <w:r>
        <w:rPr>
          <w:sz w:val="22"/>
          <w:szCs w:val="22"/>
        </w:rPr>
        <w:t xml:space="preserve"> tax etc.</w:t>
      </w:r>
      <w:r w:rsidR="00EF581C">
        <w:rPr>
          <w:sz w:val="22"/>
          <w:szCs w:val="22"/>
        </w:rPr>
        <w:t xml:space="preserve"> has been reimbursed from the beneficiaries during the</w:t>
      </w:r>
      <w:r w:rsidR="00355F17">
        <w:rPr>
          <w:sz w:val="22"/>
          <w:szCs w:val="22"/>
        </w:rPr>
        <w:t xml:space="preserve"> previous years of </w:t>
      </w:r>
      <w:r w:rsidR="00EF581C">
        <w:rPr>
          <w:sz w:val="22"/>
          <w:szCs w:val="22"/>
        </w:rPr>
        <w:t>MYT Control period on actual basis.</w:t>
      </w:r>
      <w:r w:rsidR="00286CDC">
        <w:rPr>
          <w:sz w:val="22"/>
          <w:szCs w:val="22"/>
        </w:rPr>
        <w:t xml:space="preserve"> It is proposed to </w:t>
      </w:r>
      <w:r w:rsidR="00C10370">
        <w:rPr>
          <w:sz w:val="22"/>
          <w:szCs w:val="22"/>
        </w:rPr>
        <w:t>true-up</w:t>
      </w:r>
      <w:r w:rsidR="00286CDC">
        <w:rPr>
          <w:sz w:val="22"/>
          <w:szCs w:val="22"/>
        </w:rPr>
        <w:t xml:space="preserve"> the re-</w:t>
      </w:r>
      <w:r w:rsidR="001D1632">
        <w:rPr>
          <w:sz w:val="22"/>
          <w:szCs w:val="22"/>
        </w:rPr>
        <w:t>imbursement</w:t>
      </w:r>
      <w:r w:rsidR="00286CDC">
        <w:rPr>
          <w:sz w:val="22"/>
          <w:szCs w:val="22"/>
        </w:rPr>
        <w:t xml:space="preserve"> of the same </w:t>
      </w:r>
      <w:r w:rsidR="00C10370">
        <w:rPr>
          <w:sz w:val="22"/>
          <w:szCs w:val="22"/>
        </w:rPr>
        <w:t xml:space="preserve">for </w:t>
      </w:r>
      <w:r w:rsidR="00A23107">
        <w:rPr>
          <w:sz w:val="22"/>
          <w:szCs w:val="22"/>
        </w:rPr>
        <w:t xml:space="preserve">the </w:t>
      </w:r>
      <w:r w:rsidR="00286CDC">
        <w:rPr>
          <w:sz w:val="22"/>
          <w:szCs w:val="22"/>
        </w:rPr>
        <w:t>FY 201</w:t>
      </w:r>
      <w:r w:rsidR="007119B7">
        <w:rPr>
          <w:sz w:val="22"/>
          <w:szCs w:val="22"/>
        </w:rPr>
        <w:t>2</w:t>
      </w:r>
      <w:r w:rsidR="00286CDC">
        <w:rPr>
          <w:sz w:val="22"/>
          <w:szCs w:val="22"/>
        </w:rPr>
        <w:t>-1</w:t>
      </w:r>
      <w:r w:rsidR="001B733A">
        <w:rPr>
          <w:sz w:val="22"/>
          <w:szCs w:val="22"/>
        </w:rPr>
        <w:t>3 to FY 2013-14</w:t>
      </w:r>
      <w:r w:rsidR="00C10370">
        <w:rPr>
          <w:sz w:val="22"/>
          <w:szCs w:val="22"/>
        </w:rPr>
        <w:t xml:space="preserve"> and approve </w:t>
      </w:r>
      <w:r w:rsidR="005D52AA">
        <w:rPr>
          <w:sz w:val="22"/>
          <w:szCs w:val="22"/>
        </w:rPr>
        <w:t xml:space="preserve">revised </w:t>
      </w:r>
      <w:r w:rsidR="00C10370">
        <w:rPr>
          <w:sz w:val="22"/>
          <w:szCs w:val="22"/>
        </w:rPr>
        <w:t>estimate for FY 201</w:t>
      </w:r>
      <w:r w:rsidR="00387C17">
        <w:rPr>
          <w:sz w:val="22"/>
          <w:szCs w:val="22"/>
        </w:rPr>
        <w:t>4-1</w:t>
      </w:r>
      <w:r w:rsidR="00C10370">
        <w:rPr>
          <w:sz w:val="22"/>
          <w:szCs w:val="22"/>
        </w:rPr>
        <w:t>5</w:t>
      </w:r>
      <w:r w:rsidR="0094102F">
        <w:rPr>
          <w:sz w:val="22"/>
          <w:szCs w:val="22"/>
        </w:rPr>
        <w:t xml:space="preserve"> and estimate for FY 2015-16</w:t>
      </w:r>
      <w:r w:rsidR="008E5B05">
        <w:rPr>
          <w:sz w:val="22"/>
          <w:szCs w:val="22"/>
        </w:rPr>
        <w:t>.</w:t>
      </w:r>
      <w:r w:rsidR="00B64C26">
        <w:rPr>
          <w:sz w:val="22"/>
          <w:szCs w:val="22"/>
        </w:rPr>
        <w:t xml:space="preserve"> </w:t>
      </w:r>
    </w:p>
    <w:p w:rsidR="0056298E" w:rsidRDefault="0056298E" w:rsidP="0056298E">
      <w:pPr>
        <w:rPr>
          <w:bCs/>
          <w:sz w:val="22"/>
          <w:szCs w:val="22"/>
        </w:rPr>
      </w:pPr>
    </w:p>
    <w:p w:rsidR="0056298E" w:rsidRPr="0056298E" w:rsidRDefault="0056298E" w:rsidP="0056298E">
      <w:pPr>
        <w:rPr>
          <w:b/>
          <w:sz w:val="22"/>
          <w:szCs w:val="22"/>
        </w:rPr>
      </w:pPr>
      <w:r w:rsidRPr="0056298E">
        <w:rPr>
          <w:b/>
          <w:sz w:val="22"/>
          <w:szCs w:val="22"/>
        </w:rPr>
        <w:t>Insurance</w:t>
      </w:r>
    </w:p>
    <w:p w:rsidR="0056298E" w:rsidRDefault="00126EB1" w:rsidP="0056298E">
      <w:pPr>
        <w:rPr>
          <w:bCs/>
          <w:sz w:val="22"/>
          <w:szCs w:val="22"/>
        </w:rPr>
      </w:pPr>
      <w:r>
        <w:rPr>
          <w:bCs/>
          <w:sz w:val="22"/>
          <w:szCs w:val="22"/>
        </w:rPr>
        <w:t>IPGCL</w:t>
      </w:r>
      <w:r w:rsidR="0056298E">
        <w:rPr>
          <w:bCs/>
          <w:sz w:val="22"/>
          <w:szCs w:val="22"/>
        </w:rPr>
        <w:t xml:space="preserve"> has taken a policy for insurance of the plant</w:t>
      </w:r>
      <w:r w:rsidR="003165D1">
        <w:rPr>
          <w:bCs/>
          <w:sz w:val="22"/>
          <w:szCs w:val="22"/>
        </w:rPr>
        <w:t>s</w:t>
      </w:r>
      <w:r w:rsidR="00F35E0F">
        <w:rPr>
          <w:bCs/>
          <w:sz w:val="22"/>
          <w:szCs w:val="22"/>
        </w:rPr>
        <w:t>.</w:t>
      </w:r>
      <w:r w:rsidR="0056298E">
        <w:rPr>
          <w:bCs/>
          <w:sz w:val="22"/>
          <w:szCs w:val="22"/>
        </w:rPr>
        <w:t xml:space="preserve"> Company paid a premium of </w:t>
      </w:r>
      <w:r w:rsidR="0056298E" w:rsidRPr="002238B3">
        <w:rPr>
          <w:bCs/>
          <w:sz w:val="22"/>
          <w:szCs w:val="22"/>
        </w:rPr>
        <w:t>Rs.</w:t>
      </w:r>
      <w:r w:rsidR="00676657">
        <w:rPr>
          <w:bCs/>
          <w:sz w:val="22"/>
          <w:szCs w:val="22"/>
        </w:rPr>
        <w:t>4.77</w:t>
      </w:r>
      <w:r w:rsidR="007E373D" w:rsidRPr="002238B3">
        <w:rPr>
          <w:bCs/>
          <w:sz w:val="22"/>
          <w:szCs w:val="22"/>
        </w:rPr>
        <w:t xml:space="preserve"> Crore for GTPS and Rs. </w:t>
      </w:r>
      <w:r w:rsidR="00147B5F" w:rsidRPr="002238B3">
        <w:rPr>
          <w:bCs/>
          <w:sz w:val="22"/>
          <w:szCs w:val="22"/>
        </w:rPr>
        <w:t>1.</w:t>
      </w:r>
      <w:r w:rsidR="00676657">
        <w:rPr>
          <w:bCs/>
          <w:sz w:val="22"/>
          <w:szCs w:val="22"/>
        </w:rPr>
        <w:t>32</w:t>
      </w:r>
      <w:r w:rsidR="00F35E0F" w:rsidRPr="002238B3">
        <w:rPr>
          <w:bCs/>
          <w:sz w:val="22"/>
          <w:szCs w:val="22"/>
        </w:rPr>
        <w:t xml:space="preserve"> Crore</w:t>
      </w:r>
      <w:r w:rsidR="00F35E0F">
        <w:rPr>
          <w:bCs/>
          <w:sz w:val="22"/>
          <w:szCs w:val="22"/>
        </w:rPr>
        <w:t xml:space="preserve"> for Rajghat Power House </w:t>
      </w:r>
      <w:r w:rsidR="00C113EB">
        <w:rPr>
          <w:bCs/>
          <w:sz w:val="22"/>
          <w:szCs w:val="22"/>
        </w:rPr>
        <w:t xml:space="preserve">for </w:t>
      </w:r>
      <w:r w:rsidR="007820E5">
        <w:rPr>
          <w:bCs/>
          <w:sz w:val="22"/>
          <w:szCs w:val="22"/>
        </w:rPr>
        <w:t xml:space="preserve">procuring </w:t>
      </w:r>
      <w:r w:rsidR="00C113EB">
        <w:rPr>
          <w:bCs/>
          <w:sz w:val="22"/>
          <w:szCs w:val="22"/>
        </w:rPr>
        <w:t>industrial ris</w:t>
      </w:r>
      <w:r w:rsidR="00AD42B6">
        <w:rPr>
          <w:bCs/>
          <w:sz w:val="22"/>
          <w:szCs w:val="22"/>
        </w:rPr>
        <w:t>k</w:t>
      </w:r>
      <w:r w:rsidR="00C113EB">
        <w:rPr>
          <w:bCs/>
          <w:sz w:val="22"/>
          <w:szCs w:val="22"/>
        </w:rPr>
        <w:t xml:space="preserve"> policies </w:t>
      </w:r>
      <w:r w:rsidR="0056298E">
        <w:rPr>
          <w:bCs/>
          <w:sz w:val="22"/>
          <w:szCs w:val="22"/>
        </w:rPr>
        <w:t>during the FY</w:t>
      </w:r>
      <w:r w:rsidR="00A70B30">
        <w:rPr>
          <w:bCs/>
          <w:sz w:val="22"/>
          <w:szCs w:val="22"/>
        </w:rPr>
        <w:t xml:space="preserve"> </w:t>
      </w:r>
      <w:r w:rsidR="001B599D">
        <w:rPr>
          <w:bCs/>
          <w:sz w:val="22"/>
          <w:szCs w:val="22"/>
        </w:rPr>
        <w:t>2014-15</w:t>
      </w:r>
      <w:r w:rsidR="0056298E">
        <w:rPr>
          <w:bCs/>
          <w:sz w:val="22"/>
          <w:szCs w:val="22"/>
        </w:rPr>
        <w:t>.</w:t>
      </w:r>
      <w:r w:rsidR="001B599D">
        <w:rPr>
          <w:bCs/>
          <w:sz w:val="22"/>
          <w:szCs w:val="22"/>
        </w:rPr>
        <w:t xml:space="preserve">  Petitioner </w:t>
      </w:r>
      <w:r w:rsidR="00676657">
        <w:rPr>
          <w:bCs/>
          <w:sz w:val="22"/>
          <w:szCs w:val="22"/>
        </w:rPr>
        <w:t xml:space="preserve">will incur an estimated expenditure of Rs 1.44 Crore and Rs 5.19 Crore for RPH &amp; GTPS </w:t>
      </w:r>
      <w:r w:rsidR="00412BAD">
        <w:rPr>
          <w:bCs/>
          <w:sz w:val="22"/>
          <w:szCs w:val="22"/>
        </w:rPr>
        <w:t>respectively in</w:t>
      </w:r>
      <w:r w:rsidR="001B599D">
        <w:rPr>
          <w:bCs/>
          <w:sz w:val="22"/>
          <w:szCs w:val="22"/>
        </w:rPr>
        <w:t xml:space="preserve"> FY 2015-16.</w:t>
      </w:r>
    </w:p>
    <w:p w:rsidR="00EE771F" w:rsidRPr="00EE771F" w:rsidRDefault="00EE771F" w:rsidP="00EE771F">
      <w:pPr>
        <w:rPr>
          <w:b/>
          <w:sz w:val="22"/>
          <w:szCs w:val="22"/>
        </w:rPr>
      </w:pPr>
      <w:r w:rsidRPr="00EE771F">
        <w:rPr>
          <w:b/>
          <w:sz w:val="22"/>
          <w:szCs w:val="22"/>
        </w:rPr>
        <w:t>E</w:t>
      </w:r>
      <w:r w:rsidR="00FB670F">
        <w:rPr>
          <w:b/>
          <w:sz w:val="22"/>
          <w:szCs w:val="22"/>
        </w:rPr>
        <w:t xml:space="preserve">nterprise Resource </w:t>
      </w:r>
      <w:r w:rsidR="00E834AB" w:rsidRPr="00EE771F">
        <w:rPr>
          <w:b/>
          <w:sz w:val="22"/>
          <w:szCs w:val="22"/>
        </w:rPr>
        <w:t>P</w:t>
      </w:r>
      <w:r w:rsidR="00E834AB">
        <w:rPr>
          <w:b/>
          <w:sz w:val="22"/>
          <w:szCs w:val="22"/>
        </w:rPr>
        <w:t>lanning (</w:t>
      </w:r>
      <w:r w:rsidR="00FB670F">
        <w:rPr>
          <w:b/>
          <w:sz w:val="22"/>
          <w:szCs w:val="22"/>
        </w:rPr>
        <w:t>ERP) Expenditure</w:t>
      </w:r>
    </w:p>
    <w:p w:rsidR="0056298E" w:rsidRDefault="0056298E" w:rsidP="00EE771F">
      <w:pPr>
        <w:rPr>
          <w:bCs/>
          <w:sz w:val="22"/>
          <w:szCs w:val="22"/>
        </w:rPr>
      </w:pPr>
      <w:r>
        <w:rPr>
          <w:bCs/>
          <w:sz w:val="22"/>
          <w:szCs w:val="22"/>
        </w:rPr>
        <w:t xml:space="preserve">Company has implemented the ERP system in </w:t>
      </w:r>
      <w:r w:rsidR="00033403">
        <w:rPr>
          <w:bCs/>
          <w:sz w:val="22"/>
          <w:szCs w:val="22"/>
        </w:rPr>
        <w:t xml:space="preserve">the </w:t>
      </w:r>
      <w:r>
        <w:rPr>
          <w:bCs/>
          <w:sz w:val="22"/>
          <w:szCs w:val="22"/>
        </w:rPr>
        <w:t xml:space="preserve">year 2009. The Hon’ble Commission has allowed additional expenditure on account of ERP for FY 2011-12. The expenditure on account of ERP has been </w:t>
      </w:r>
      <w:r w:rsidR="007342D0">
        <w:rPr>
          <w:bCs/>
          <w:sz w:val="22"/>
          <w:szCs w:val="22"/>
        </w:rPr>
        <w:t>submitted to DERC</w:t>
      </w:r>
      <w:r>
        <w:rPr>
          <w:bCs/>
          <w:sz w:val="22"/>
          <w:szCs w:val="22"/>
        </w:rPr>
        <w:t xml:space="preserve"> for FY 2012-13 to </w:t>
      </w:r>
      <w:r>
        <w:rPr>
          <w:bCs/>
          <w:sz w:val="22"/>
          <w:szCs w:val="22"/>
        </w:rPr>
        <w:lastRenderedPageBreak/>
        <w:t xml:space="preserve">FY 2014-15 </w:t>
      </w:r>
      <w:r w:rsidR="007342D0">
        <w:rPr>
          <w:bCs/>
          <w:sz w:val="22"/>
          <w:szCs w:val="22"/>
        </w:rPr>
        <w:t xml:space="preserve">further </w:t>
      </w:r>
      <w:r>
        <w:rPr>
          <w:bCs/>
          <w:sz w:val="22"/>
          <w:szCs w:val="22"/>
        </w:rPr>
        <w:t>based upon the Annual Maintenance Fee of SAP licensees and other hardware suppliers, suppor</w:t>
      </w:r>
      <w:r w:rsidR="00CF1C82">
        <w:rPr>
          <w:bCs/>
          <w:sz w:val="22"/>
          <w:szCs w:val="22"/>
        </w:rPr>
        <w:t>t and training requirements etc, t</w:t>
      </w:r>
      <w:r w:rsidR="002231A6">
        <w:rPr>
          <w:sz w:val="22"/>
          <w:szCs w:val="22"/>
        </w:rPr>
        <w:t xml:space="preserve">he </w:t>
      </w:r>
      <w:r w:rsidR="009C160A">
        <w:rPr>
          <w:sz w:val="22"/>
          <w:szCs w:val="22"/>
        </w:rPr>
        <w:t xml:space="preserve">actual expenditure for </w:t>
      </w:r>
      <w:r w:rsidR="002231A6">
        <w:rPr>
          <w:sz w:val="22"/>
          <w:szCs w:val="22"/>
        </w:rPr>
        <w:t xml:space="preserve">FY 2012-13 to FY 2013-14 and revised estimate for FY 2014-15 and estimate for FY 2015-16 </w:t>
      </w:r>
      <w:r w:rsidR="005A65AA">
        <w:rPr>
          <w:bCs/>
          <w:sz w:val="22"/>
          <w:szCs w:val="22"/>
        </w:rPr>
        <w:t>are furnished as under :</w:t>
      </w:r>
      <w:r>
        <w:rPr>
          <w:bCs/>
          <w:sz w:val="22"/>
          <w:szCs w:val="22"/>
        </w:rPr>
        <w:t xml:space="preserve"> </w:t>
      </w:r>
    </w:p>
    <w:p w:rsidR="00C43BF7" w:rsidRPr="00B438D8" w:rsidRDefault="00B438D8" w:rsidP="00B438D8">
      <w:pPr>
        <w:pStyle w:val="Caption"/>
        <w:jc w:val="center"/>
      </w:pPr>
      <w:bookmarkStart w:id="57" w:name="_Toc173941710"/>
      <w:bookmarkStart w:id="58" w:name="_Toc174434523"/>
      <w:bookmarkStart w:id="59" w:name="_Toc411604001"/>
      <w:r>
        <w:t xml:space="preserve">Table </w:t>
      </w:r>
      <w:fldSimple w:instr=" SEQ Table \* ARABIC ">
        <w:r w:rsidR="002326CE">
          <w:rPr>
            <w:noProof/>
          </w:rPr>
          <w:t>24</w:t>
        </w:r>
      </w:fldSimple>
      <w:r>
        <w:t xml:space="preserve"> : </w:t>
      </w:r>
      <w:r w:rsidR="00C43BF7" w:rsidRPr="00B438D8">
        <w:t>A&amp;G Cost for IPGCL</w:t>
      </w:r>
      <w:bookmarkEnd w:id="57"/>
      <w:bookmarkEnd w:id="58"/>
      <w:bookmarkEnd w:id="59"/>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89"/>
        <w:gridCol w:w="1395"/>
        <w:gridCol w:w="1395"/>
        <w:gridCol w:w="1395"/>
        <w:gridCol w:w="1936"/>
      </w:tblGrid>
      <w:tr w:rsidR="00866049" w:rsidTr="00914AC4">
        <w:trPr>
          <w:trHeight w:val="462"/>
        </w:trPr>
        <w:tc>
          <w:tcPr>
            <w:tcW w:w="2789" w:type="dxa"/>
            <w:shd w:val="clear" w:color="auto" w:fill="000080"/>
            <w:noWrap/>
            <w:vAlign w:val="center"/>
          </w:tcPr>
          <w:p w:rsidR="00866049" w:rsidRDefault="00866049" w:rsidP="00534DC6">
            <w:pPr>
              <w:spacing w:line="240" w:lineRule="auto"/>
              <w:rPr>
                <w:b/>
                <w:bCs/>
                <w:color w:val="FFFFFF"/>
                <w:sz w:val="20"/>
                <w:szCs w:val="20"/>
              </w:rPr>
            </w:pPr>
            <w:r>
              <w:rPr>
                <w:b/>
                <w:bCs/>
                <w:color w:val="FFFFFF"/>
                <w:sz w:val="20"/>
                <w:szCs w:val="20"/>
              </w:rPr>
              <w:t xml:space="preserve">Particulars </w:t>
            </w:r>
          </w:p>
          <w:p w:rsidR="00866049" w:rsidRDefault="00866049" w:rsidP="00534DC6">
            <w:pPr>
              <w:spacing w:line="240" w:lineRule="auto"/>
              <w:rPr>
                <w:b/>
                <w:bCs/>
                <w:color w:val="FFFFFF"/>
                <w:sz w:val="20"/>
                <w:szCs w:val="20"/>
              </w:rPr>
            </w:pPr>
            <w:r>
              <w:rPr>
                <w:b/>
                <w:bCs/>
                <w:color w:val="FFFFFF"/>
                <w:sz w:val="20"/>
                <w:szCs w:val="20"/>
              </w:rPr>
              <w:t>(Rs. Crores)</w:t>
            </w:r>
          </w:p>
        </w:tc>
        <w:tc>
          <w:tcPr>
            <w:tcW w:w="1395" w:type="dxa"/>
            <w:shd w:val="clear" w:color="auto" w:fill="000080"/>
            <w:vAlign w:val="center"/>
          </w:tcPr>
          <w:p w:rsidR="00866049" w:rsidRDefault="00866049" w:rsidP="00527F23">
            <w:pPr>
              <w:rPr>
                <w:rFonts w:cs="Arial"/>
                <w:b/>
                <w:bCs/>
                <w:sz w:val="20"/>
                <w:szCs w:val="20"/>
              </w:rPr>
            </w:pPr>
            <w:r>
              <w:rPr>
                <w:rFonts w:cs="Arial"/>
                <w:b/>
                <w:bCs/>
                <w:sz w:val="20"/>
                <w:szCs w:val="20"/>
              </w:rPr>
              <w:t>12-13</w:t>
            </w:r>
          </w:p>
        </w:tc>
        <w:tc>
          <w:tcPr>
            <w:tcW w:w="1395" w:type="dxa"/>
            <w:shd w:val="clear" w:color="auto" w:fill="000080"/>
            <w:vAlign w:val="center"/>
          </w:tcPr>
          <w:p w:rsidR="00866049" w:rsidRDefault="00866049" w:rsidP="00527F23">
            <w:pPr>
              <w:rPr>
                <w:rFonts w:cs="Arial"/>
                <w:b/>
                <w:bCs/>
                <w:sz w:val="20"/>
                <w:szCs w:val="20"/>
              </w:rPr>
            </w:pPr>
            <w:r>
              <w:rPr>
                <w:rFonts w:cs="Arial"/>
                <w:b/>
                <w:bCs/>
                <w:sz w:val="20"/>
                <w:szCs w:val="20"/>
              </w:rPr>
              <w:t>13-14</w:t>
            </w:r>
          </w:p>
        </w:tc>
        <w:tc>
          <w:tcPr>
            <w:tcW w:w="1395" w:type="dxa"/>
            <w:shd w:val="clear" w:color="auto" w:fill="000080"/>
            <w:vAlign w:val="center"/>
          </w:tcPr>
          <w:p w:rsidR="00866049" w:rsidRDefault="00866049" w:rsidP="00527F23">
            <w:pPr>
              <w:rPr>
                <w:rFonts w:cs="Arial"/>
                <w:b/>
                <w:bCs/>
                <w:sz w:val="20"/>
                <w:szCs w:val="20"/>
              </w:rPr>
            </w:pPr>
            <w:r>
              <w:rPr>
                <w:rFonts w:cs="Arial"/>
                <w:b/>
                <w:bCs/>
                <w:sz w:val="20"/>
                <w:szCs w:val="20"/>
              </w:rPr>
              <w:t>14-15</w:t>
            </w:r>
          </w:p>
        </w:tc>
        <w:tc>
          <w:tcPr>
            <w:tcW w:w="1936" w:type="dxa"/>
            <w:shd w:val="clear" w:color="auto" w:fill="000080"/>
            <w:vAlign w:val="center"/>
          </w:tcPr>
          <w:p w:rsidR="00264BEA" w:rsidRPr="00496B2C" w:rsidRDefault="00264BEA" w:rsidP="00496B2C">
            <w:pPr>
              <w:rPr>
                <w:rFonts w:cs="Arial"/>
                <w:b/>
                <w:bCs/>
                <w:sz w:val="20"/>
                <w:szCs w:val="20"/>
              </w:rPr>
            </w:pPr>
            <w:r w:rsidRPr="00496B2C">
              <w:rPr>
                <w:rFonts w:cs="Arial"/>
                <w:b/>
                <w:bCs/>
                <w:sz w:val="20"/>
                <w:szCs w:val="20"/>
              </w:rPr>
              <w:t xml:space="preserve">    15-16</w:t>
            </w:r>
          </w:p>
          <w:p w:rsidR="00866049" w:rsidRDefault="00264BEA" w:rsidP="00264BEA">
            <w:pPr>
              <w:rPr>
                <w:b/>
                <w:bCs/>
                <w:color w:val="FFFFFF"/>
                <w:sz w:val="20"/>
                <w:szCs w:val="20"/>
              </w:rPr>
            </w:pPr>
            <w:r w:rsidRPr="00496B2C">
              <w:rPr>
                <w:rFonts w:cs="Arial"/>
                <w:b/>
                <w:bCs/>
                <w:sz w:val="20"/>
                <w:szCs w:val="20"/>
              </w:rPr>
              <w:t>(Estimated)</w:t>
            </w:r>
          </w:p>
        </w:tc>
      </w:tr>
      <w:tr w:rsidR="00866049" w:rsidTr="00914AC4">
        <w:trPr>
          <w:trHeight w:val="538"/>
        </w:trPr>
        <w:tc>
          <w:tcPr>
            <w:tcW w:w="2789" w:type="dxa"/>
            <w:shd w:val="clear" w:color="auto" w:fill="auto"/>
            <w:vAlign w:val="center"/>
          </w:tcPr>
          <w:p w:rsidR="00866049" w:rsidRDefault="00866049" w:rsidP="00351464">
            <w:pPr>
              <w:spacing w:line="240" w:lineRule="auto"/>
              <w:rPr>
                <w:sz w:val="20"/>
                <w:szCs w:val="20"/>
              </w:rPr>
            </w:pPr>
            <w:r>
              <w:rPr>
                <w:sz w:val="20"/>
                <w:szCs w:val="20"/>
              </w:rPr>
              <w:t>Rajghat Power Station</w:t>
            </w:r>
          </w:p>
        </w:tc>
        <w:tc>
          <w:tcPr>
            <w:tcW w:w="1395" w:type="dxa"/>
            <w:vAlign w:val="center"/>
          </w:tcPr>
          <w:p w:rsidR="00866049" w:rsidRPr="002238B3" w:rsidRDefault="0061100A" w:rsidP="0061100A">
            <w:pPr>
              <w:ind w:right="-64"/>
              <w:jc w:val="center"/>
              <w:rPr>
                <w:rFonts w:ascii="Arial" w:hAnsi="Arial"/>
                <w:sz w:val="20"/>
                <w:szCs w:val="20"/>
              </w:rPr>
            </w:pPr>
            <w:r w:rsidRPr="002238B3">
              <w:rPr>
                <w:rFonts w:ascii="Arial" w:hAnsi="Arial"/>
                <w:sz w:val="20"/>
                <w:szCs w:val="20"/>
              </w:rPr>
              <w:t>8.2</w:t>
            </w:r>
            <w:r w:rsidR="00273D2D" w:rsidRPr="002238B3">
              <w:rPr>
                <w:rFonts w:ascii="Arial" w:hAnsi="Arial"/>
                <w:sz w:val="20"/>
                <w:szCs w:val="20"/>
              </w:rPr>
              <w:t>3</w:t>
            </w:r>
          </w:p>
        </w:tc>
        <w:tc>
          <w:tcPr>
            <w:tcW w:w="1395" w:type="dxa"/>
            <w:vAlign w:val="center"/>
          </w:tcPr>
          <w:p w:rsidR="00866049" w:rsidRPr="002238B3" w:rsidRDefault="0061100A" w:rsidP="00527F23">
            <w:pPr>
              <w:jc w:val="center"/>
              <w:rPr>
                <w:rFonts w:ascii="Arial" w:hAnsi="Arial"/>
                <w:sz w:val="20"/>
                <w:szCs w:val="20"/>
              </w:rPr>
            </w:pPr>
            <w:r w:rsidRPr="002238B3">
              <w:rPr>
                <w:rFonts w:ascii="Arial" w:hAnsi="Arial"/>
                <w:sz w:val="20"/>
                <w:szCs w:val="20"/>
              </w:rPr>
              <w:t>9.32</w:t>
            </w:r>
          </w:p>
        </w:tc>
        <w:tc>
          <w:tcPr>
            <w:tcW w:w="1395" w:type="dxa"/>
            <w:vAlign w:val="center"/>
          </w:tcPr>
          <w:p w:rsidR="00866049" w:rsidRPr="002238B3" w:rsidRDefault="0061100A" w:rsidP="00527F23">
            <w:pPr>
              <w:jc w:val="center"/>
              <w:rPr>
                <w:rFonts w:ascii="Arial" w:hAnsi="Arial"/>
                <w:sz w:val="20"/>
                <w:szCs w:val="20"/>
              </w:rPr>
            </w:pPr>
            <w:r w:rsidRPr="002238B3">
              <w:rPr>
                <w:rFonts w:ascii="Arial" w:hAnsi="Arial"/>
                <w:sz w:val="20"/>
                <w:szCs w:val="20"/>
              </w:rPr>
              <w:t>9.37</w:t>
            </w:r>
          </w:p>
        </w:tc>
        <w:tc>
          <w:tcPr>
            <w:tcW w:w="1936" w:type="dxa"/>
            <w:shd w:val="clear" w:color="auto" w:fill="auto"/>
            <w:vAlign w:val="center"/>
          </w:tcPr>
          <w:p w:rsidR="00866049" w:rsidRPr="002238B3" w:rsidRDefault="0061100A" w:rsidP="00B438D8">
            <w:pPr>
              <w:jc w:val="center"/>
              <w:rPr>
                <w:rFonts w:ascii="Arial" w:hAnsi="Arial"/>
                <w:sz w:val="20"/>
                <w:szCs w:val="20"/>
              </w:rPr>
            </w:pPr>
            <w:r w:rsidRPr="002238B3">
              <w:rPr>
                <w:rFonts w:ascii="Arial" w:hAnsi="Arial"/>
                <w:sz w:val="20"/>
                <w:szCs w:val="20"/>
              </w:rPr>
              <w:t>10.20</w:t>
            </w:r>
          </w:p>
        </w:tc>
      </w:tr>
      <w:tr w:rsidR="00866049" w:rsidTr="00914AC4">
        <w:trPr>
          <w:trHeight w:val="538"/>
        </w:trPr>
        <w:tc>
          <w:tcPr>
            <w:tcW w:w="2789" w:type="dxa"/>
            <w:shd w:val="clear" w:color="auto" w:fill="auto"/>
            <w:vAlign w:val="center"/>
          </w:tcPr>
          <w:p w:rsidR="00866049" w:rsidRDefault="00866049" w:rsidP="00351464">
            <w:pPr>
              <w:spacing w:line="240" w:lineRule="auto"/>
              <w:rPr>
                <w:sz w:val="20"/>
                <w:szCs w:val="20"/>
              </w:rPr>
            </w:pPr>
            <w:r>
              <w:rPr>
                <w:sz w:val="20"/>
                <w:szCs w:val="20"/>
              </w:rPr>
              <w:t>GT Power Station</w:t>
            </w:r>
          </w:p>
        </w:tc>
        <w:tc>
          <w:tcPr>
            <w:tcW w:w="1395" w:type="dxa"/>
            <w:vAlign w:val="center"/>
          </w:tcPr>
          <w:p w:rsidR="00866049" w:rsidRPr="002238B3" w:rsidRDefault="0061100A" w:rsidP="00527F23">
            <w:pPr>
              <w:jc w:val="center"/>
              <w:rPr>
                <w:rFonts w:ascii="Arial" w:hAnsi="Arial"/>
                <w:sz w:val="20"/>
                <w:szCs w:val="20"/>
              </w:rPr>
            </w:pPr>
            <w:r w:rsidRPr="002238B3">
              <w:rPr>
                <w:rFonts w:ascii="Arial" w:hAnsi="Arial"/>
                <w:sz w:val="20"/>
                <w:szCs w:val="20"/>
              </w:rPr>
              <w:t>13.</w:t>
            </w:r>
            <w:r w:rsidR="00273D2D" w:rsidRPr="002238B3">
              <w:rPr>
                <w:rFonts w:ascii="Arial" w:hAnsi="Arial"/>
                <w:sz w:val="20"/>
                <w:szCs w:val="20"/>
              </w:rPr>
              <w:t>72</w:t>
            </w:r>
          </w:p>
        </w:tc>
        <w:tc>
          <w:tcPr>
            <w:tcW w:w="1395" w:type="dxa"/>
            <w:vAlign w:val="center"/>
          </w:tcPr>
          <w:p w:rsidR="00866049" w:rsidRPr="002238B3" w:rsidRDefault="0061100A" w:rsidP="00527F23">
            <w:pPr>
              <w:jc w:val="center"/>
              <w:rPr>
                <w:rFonts w:ascii="Arial" w:hAnsi="Arial"/>
                <w:sz w:val="20"/>
                <w:szCs w:val="20"/>
              </w:rPr>
            </w:pPr>
            <w:r w:rsidRPr="002238B3">
              <w:rPr>
                <w:rFonts w:ascii="Arial" w:hAnsi="Arial"/>
                <w:sz w:val="20"/>
                <w:szCs w:val="20"/>
              </w:rPr>
              <w:t>14.94</w:t>
            </w:r>
          </w:p>
        </w:tc>
        <w:tc>
          <w:tcPr>
            <w:tcW w:w="1395" w:type="dxa"/>
            <w:vAlign w:val="center"/>
          </w:tcPr>
          <w:p w:rsidR="00866049" w:rsidRPr="002238B3" w:rsidRDefault="0061100A" w:rsidP="00527F23">
            <w:pPr>
              <w:jc w:val="center"/>
              <w:rPr>
                <w:rFonts w:ascii="Arial" w:hAnsi="Arial"/>
                <w:sz w:val="20"/>
                <w:szCs w:val="20"/>
              </w:rPr>
            </w:pPr>
            <w:r w:rsidRPr="002238B3">
              <w:rPr>
                <w:rFonts w:ascii="Arial" w:hAnsi="Arial"/>
                <w:sz w:val="20"/>
                <w:szCs w:val="20"/>
              </w:rPr>
              <w:t>13.39</w:t>
            </w:r>
          </w:p>
        </w:tc>
        <w:tc>
          <w:tcPr>
            <w:tcW w:w="1936" w:type="dxa"/>
            <w:shd w:val="clear" w:color="auto" w:fill="auto"/>
            <w:noWrap/>
            <w:vAlign w:val="center"/>
          </w:tcPr>
          <w:p w:rsidR="00866049" w:rsidRPr="002238B3" w:rsidRDefault="0061100A" w:rsidP="00B438D8">
            <w:pPr>
              <w:jc w:val="center"/>
              <w:rPr>
                <w:rFonts w:ascii="Arial" w:hAnsi="Arial"/>
                <w:sz w:val="20"/>
                <w:szCs w:val="20"/>
              </w:rPr>
            </w:pPr>
            <w:r w:rsidRPr="002238B3">
              <w:rPr>
                <w:rFonts w:ascii="Arial" w:hAnsi="Arial"/>
                <w:sz w:val="20"/>
                <w:szCs w:val="20"/>
              </w:rPr>
              <w:t>14.58</w:t>
            </w:r>
          </w:p>
        </w:tc>
      </w:tr>
      <w:tr w:rsidR="00866049" w:rsidTr="00914AC4">
        <w:trPr>
          <w:trHeight w:val="522"/>
        </w:trPr>
        <w:tc>
          <w:tcPr>
            <w:tcW w:w="2789" w:type="dxa"/>
            <w:shd w:val="clear" w:color="auto" w:fill="auto"/>
            <w:vAlign w:val="center"/>
          </w:tcPr>
          <w:p w:rsidR="00866049" w:rsidRDefault="00866049" w:rsidP="00351464">
            <w:pPr>
              <w:spacing w:line="240" w:lineRule="auto"/>
              <w:rPr>
                <w:b/>
                <w:bCs/>
                <w:sz w:val="20"/>
                <w:szCs w:val="20"/>
              </w:rPr>
            </w:pPr>
            <w:r>
              <w:rPr>
                <w:b/>
                <w:bCs/>
                <w:sz w:val="20"/>
                <w:szCs w:val="20"/>
              </w:rPr>
              <w:t xml:space="preserve">IPGCL </w:t>
            </w:r>
          </w:p>
          <w:p w:rsidR="00866049" w:rsidRDefault="00866049" w:rsidP="00351464">
            <w:pPr>
              <w:spacing w:line="240" w:lineRule="auto"/>
              <w:rPr>
                <w:b/>
                <w:bCs/>
                <w:sz w:val="20"/>
                <w:szCs w:val="20"/>
              </w:rPr>
            </w:pPr>
            <w:r>
              <w:rPr>
                <w:b/>
                <w:bCs/>
                <w:sz w:val="20"/>
                <w:szCs w:val="20"/>
              </w:rPr>
              <w:t>(as a whole)</w:t>
            </w:r>
          </w:p>
        </w:tc>
        <w:tc>
          <w:tcPr>
            <w:tcW w:w="1395" w:type="dxa"/>
            <w:vAlign w:val="center"/>
          </w:tcPr>
          <w:p w:rsidR="00866049" w:rsidRPr="002238B3" w:rsidRDefault="0061100A" w:rsidP="00527F23">
            <w:pPr>
              <w:jc w:val="center"/>
              <w:rPr>
                <w:rFonts w:ascii="Arial" w:hAnsi="Arial"/>
                <w:b/>
                <w:bCs/>
                <w:sz w:val="20"/>
                <w:szCs w:val="20"/>
              </w:rPr>
            </w:pPr>
            <w:r w:rsidRPr="002238B3">
              <w:rPr>
                <w:rFonts w:ascii="Arial" w:hAnsi="Arial"/>
                <w:b/>
                <w:bCs/>
                <w:sz w:val="20"/>
                <w:szCs w:val="20"/>
              </w:rPr>
              <w:t>21.9</w:t>
            </w:r>
            <w:r w:rsidR="00273D2D" w:rsidRPr="002238B3">
              <w:rPr>
                <w:rFonts w:ascii="Arial" w:hAnsi="Arial"/>
                <w:b/>
                <w:bCs/>
                <w:sz w:val="20"/>
                <w:szCs w:val="20"/>
              </w:rPr>
              <w:t>5</w:t>
            </w:r>
          </w:p>
        </w:tc>
        <w:tc>
          <w:tcPr>
            <w:tcW w:w="1395" w:type="dxa"/>
            <w:vAlign w:val="center"/>
          </w:tcPr>
          <w:p w:rsidR="00866049" w:rsidRPr="002238B3" w:rsidRDefault="0061100A" w:rsidP="00527F23">
            <w:pPr>
              <w:jc w:val="center"/>
              <w:rPr>
                <w:rFonts w:ascii="Arial" w:hAnsi="Arial"/>
                <w:b/>
                <w:bCs/>
                <w:sz w:val="20"/>
                <w:szCs w:val="20"/>
              </w:rPr>
            </w:pPr>
            <w:r w:rsidRPr="002238B3">
              <w:rPr>
                <w:rFonts w:ascii="Arial" w:hAnsi="Arial"/>
                <w:b/>
                <w:bCs/>
                <w:sz w:val="20"/>
                <w:szCs w:val="20"/>
              </w:rPr>
              <w:t>24.26</w:t>
            </w:r>
          </w:p>
        </w:tc>
        <w:tc>
          <w:tcPr>
            <w:tcW w:w="1395" w:type="dxa"/>
            <w:vAlign w:val="center"/>
          </w:tcPr>
          <w:p w:rsidR="00866049" w:rsidRPr="002238B3" w:rsidRDefault="0061100A" w:rsidP="00527F23">
            <w:pPr>
              <w:jc w:val="center"/>
              <w:rPr>
                <w:rFonts w:ascii="Arial" w:hAnsi="Arial"/>
                <w:b/>
                <w:bCs/>
                <w:sz w:val="20"/>
                <w:szCs w:val="20"/>
              </w:rPr>
            </w:pPr>
            <w:r w:rsidRPr="002238B3">
              <w:rPr>
                <w:rFonts w:ascii="Arial" w:hAnsi="Arial"/>
                <w:b/>
                <w:bCs/>
                <w:sz w:val="20"/>
                <w:szCs w:val="20"/>
              </w:rPr>
              <w:t>22.76</w:t>
            </w:r>
          </w:p>
        </w:tc>
        <w:tc>
          <w:tcPr>
            <w:tcW w:w="1936" w:type="dxa"/>
            <w:shd w:val="clear" w:color="auto" w:fill="auto"/>
            <w:vAlign w:val="center"/>
          </w:tcPr>
          <w:p w:rsidR="00866049" w:rsidRPr="002238B3" w:rsidRDefault="0061100A" w:rsidP="00B438D8">
            <w:pPr>
              <w:jc w:val="center"/>
              <w:rPr>
                <w:rFonts w:ascii="Arial" w:hAnsi="Arial"/>
                <w:b/>
                <w:bCs/>
                <w:sz w:val="20"/>
                <w:szCs w:val="20"/>
              </w:rPr>
            </w:pPr>
            <w:r w:rsidRPr="002238B3">
              <w:rPr>
                <w:rFonts w:ascii="Arial" w:hAnsi="Arial"/>
                <w:b/>
                <w:bCs/>
                <w:sz w:val="20"/>
                <w:szCs w:val="20"/>
              </w:rPr>
              <w:t>24.78</w:t>
            </w:r>
          </w:p>
        </w:tc>
      </w:tr>
    </w:tbl>
    <w:p w:rsidR="00C43BF7" w:rsidRDefault="00C43BF7" w:rsidP="00C43BF7">
      <w:pPr>
        <w:rPr>
          <w:sz w:val="22"/>
          <w:szCs w:val="22"/>
        </w:rPr>
      </w:pPr>
    </w:p>
    <w:p w:rsidR="00C43BF7" w:rsidRDefault="00C43BF7" w:rsidP="00C43BF7">
      <w:pPr>
        <w:rPr>
          <w:sz w:val="22"/>
          <w:szCs w:val="22"/>
        </w:rPr>
      </w:pPr>
    </w:p>
    <w:p w:rsidR="00C43BF7" w:rsidRDefault="00C43BF7" w:rsidP="00C43BF7">
      <w:pPr>
        <w:pStyle w:val="Heading6"/>
        <w:numPr>
          <w:ilvl w:val="0"/>
          <w:numId w:val="0"/>
        </w:numPr>
        <w:spacing w:before="0" w:after="0"/>
        <w:rPr>
          <w:u w:val="single"/>
        </w:rPr>
      </w:pPr>
      <w:r w:rsidRPr="00B675A4">
        <w:rPr>
          <w:u w:val="single"/>
        </w:rPr>
        <w:t>Summary o</w:t>
      </w:r>
      <w:r w:rsidR="00A3384E">
        <w:rPr>
          <w:u w:val="single"/>
        </w:rPr>
        <w:t>f</w:t>
      </w:r>
      <w:r w:rsidRPr="00B675A4">
        <w:rPr>
          <w:u w:val="single"/>
        </w:rPr>
        <w:t xml:space="preserve"> O&amp;M cost</w:t>
      </w:r>
    </w:p>
    <w:p w:rsidR="0079628B" w:rsidRDefault="0079628B" w:rsidP="00FD69D8">
      <w:pPr>
        <w:autoSpaceDE w:val="0"/>
        <w:autoSpaceDN w:val="0"/>
        <w:adjustRightInd w:val="0"/>
        <w:spacing w:before="240"/>
        <w:rPr>
          <w:rFonts w:cs="Bookman Old Style"/>
          <w:iCs/>
          <w:sz w:val="22"/>
          <w:szCs w:val="22"/>
          <w:lang w:val="en-IN" w:eastAsia="en-IN"/>
        </w:rPr>
      </w:pPr>
      <w:r>
        <w:rPr>
          <w:rFonts w:cs="Bookman Old Style"/>
          <w:iCs/>
          <w:sz w:val="22"/>
          <w:szCs w:val="22"/>
          <w:lang w:val="en-IN" w:eastAsia="en-IN"/>
        </w:rPr>
        <w:t xml:space="preserve">The units of IPGCL are small in size and are also old in </w:t>
      </w:r>
      <w:r w:rsidR="00EF4007">
        <w:rPr>
          <w:rFonts w:cs="Bookman Old Style"/>
          <w:iCs/>
          <w:sz w:val="22"/>
          <w:szCs w:val="22"/>
          <w:lang w:val="en-IN" w:eastAsia="en-IN"/>
        </w:rPr>
        <w:t>age;</w:t>
      </w:r>
      <w:r w:rsidR="00E342CC">
        <w:rPr>
          <w:rFonts w:cs="Bookman Old Style"/>
          <w:iCs/>
          <w:sz w:val="22"/>
          <w:szCs w:val="22"/>
          <w:lang w:val="en-IN" w:eastAsia="en-IN"/>
        </w:rPr>
        <w:t xml:space="preserve"> hence it </w:t>
      </w:r>
      <w:r w:rsidR="00C615EC">
        <w:rPr>
          <w:rFonts w:cs="Bookman Old Style"/>
          <w:iCs/>
          <w:sz w:val="22"/>
          <w:szCs w:val="22"/>
          <w:lang w:val="en-IN" w:eastAsia="en-IN"/>
        </w:rPr>
        <w:t>will require</w:t>
      </w:r>
      <w:r w:rsidR="00E342CC">
        <w:rPr>
          <w:rFonts w:cs="Bookman Old Style"/>
          <w:iCs/>
          <w:sz w:val="22"/>
          <w:szCs w:val="22"/>
          <w:lang w:val="en-IN" w:eastAsia="en-IN"/>
        </w:rPr>
        <w:t xml:space="preserve"> more man power for operation as well as higher R</w:t>
      </w:r>
      <w:r w:rsidR="00781DA6">
        <w:rPr>
          <w:rFonts w:cs="Bookman Old Style"/>
          <w:iCs/>
          <w:sz w:val="22"/>
          <w:szCs w:val="22"/>
          <w:lang w:val="en-IN" w:eastAsia="en-IN"/>
        </w:rPr>
        <w:t xml:space="preserve">epair </w:t>
      </w:r>
      <w:r w:rsidR="00E342CC">
        <w:rPr>
          <w:rFonts w:cs="Bookman Old Style"/>
          <w:iCs/>
          <w:sz w:val="22"/>
          <w:szCs w:val="22"/>
          <w:lang w:val="en-IN" w:eastAsia="en-IN"/>
        </w:rPr>
        <w:t>&amp;</w:t>
      </w:r>
      <w:r w:rsidR="00781DA6">
        <w:rPr>
          <w:rFonts w:cs="Bookman Old Style"/>
          <w:iCs/>
          <w:sz w:val="22"/>
          <w:szCs w:val="22"/>
          <w:lang w:val="en-IN" w:eastAsia="en-IN"/>
        </w:rPr>
        <w:t xml:space="preserve"> </w:t>
      </w:r>
      <w:r w:rsidR="00E342CC">
        <w:rPr>
          <w:rFonts w:cs="Bookman Old Style"/>
          <w:iCs/>
          <w:sz w:val="22"/>
          <w:szCs w:val="22"/>
          <w:lang w:val="en-IN" w:eastAsia="en-IN"/>
        </w:rPr>
        <w:t>M</w:t>
      </w:r>
      <w:r w:rsidR="00781DA6">
        <w:rPr>
          <w:rFonts w:cs="Bookman Old Style"/>
          <w:iCs/>
          <w:sz w:val="22"/>
          <w:szCs w:val="22"/>
          <w:lang w:val="en-IN" w:eastAsia="en-IN"/>
        </w:rPr>
        <w:t>aintenance</w:t>
      </w:r>
      <w:r w:rsidR="00E342CC">
        <w:rPr>
          <w:rFonts w:cs="Bookman Old Style"/>
          <w:iCs/>
          <w:sz w:val="22"/>
          <w:szCs w:val="22"/>
          <w:lang w:val="en-IN" w:eastAsia="en-IN"/>
        </w:rPr>
        <w:t xml:space="preserve"> expenses.</w:t>
      </w:r>
      <w:r>
        <w:rPr>
          <w:rFonts w:cs="Bookman Old Style"/>
          <w:iCs/>
          <w:sz w:val="22"/>
          <w:szCs w:val="22"/>
          <w:lang w:val="en-IN" w:eastAsia="en-IN"/>
        </w:rPr>
        <w:t xml:space="preserve"> This fact has also been appreciated by CERC for allowing the higher O&amp;M expenses for small </w:t>
      </w:r>
      <w:r w:rsidR="00C26FCE">
        <w:rPr>
          <w:rFonts w:cs="Bookman Old Style"/>
          <w:iCs/>
          <w:sz w:val="22"/>
          <w:szCs w:val="22"/>
          <w:lang w:val="en-IN" w:eastAsia="en-IN"/>
        </w:rPr>
        <w:t>size and</w:t>
      </w:r>
      <w:r>
        <w:rPr>
          <w:rFonts w:cs="Bookman Old Style"/>
          <w:iCs/>
          <w:sz w:val="22"/>
          <w:szCs w:val="22"/>
          <w:lang w:val="en-IN" w:eastAsia="en-IN"/>
        </w:rPr>
        <w:t xml:space="preserve"> old</w:t>
      </w:r>
      <w:r w:rsidR="00E5113F">
        <w:rPr>
          <w:rFonts w:cs="Bookman Old Style"/>
          <w:iCs/>
          <w:sz w:val="22"/>
          <w:szCs w:val="22"/>
          <w:lang w:val="en-IN" w:eastAsia="en-IN"/>
        </w:rPr>
        <w:t xml:space="preserve"> age</w:t>
      </w:r>
      <w:r>
        <w:rPr>
          <w:rFonts w:cs="Bookman Old Style"/>
          <w:iCs/>
          <w:sz w:val="22"/>
          <w:szCs w:val="22"/>
          <w:lang w:val="en-IN" w:eastAsia="en-IN"/>
        </w:rPr>
        <w:t xml:space="preserve"> plants.</w:t>
      </w:r>
    </w:p>
    <w:p w:rsidR="00D10D39" w:rsidRPr="002238B3" w:rsidRDefault="00C26FCE" w:rsidP="00D10D39">
      <w:pPr>
        <w:rPr>
          <w:sz w:val="22"/>
          <w:szCs w:val="22"/>
        </w:rPr>
      </w:pPr>
      <w:r w:rsidRPr="00144ED8">
        <w:rPr>
          <w:color w:val="000000"/>
          <w:sz w:val="22"/>
          <w:szCs w:val="22"/>
        </w:rPr>
        <w:t xml:space="preserve">It is submitted that Hon’ble Commission in its Order dated 26.08.2011 has revised the O&amp;M expenses </w:t>
      </w:r>
      <w:r w:rsidR="00EE79C5" w:rsidRPr="00144ED8">
        <w:rPr>
          <w:color w:val="000000"/>
          <w:sz w:val="22"/>
          <w:szCs w:val="22"/>
        </w:rPr>
        <w:t>for</w:t>
      </w:r>
      <w:r w:rsidRPr="00144ED8">
        <w:rPr>
          <w:color w:val="000000"/>
          <w:sz w:val="22"/>
          <w:szCs w:val="22"/>
        </w:rPr>
        <w:t xml:space="preserve"> RPH and GTPS. </w:t>
      </w:r>
      <w:r w:rsidRPr="002238B3">
        <w:rPr>
          <w:sz w:val="22"/>
          <w:szCs w:val="22"/>
        </w:rPr>
        <w:t>The revised O&amp;M expenses are even lower than the base O&amp;M expenses allowed by CERC for similar stations</w:t>
      </w:r>
      <w:r w:rsidR="0017694E" w:rsidRPr="002238B3">
        <w:rPr>
          <w:sz w:val="22"/>
          <w:szCs w:val="22"/>
        </w:rPr>
        <w:t xml:space="preserve">.  </w:t>
      </w:r>
      <w:r w:rsidR="00D10D39" w:rsidRPr="002238B3">
        <w:rPr>
          <w:sz w:val="22"/>
          <w:szCs w:val="22"/>
        </w:rPr>
        <w:t xml:space="preserve">It is </w:t>
      </w:r>
      <w:r w:rsidR="0017694E" w:rsidRPr="002238B3">
        <w:rPr>
          <w:sz w:val="22"/>
          <w:szCs w:val="22"/>
        </w:rPr>
        <w:t xml:space="preserve">further </w:t>
      </w:r>
      <w:r w:rsidR="00A301C8" w:rsidRPr="002238B3">
        <w:rPr>
          <w:sz w:val="22"/>
          <w:szCs w:val="22"/>
        </w:rPr>
        <w:t xml:space="preserve">submitted </w:t>
      </w:r>
      <w:r w:rsidR="00D10D39" w:rsidRPr="002238B3">
        <w:rPr>
          <w:sz w:val="22"/>
          <w:szCs w:val="22"/>
        </w:rPr>
        <w:t>that Central Electricity Regulatory Commission (Terms and Conditions of Tariff) Regulations,</w:t>
      </w:r>
      <w:r w:rsidR="007E373D" w:rsidRPr="002238B3">
        <w:rPr>
          <w:sz w:val="22"/>
          <w:szCs w:val="22"/>
        </w:rPr>
        <w:t xml:space="preserve"> </w:t>
      </w:r>
      <w:r w:rsidR="00D10D39" w:rsidRPr="002238B3">
        <w:rPr>
          <w:sz w:val="22"/>
          <w:szCs w:val="22"/>
        </w:rPr>
        <w:t>2</w:t>
      </w:r>
      <w:r w:rsidR="00820D7A" w:rsidRPr="002238B3">
        <w:rPr>
          <w:sz w:val="22"/>
          <w:szCs w:val="22"/>
        </w:rPr>
        <w:t>014</w:t>
      </w:r>
      <w:r w:rsidR="00D10D39" w:rsidRPr="002238B3">
        <w:rPr>
          <w:sz w:val="22"/>
          <w:szCs w:val="22"/>
        </w:rPr>
        <w:t xml:space="preserve"> for the period FY </w:t>
      </w:r>
      <w:r w:rsidR="00820D7A" w:rsidRPr="002238B3">
        <w:rPr>
          <w:sz w:val="22"/>
          <w:szCs w:val="22"/>
        </w:rPr>
        <w:t>2014</w:t>
      </w:r>
      <w:r w:rsidR="00445F0E" w:rsidRPr="002238B3">
        <w:rPr>
          <w:sz w:val="22"/>
          <w:szCs w:val="22"/>
        </w:rPr>
        <w:t xml:space="preserve"> to </w:t>
      </w:r>
      <w:r w:rsidR="00820D7A" w:rsidRPr="002238B3">
        <w:rPr>
          <w:sz w:val="22"/>
          <w:szCs w:val="22"/>
        </w:rPr>
        <w:t>2019</w:t>
      </w:r>
      <w:r w:rsidR="00D10D39" w:rsidRPr="002238B3">
        <w:rPr>
          <w:sz w:val="22"/>
          <w:szCs w:val="22"/>
        </w:rPr>
        <w:t xml:space="preserve"> in the regulation </w:t>
      </w:r>
      <w:r w:rsidR="008E11D4" w:rsidRPr="002238B3">
        <w:rPr>
          <w:sz w:val="22"/>
          <w:szCs w:val="22"/>
        </w:rPr>
        <w:t>2</w:t>
      </w:r>
      <w:r w:rsidR="00D10D39" w:rsidRPr="002238B3">
        <w:rPr>
          <w:sz w:val="22"/>
          <w:szCs w:val="22"/>
        </w:rPr>
        <w:t>9(</w:t>
      </w:r>
      <w:r w:rsidR="008E11D4" w:rsidRPr="002238B3">
        <w:rPr>
          <w:sz w:val="22"/>
          <w:szCs w:val="22"/>
        </w:rPr>
        <w:t>c</w:t>
      </w:r>
      <w:r w:rsidR="00D10D39" w:rsidRPr="002238B3">
        <w:rPr>
          <w:sz w:val="22"/>
          <w:szCs w:val="22"/>
        </w:rPr>
        <w:t xml:space="preserve">) has allowed O&amp;M expenses @ Rs. </w:t>
      </w:r>
      <w:r w:rsidR="00287DD0" w:rsidRPr="002238B3">
        <w:rPr>
          <w:sz w:val="22"/>
          <w:szCs w:val="22"/>
        </w:rPr>
        <w:t>45.87</w:t>
      </w:r>
      <w:r w:rsidR="00D10D39" w:rsidRPr="002238B3">
        <w:rPr>
          <w:sz w:val="22"/>
          <w:szCs w:val="22"/>
        </w:rPr>
        <w:t xml:space="preserve"> Lakh/ MW with an escalation of </w:t>
      </w:r>
      <w:r w:rsidR="00287DD0" w:rsidRPr="002238B3">
        <w:rPr>
          <w:sz w:val="22"/>
          <w:szCs w:val="22"/>
        </w:rPr>
        <w:t>6.30</w:t>
      </w:r>
      <w:r w:rsidR="00D10D39" w:rsidRPr="002238B3">
        <w:rPr>
          <w:sz w:val="22"/>
          <w:szCs w:val="22"/>
        </w:rPr>
        <w:t xml:space="preserve"> %, for Talcher Thermal Power Station. The Talcher TPS comprising </w:t>
      </w:r>
      <w:r w:rsidR="00D822D1" w:rsidRPr="002238B3">
        <w:rPr>
          <w:sz w:val="22"/>
          <w:szCs w:val="22"/>
        </w:rPr>
        <w:t>of installed</w:t>
      </w:r>
      <w:r w:rsidR="00D10D39" w:rsidRPr="002238B3">
        <w:rPr>
          <w:sz w:val="22"/>
          <w:szCs w:val="22"/>
        </w:rPr>
        <w:t xml:space="preserve"> Capacity of 470 MW (4x62.5 MW+ 2x110 MW)</w:t>
      </w:r>
      <w:r w:rsidR="009B1AC4" w:rsidRPr="002238B3">
        <w:rPr>
          <w:sz w:val="22"/>
          <w:szCs w:val="22"/>
        </w:rPr>
        <w:t>. These units are</w:t>
      </w:r>
      <w:r w:rsidR="00D10D39" w:rsidRPr="002238B3">
        <w:rPr>
          <w:sz w:val="22"/>
          <w:szCs w:val="22"/>
        </w:rPr>
        <w:t xml:space="preserve"> of </w:t>
      </w:r>
      <w:r w:rsidR="00A30F41">
        <w:rPr>
          <w:sz w:val="22"/>
          <w:szCs w:val="22"/>
        </w:rPr>
        <w:t>bigger</w:t>
      </w:r>
      <w:r w:rsidR="00287DD0" w:rsidRPr="002238B3">
        <w:rPr>
          <w:sz w:val="22"/>
          <w:szCs w:val="22"/>
        </w:rPr>
        <w:t xml:space="preserve"> size than</w:t>
      </w:r>
      <w:r w:rsidR="00C65A09" w:rsidRPr="002238B3">
        <w:rPr>
          <w:sz w:val="22"/>
          <w:szCs w:val="22"/>
        </w:rPr>
        <w:t xml:space="preserve"> Rajghat Power House</w:t>
      </w:r>
      <w:r w:rsidR="00D10D39" w:rsidRPr="002238B3">
        <w:rPr>
          <w:sz w:val="22"/>
          <w:szCs w:val="22"/>
        </w:rPr>
        <w:t xml:space="preserve">. The same O&amp;M computes to </w:t>
      </w:r>
      <w:r w:rsidR="008B0D7F" w:rsidRPr="002238B3">
        <w:rPr>
          <w:sz w:val="22"/>
          <w:szCs w:val="22"/>
        </w:rPr>
        <w:t xml:space="preserve">Rs. </w:t>
      </w:r>
      <w:r w:rsidR="00287DD0" w:rsidRPr="002238B3">
        <w:rPr>
          <w:sz w:val="22"/>
          <w:szCs w:val="22"/>
        </w:rPr>
        <w:t>61.9245</w:t>
      </w:r>
      <w:r w:rsidR="008B0D7F" w:rsidRPr="002238B3">
        <w:rPr>
          <w:sz w:val="22"/>
          <w:szCs w:val="22"/>
        </w:rPr>
        <w:t xml:space="preserve"> Crore</w:t>
      </w:r>
      <w:r w:rsidR="00D10D39" w:rsidRPr="002238B3">
        <w:rPr>
          <w:sz w:val="22"/>
          <w:szCs w:val="22"/>
        </w:rPr>
        <w:t xml:space="preserve"> </w:t>
      </w:r>
      <w:r w:rsidR="004E435D" w:rsidRPr="002238B3">
        <w:rPr>
          <w:sz w:val="22"/>
          <w:szCs w:val="22"/>
        </w:rPr>
        <w:t>for RPH</w:t>
      </w:r>
      <w:r w:rsidR="00287DD0" w:rsidRPr="002238B3">
        <w:rPr>
          <w:sz w:val="22"/>
          <w:szCs w:val="22"/>
        </w:rPr>
        <w:t xml:space="preserve"> for FY 2015-16</w:t>
      </w:r>
      <w:r w:rsidR="00D10D39" w:rsidRPr="002238B3">
        <w:rPr>
          <w:sz w:val="22"/>
          <w:szCs w:val="22"/>
        </w:rPr>
        <w:t>.</w:t>
      </w:r>
    </w:p>
    <w:p w:rsidR="00351464" w:rsidRPr="002238B3" w:rsidRDefault="00351464" w:rsidP="00D10D39">
      <w:pPr>
        <w:rPr>
          <w:sz w:val="22"/>
          <w:szCs w:val="22"/>
        </w:rPr>
      </w:pPr>
    </w:p>
    <w:p w:rsidR="00D10D39" w:rsidRPr="002238B3" w:rsidRDefault="00FC5D9E" w:rsidP="00D10D39">
      <w:pPr>
        <w:rPr>
          <w:sz w:val="22"/>
          <w:szCs w:val="22"/>
        </w:rPr>
      </w:pPr>
      <w:r w:rsidRPr="002238B3">
        <w:rPr>
          <w:sz w:val="22"/>
          <w:szCs w:val="22"/>
        </w:rPr>
        <w:t xml:space="preserve">CERC has allowed </w:t>
      </w:r>
      <w:r w:rsidR="007E373D" w:rsidRPr="002238B3">
        <w:rPr>
          <w:sz w:val="22"/>
          <w:szCs w:val="22"/>
        </w:rPr>
        <w:t>O&amp;M expenses</w:t>
      </w:r>
      <w:r w:rsidRPr="002238B3">
        <w:rPr>
          <w:sz w:val="22"/>
          <w:szCs w:val="22"/>
        </w:rPr>
        <w:t xml:space="preserve"> of Rs. </w:t>
      </w:r>
      <w:r w:rsidR="005F259D" w:rsidRPr="002238B3">
        <w:rPr>
          <w:sz w:val="22"/>
          <w:szCs w:val="22"/>
        </w:rPr>
        <w:t>35.70</w:t>
      </w:r>
      <w:r w:rsidRPr="002238B3">
        <w:rPr>
          <w:sz w:val="22"/>
          <w:szCs w:val="22"/>
        </w:rPr>
        <w:t xml:space="preserve"> Lakh/MW for small gas turbine power generating stations with an escalation of </w:t>
      </w:r>
      <w:r w:rsidR="005F259D" w:rsidRPr="002238B3">
        <w:rPr>
          <w:sz w:val="22"/>
          <w:szCs w:val="22"/>
        </w:rPr>
        <w:t>6.80</w:t>
      </w:r>
      <w:r w:rsidRPr="002238B3">
        <w:rPr>
          <w:sz w:val="22"/>
          <w:szCs w:val="22"/>
        </w:rPr>
        <w:t>%.  GTPS is in operation for more than 25 years. The O&amp;M expenses computes to Rs.</w:t>
      </w:r>
      <w:r w:rsidR="00B10665" w:rsidRPr="002238B3">
        <w:rPr>
          <w:sz w:val="22"/>
          <w:szCs w:val="22"/>
        </w:rPr>
        <w:t>96.39</w:t>
      </w:r>
      <w:r w:rsidRPr="002238B3">
        <w:rPr>
          <w:sz w:val="22"/>
          <w:szCs w:val="22"/>
        </w:rPr>
        <w:t xml:space="preserve"> Crores for GTPS with the new CERC norms</w:t>
      </w:r>
      <w:r w:rsidR="00B10665" w:rsidRPr="002238B3">
        <w:rPr>
          <w:sz w:val="22"/>
          <w:szCs w:val="22"/>
        </w:rPr>
        <w:t xml:space="preserve"> for FY 2015-16</w:t>
      </w:r>
      <w:r w:rsidRPr="002238B3">
        <w:rPr>
          <w:sz w:val="22"/>
          <w:szCs w:val="22"/>
        </w:rPr>
        <w:t xml:space="preserve">. If the same is taken on the basis of Agartala Gas Station, the same O&amp;M </w:t>
      </w:r>
      <w:r w:rsidR="00130C2F" w:rsidRPr="002238B3">
        <w:rPr>
          <w:sz w:val="22"/>
          <w:szCs w:val="22"/>
        </w:rPr>
        <w:t>expenses for GTPS compute</w:t>
      </w:r>
      <w:r w:rsidRPr="002238B3">
        <w:rPr>
          <w:sz w:val="22"/>
          <w:szCs w:val="22"/>
        </w:rPr>
        <w:t xml:space="preserve"> to Rs.</w:t>
      </w:r>
      <w:r w:rsidR="00A948E8" w:rsidRPr="002238B3">
        <w:rPr>
          <w:sz w:val="22"/>
          <w:szCs w:val="22"/>
        </w:rPr>
        <w:t xml:space="preserve"> 119.178</w:t>
      </w:r>
      <w:r w:rsidRPr="002238B3">
        <w:rPr>
          <w:sz w:val="22"/>
          <w:szCs w:val="22"/>
        </w:rPr>
        <w:t xml:space="preserve"> crores.  </w:t>
      </w:r>
      <w:r w:rsidR="00CF629B" w:rsidRPr="002238B3">
        <w:rPr>
          <w:sz w:val="22"/>
          <w:szCs w:val="22"/>
        </w:rPr>
        <w:t xml:space="preserve">A </w:t>
      </w:r>
      <w:r w:rsidR="00D10D39" w:rsidRPr="002238B3">
        <w:rPr>
          <w:sz w:val="22"/>
          <w:szCs w:val="22"/>
        </w:rPr>
        <w:lastRenderedPageBreak/>
        <w:t xml:space="preserve">Comparison of O&amp;M expenses allowed by CERC </w:t>
      </w:r>
      <w:r w:rsidR="007E373D" w:rsidRPr="002238B3">
        <w:rPr>
          <w:sz w:val="22"/>
          <w:szCs w:val="22"/>
        </w:rPr>
        <w:t>vis-à-vis</w:t>
      </w:r>
      <w:r w:rsidR="00D10D39" w:rsidRPr="002238B3">
        <w:rPr>
          <w:sz w:val="22"/>
          <w:szCs w:val="22"/>
        </w:rPr>
        <w:t xml:space="preserve"> DERC for FY </w:t>
      </w:r>
      <w:r w:rsidR="00A948E8" w:rsidRPr="002238B3">
        <w:rPr>
          <w:sz w:val="22"/>
          <w:szCs w:val="22"/>
        </w:rPr>
        <w:t>2015-16</w:t>
      </w:r>
      <w:r w:rsidRPr="002238B3">
        <w:rPr>
          <w:sz w:val="22"/>
          <w:szCs w:val="22"/>
        </w:rPr>
        <w:t xml:space="preserve"> is depicted in the following table.</w:t>
      </w:r>
    </w:p>
    <w:p w:rsidR="00D10D39" w:rsidRPr="00D27C4F" w:rsidRDefault="00D27C4F" w:rsidP="00D27C4F">
      <w:pPr>
        <w:pStyle w:val="Caption"/>
        <w:jc w:val="center"/>
      </w:pPr>
      <w:bookmarkStart w:id="60" w:name="_Toc411604002"/>
      <w:r>
        <w:t xml:space="preserve">Table </w:t>
      </w:r>
      <w:fldSimple w:instr=" SEQ Table \* ARABIC ">
        <w:r w:rsidR="002326CE">
          <w:rPr>
            <w:noProof/>
          </w:rPr>
          <w:t>25</w:t>
        </w:r>
      </w:fldSimple>
      <w:r>
        <w:t xml:space="preserve"> : </w:t>
      </w:r>
      <w:r w:rsidR="00296E47" w:rsidRPr="00D27C4F">
        <w:t xml:space="preserve">Comparison of O&amp;M with CERC normative base for FY </w:t>
      </w:r>
      <w:r w:rsidR="0093690F">
        <w:t>2014-15</w:t>
      </w:r>
      <w:bookmarkEnd w:id="60"/>
    </w:p>
    <w:tbl>
      <w:tblPr>
        <w:tblW w:w="88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5"/>
        <w:gridCol w:w="1236"/>
        <w:gridCol w:w="797"/>
        <w:gridCol w:w="1163"/>
        <w:gridCol w:w="923"/>
        <w:gridCol w:w="1163"/>
        <w:gridCol w:w="1164"/>
        <w:gridCol w:w="1361"/>
      </w:tblGrid>
      <w:tr w:rsidR="003B3770" w:rsidRPr="00646944" w:rsidTr="003B3770">
        <w:trPr>
          <w:trHeight w:val="1117"/>
        </w:trPr>
        <w:tc>
          <w:tcPr>
            <w:tcW w:w="1169" w:type="dxa"/>
            <w:shd w:val="solid" w:color="000080" w:fill="auto"/>
          </w:tcPr>
          <w:p w:rsidR="00D10D39" w:rsidRPr="00646944" w:rsidRDefault="00D10D39" w:rsidP="00954E80">
            <w:pPr>
              <w:spacing w:line="240" w:lineRule="auto"/>
              <w:jc w:val="center"/>
              <w:rPr>
                <w:sz w:val="22"/>
                <w:szCs w:val="22"/>
              </w:rPr>
            </w:pPr>
            <w:r w:rsidRPr="00646944">
              <w:rPr>
                <w:sz w:val="22"/>
                <w:szCs w:val="22"/>
              </w:rPr>
              <w:t>Station</w:t>
            </w:r>
          </w:p>
        </w:tc>
        <w:tc>
          <w:tcPr>
            <w:tcW w:w="1263" w:type="dxa"/>
            <w:shd w:val="solid" w:color="000080" w:fill="auto"/>
          </w:tcPr>
          <w:p w:rsidR="00D10D39" w:rsidRDefault="00D10D39" w:rsidP="00954E80">
            <w:pPr>
              <w:spacing w:line="240" w:lineRule="auto"/>
              <w:jc w:val="center"/>
              <w:rPr>
                <w:sz w:val="22"/>
                <w:szCs w:val="22"/>
              </w:rPr>
            </w:pPr>
            <w:r w:rsidRPr="00646944">
              <w:rPr>
                <w:sz w:val="22"/>
                <w:szCs w:val="22"/>
              </w:rPr>
              <w:t>Installed Capacity</w:t>
            </w:r>
          </w:p>
          <w:p w:rsidR="00954E80" w:rsidRPr="00646944" w:rsidRDefault="00954E80" w:rsidP="00954E80">
            <w:pPr>
              <w:spacing w:line="240" w:lineRule="auto"/>
              <w:jc w:val="center"/>
              <w:rPr>
                <w:sz w:val="22"/>
                <w:szCs w:val="22"/>
              </w:rPr>
            </w:pPr>
            <w:r>
              <w:rPr>
                <w:sz w:val="22"/>
                <w:szCs w:val="22"/>
              </w:rPr>
              <w:t>(MW)</w:t>
            </w:r>
          </w:p>
        </w:tc>
        <w:tc>
          <w:tcPr>
            <w:tcW w:w="2033" w:type="dxa"/>
            <w:gridSpan w:val="2"/>
            <w:shd w:val="solid" w:color="000080" w:fill="auto"/>
          </w:tcPr>
          <w:p w:rsidR="00D10D39" w:rsidRPr="00646944" w:rsidRDefault="00081C50" w:rsidP="00954E80">
            <w:pPr>
              <w:spacing w:line="240" w:lineRule="auto"/>
              <w:jc w:val="center"/>
              <w:rPr>
                <w:sz w:val="22"/>
                <w:szCs w:val="22"/>
              </w:rPr>
            </w:pPr>
            <w:r>
              <w:rPr>
                <w:sz w:val="22"/>
                <w:szCs w:val="22"/>
              </w:rPr>
              <w:t xml:space="preserve"> (CERC)</w:t>
            </w:r>
          </w:p>
          <w:p w:rsidR="00D10D39" w:rsidRPr="00646944" w:rsidRDefault="00D10D39" w:rsidP="00954E80">
            <w:pPr>
              <w:spacing w:line="240" w:lineRule="auto"/>
              <w:jc w:val="center"/>
              <w:rPr>
                <w:sz w:val="22"/>
                <w:szCs w:val="22"/>
              </w:rPr>
            </w:pPr>
            <w:r w:rsidRPr="00646944">
              <w:rPr>
                <w:sz w:val="22"/>
                <w:szCs w:val="22"/>
              </w:rPr>
              <w:t>(Rs. Lakh/MW)</w:t>
            </w:r>
          </w:p>
        </w:tc>
        <w:tc>
          <w:tcPr>
            <w:tcW w:w="1592" w:type="dxa"/>
            <w:gridSpan w:val="2"/>
            <w:shd w:val="solid" w:color="000080" w:fill="auto"/>
          </w:tcPr>
          <w:p w:rsidR="00D10D39" w:rsidRPr="00646944" w:rsidRDefault="00D10D39" w:rsidP="00954E80">
            <w:pPr>
              <w:spacing w:line="240" w:lineRule="auto"/>
              <w:jc w:val="center"/>
              <w:rPr>
                <w:sz w:val="22"/>
                <w:szCs w:val="22"/>
                <w:lang w:val="pt-BR"/>
              </w:rPr>
            </w:pPr>
            <w:r w:rsidRPr="00646944">
              <w:rPr>
                <w:sz w:val="22"/>
                <w:szCs w:val="22"/>
                <w:lang w:val="pt-BR"/>
              </w:rPr>
              <w:t>Total O&amp;M</w:t>
            </w:r>
          </w:p>
          <w:p w:rsidR="00D10D39" w:rsidRPr="00646944" w:rsidRDefault="00D10D39" w:rsidP="00954E80">
            <w:pPr>
              <w:spacing w:line="240" w:lineRule="auto"/>
              <w:jc w:val="center"/>
              <w:rPr>
                <w:sz w:val="22"/>
                <w:szCs w:val="22"/>
                <w:lang w:val="pt-BR"/>
              </w:rPr>
            </w:pPr>
            <w:r w:rsidRPr="00646944">
              <w:rPr>
                <w:sz w:val="22"/>
                <w:szCs w:val="22"/>
                <w:lang w:val="pt-BR"/>
              </w:rPr>
              <w:t>(Rs. Crore)</w:t>
            </w:r>
          </w:p>
        </w:tc>
        <w:tc>
          <w:tcPr>
            <w:tcW w:w="1340" w:type="dxa"/>
            <w:shd w:val="solid" w:color="000080" w:fill="auto"/>
          </w:tcPr>
          <w:p w:rsidR="00D10D39" w:rsidRPr="00646944" w:rsidRDefault="00D10D39" w:rsidP="00954E80">
            <w:pPr>
              <w:spacing w:line="240" w:lineRule="auto"/>
              <w:jc w:val="center"/>
              <w:rPr>
                <w:sz w:val="22"/>
                <w:szCs w:val="22"/>
              </w:rPr>
            </w:pPr>
            <w:r w:rsidRPr="00646944">
              <w:rPr>
                <w:sz w:val="22"/>
                <w:szCs w:val="22"/>
              </w:rPr>
              <w:t>Allowed by DERC</w:t>
            </w:r>
            <w:r w:rsidR="00C26FCE">
              <w:rPr>
                <w:sz w:val="22"/>
                <w:szCs w:val="22"/>
              </w:rPr>
              <w:t xml:space="preserve"> after Revision</w:t>
            </w:r>
          </w:p>
          <w:p w:rsidR="00D10D39" w:rsidRPr="00646944" w:rsidRDefault="00D10D39" w:rsidP="00954E80">
            <w:pPr>
              <w:spacing w:line="240" w:lineRule="auto"/>
              <w:jc w:val="center"/>
              <w:rPr>
                <w:sz w:val="22"/>
                <w:szCs w:val="22"/>
              </w:rPr>
            </w:pPr>
            <w:r w:rsidRPr="00646944">
              <w:rPr>
                <w:sz w:val="22"/>
                <w:szCs w:val="22"/>
              </w:rPr>
              <w:t>(Rs. Crore)</w:t>
            </w:r>
          </w:p>
        </w:tc>
        <w:tc>
          <w:tcPr>
            <w:tcW w:w="1425" w:type="dxa"/>
            <w:shd w:val="solid" w:color="000080" w:fill="auto"/>
          </w:tcPr>
          <w:p w:rsidR="00D10D39" w:rsidRPr="00646944" w:rsidRDefault="00D10D39" w:rsidP="00954E80">
            <w:pPr>
              <w:spacing w:line="240" w:lineRule="auto"/>
              <w:jc w:val="center"/>
              <w:rPr>
                <w:sz w:val="22"/>
                <w:szCs w:val="22"/>
              </w:rPr>
            </w:pPr>
            <w:r w:rsidRPr="00646944">
              <w:rPr>
                <w:sz w:val="22"/>
                <w:szCs w:val="22"/>
              </w:rPr>
              <w:t>Difference</w:t>
            </w:r>
          </w:p>
          <w:p w:rsidR="00D10D39" w:rsidRPr="00646944" w:rsidRDefault="00D10D39" w:rsidP="00954E80">
            <w:pPr>
              <w:spacing w:line="240" w:lineRule="auto"/>
              <w:jc w:val="center"/>
              <w:rPr>
                <w:sz w:val="22"/>
                <w:szCs w:val="22"/>
              </w:rPr>
            </w:pPr>
            <w:r w:rsidRPr="00646944">
              <w:rPr>
                <w:sz w:val="22"/>
                <w:szCs w:val="22"/>
              </w:rPr>
              <w:t>(Rs. Crore)</w:t>
            </w:r>
          </w:p>
        </w:tc>
      </w:tr>
      <w:tr w:rsidR="003B3770" w:rsidRPr="00E2128B" w:rsidTr="003B3770">
        <w:trPr>
          <w:trHeight w:val="526"/>
        </w:trPr>
        <w:tc>
          <w:tcPr>
            <w:tcW w:w="1169" w:type="dxa"/>
            <w:vAlign w:val="center"/>
          </w:tcPr>
          <w:p w:rsidR="003B3770" w:rsidRPr="005E79A0" w:rsidRDefault="003B3770" w:rsidP="00954E80">
            <w:pPr>
              <w:spacing w:line="240" w:lineRule="auto"/>
              <w:rPr>
                <w:b/>
                <w:sz w:val="22"/>
                <w:szCs w:val="22"/>
              </w:rPr>
            </w:pPr>
          </w:p>
        </w:tc>
        <w:tc>
          <w:tcPr>
            <w:tcW w:w="1263" w:type="dxa"/>
            <w:vAlign w:val="center"/>
          </w:tcPr>
          <w:p w:rsidR="003B3770" w:rsidRPr="005E79A0" w:rsidRDefault="003B3770" w:rsidP="00954E80">
            <w:pPr>
              <w:spacing w:line="240" w:lineRule="auto"/>
              <w:jc w:val="center"/>
              <w:rPr>
                <w:sz w:val="22"/>
                <w:szCs w:val="22"/>
              </w:rPr>
            </w:pPr>
          </w:p>
        </w:tc>
        <w:tc>
          <w:tcPr>
            <w:tcW w:w="870" w:type="dxa"/>
            <w:vAlign w:val="center"/>
          </w:tcPr>
          <w:p w:rsidR="003B3770" w:rsidRPr="005E79A0" w:rsidRDefault="003B3770" w:rsidP="00954E80">
            <w:pPr>
              <w:spacing w:line="240" w:lineRule="auto"/>
              <w:jc w:val="center"/>
              <w:rPr>
                <w:sz w:val="22"/>
                <w:szCs w:val="22"/>
              </w:rPr>
            </w:pPr>
            <w:r w:rsidRPr="005E79A0">
              <w:rPr>
                <w:sz w:val="22"/>
                <w:szCs w:val="22"/>
              </w:rPr>
              <w:t>Base rate</w:t>
            </w:r>
          </w:p>
        </w:tc>
        <w:tc>
          <w:tcPr>
            <w:tcW w:w="1163" w:type="dxa"/>
            <w:vAlign w:val="center"/>
          </w:tcPr>
          <w:p w:rsidR="003B3770" w:rsidRPr="005E79A0" w:rsidRDefault="003B3770" w:rsidP="00954E80">
            <w:pPr>
              <w:spacing w:line="240" w:lineRule="auto"/>
              <w:jc w:val="center"/>
              <w:rPr>
                <w:sz w:val="22"/>
                <w:szCs w:val="22"/>
              </w:rPr>
            </w:pPr>
            <w:r w:rsidRPr="005E79A0">
              <w:rPr>
                <w:sz w:val="22"/>
                <w:szCs w:val="22"/>
              </w:rPr>
              <w:t>Talchar / Agartala</w:t>
            </w:r>
          </w:p>
        </w:tc>
        <w:tc>
          <w:tcPr>
            <w:tcW w:w="1005" w:type="dxa"/>
            <w:vAlign w:val="center"/>
          </w:tcPr>
          <w:p w:rsidR="003B3770" w:rsidRPr="005E79A0" w:rsidRDefault="0085704C" w:rsidP="00954E80">
            <w:pPr>
              <w:spacing w:line="240" w:lineRule="auto"/>
              <w:jc w:val="center"/>
              <w:rPr>
                <w:sz w:val="22"/>
                <w:szCs w:val="22"/>
              </w:rPr>
            </w:pPr>
            <w:r w:rsidRPr="005E79A0">
              <w:rPr>
                <w:sz w:val="22"/>
                <w:szCs w:val="22"/>
              </w:rPr>
              <w:t>B</w:t>
            </w:r>
            <w:r w:rsidR="003B3770" w:rsidRPr="005E79A0">
              <w:rPr>
                <w:sz w:val="22"/>
                <w:szCs w:val="22"/>
              </w:rPr>
              <w:t>ase rate</w:t>
            </w:r>
          </w:p>
        </w:tc>
        <w:tc>
          <w:tcPr>
            <w:tcW w:w="587" w:type="dxa"/>
            <w:vAlign w:val="center"/>
          </w:tcPr>
          <w:p w:rsidR="003B3770" w:rsidRPr="005E79A0" w:rsidRDefault="003B3770" w:rsidP="00954E80">
            <w:pPr>
              <w:spacing w:line="240" w:lineRule="auto"/>
              <w:jc w:val="center"/>
              <w:rPr>
                <w:sz w:val="22"/>
                <w:szCs w:val="22"/>
              </w:rPr>
            </w:pPr>
            <w:r w:rsidRPr="005E79A0">
              <w:rPr>
                <w:sz w:val="22"/>
                <w:szCs w:val="22"/>
              </w:rPr>
              <w:t>Talchar / Agartala</w:t>
            </w:r>
          </w:p>
        </w:tc>
        <w:tc>
          <w:tcPr>
            <w:tcW w:w="1340" w:type="dxa"/>
            <w:vAlign w:val="center"/>
          </w:tcPr>
          <w:p w:rsidR="003B3770" w:rsidRPr="005E79A0" w:rsidRDefault="003B3770" w:rsidP="00954E80">
            <w:pPr>
              <w:spacing w:line="240" w:lineRule="auto"/>
              <w:jc w:val="center"/>
              <w:rPr>
                <w:sz w:val="22"/>
                <w:szCs w:val="22"/>
              </w:rPr>
            </w:pPr>
          </w:p>
        </w:tc>
        <w:tc>
          <w:tcPr>
            <w:tcW w:w="1425" w:type="dxa"/>
            <w:vAlign w:val="center"/>
          </w:tcPr>
          <w:p w:rsidR="003B3770" w:rsidRPr="005E79A0" w:rsidRDefault="003B3770" w:rsidP="00954E80">
            <w:pPr>
              <w:spacing w:line="240" w:lineRule="auto"/>
              <w:jc w:val="center"/>
              <w:rPr>
                <w:sz w:val="22"/>
                <w:szCs w:val="22"/>
              </w:rPr>
            </w:pPr>
          </w:p>
        </w:tc>
      </w:tr>
      <w:tr w:rsidR="003B3770" w:rsidRPr="00E2128B" w:rsidTr="003B3770">
        <w:trPr>
          <w:trHeight w:val="526"/>
        </w:trPr>
        <w:tc>
          <w:tcPr>
            <w:tcW w:w="1169" w:type="dxa"/>
            <w:vAlign w:val="center"/>
          </w:tcPr>
          <w:p w:rsidR="003B3770" w:rsidRPr="005E79A0" w:rsidRDefault="003B3770" w:rsidP="00527F23">
            <w:pPr>
              <w:spacing w:line="240" w:lineRule="auto"/>
              <w:rPr>
                <w:b/>
                <w:sz w:val="22"/>
                <w:szCs w:val="22"/>
              </w:rPr>
            </w:pPr>
            <w:r w:rsidRPr="005E79A0">
              <w:rPr>
                <w:b/>
                <w:sz w:val="22"/>
                <w:szCs w:val="22"/>
              </w:rPr>
              <w:t>R.P.H.</w:t>
            </w:r>
          </w:p>
        </w:tc>
        <w:tc>
          <w:tcPr>
            <w:tcW w:w="1263" w:type="dxa"/>
            <w:vAlign w:val="center"/>
          </w:tcPr>
          <w:p w:rsidR="003B3770" w:rsidRPr="005E79A0" w:rsidRDefault="003B3770" w:rsidP="00527F23">
            <w:pPr>
              <w:spacing w:line="240" w:lineRule="auto"/>
              <w:jc w:val="center"/>
              <w:rPr>
                <w:sz w:val="22"/>
                <w:szCs w:val="22"/>
              </w:rPr>
            </w:pPr>
            <w:r w:rsidRPr="005E79A0">
              <w:rPr>
                <w:sz w:val="22"/>
                <w:szCs w:val="22"/>
              </w:rPr>
              <w:t>135</w:t>
            </w:r>
          </w:p>
        </w:tc>
        <w:tc>
          <w:tcPr>
            <w:tcW w:w="870" w:type="dxa"/>
            <w:vAlign w:val="center"/>
          </w:tcPr>
          <w:p w:rsidR="003B3770" w:rsidRPr="005E79A0" w:rsidRDefault="003B3770" w:rsidP="00527F23">
            <w:pPr>
              <w:spacing w:line="240" w:lineRule="auto"/>
              <w:jc w:val="center"/>
              <w:rPr>
                <w:sz w:val="22"/>
                <w:szCs w:val="22"/>
              </w:rPr>
            </w:pPr>
            <w:r w:rsidRPr="005E79A0">
              <w:rPr>
                <w:sz w:val="22"/>
                <w:szCs w:val="22"/>
              </w:rPr>
              <w:t>43.16</w:t>
            </w:r>
          </w:p>
        </w:tc>
        <w:tc>
          <w:tcPr>
            <w:tcW w:w="1163" w:type="dxa"/>
            <w:vAlign w:val="center"/>
          </w:tcPr>
          <w:p w:rsidR="003B3770" w:rsidRPr="005E79A0" w:rsidRDefault="003B3770" w:rsidP="00527F23">
            <w:pPr>
              <w:spacing w:line="240" w:lineRule="auto"/>
              <w:jc w:val="center"/>
              <w:rPr>
                <w:sz w:val="22"/>
                <w:szCs w:val="22"/>
              </w:rPr>
            </w:pPr>
            <w:r w:rsidRPr="005E79A0">
              <w:rPr>
                <w:sz w:val="22"/>
                <w:szCs w:val="22"/>
              </w:rPr>
              <w:t>43.16</w:t>
            </w:r>
          </w:p>
        </w:tc>
        <w:tc>
          <w:tcPr>
            <w:tcW w:w="1005" w:type="dxa"/>
            <w:vAlign w:val="center"/>
          </w:tcPr>
          <w:p w:rsidR="003B3770" w:rsidRPr="005E79A0" w:rsidRDefault="003B3770" w:rsidP="00527F23">
            <w:pPr>
              <w:spacing w:line="240" w:lineRule="auto"/>
              <w:jc w:val="center"/>
              <w:rPr>
                <w:sz w:val="22"/>
                <w:szCs w:val="22"/>
              </w:rPr>
            </w:pPr>
            <w:r w:rsidRPr="005E79A0">
              <w:rPr>
                <w:sz w:val="22"/>
                <w:szCs w:val="22"/>
              </w:rPr>
              <w:t>58.266</w:t>
            </w:r>
          </w:p>
        </w:tc>
        <w:tc>
          <w:tcPr>
            <w:tcW w:w="587" w:type="dxa"/>
            <w:vAlign w:val="center"/>
          </w:tcPr>
          <w:p w:rsidR="003B3770" w:rsidRPr="005E79A0" w:rsidRDefault="0085704C" w:rsidP="00527F23">
            <w:pPr>
              <w:spacing w:line="240" w:lineRule="auto"/>
              <w:jc w:val="center"/>
              <w:rPr>
                <w:sz w:val="22"/>
                <w:szCs w:val="22"/>
              </w:rPr>
            </w:pPr>
            <w:r w:rsidRPr="005E79A0">
              <w:rPr>
                <w:sz w:val="22"/>
                <w:szCs w:val="22"/>
              </w:rPr>
              <w:t>58.266</w:t>
            </w:r>
          </w:p>
        </w:tc>
        <w:tc>
          <w:tcPr>
            <w:tcW w:w="1340" w:type="dxa"/>
            <w:vAlign w:val="center"/>
          </w:tcPr>
          <w:p w:rsidR="003B3770" w:rsidRPr="005E79A0" w:rsidRDefault="003B3770" w:rsidP="00527F23">
            <w:pPr>
              <w:spacing w:line="240" w:lineRule="auto"/>
              <w:jc w:val="center"/>
              <w:rPr>
                <w:sz w:val="22"/>
                <w:szCs w:val="22"/>
              </w:rPr>
            </w:pPr>
            <w:r w:rsidRPr="005E79A0">
              <w:rPr>
                <w:sz w:val="22"/>
                <w:szCs w:val="22"/>
              </w:rPr>
              <w:t>40.72</w:t>
            </w:r>
          </w:p>
        </w:tc>
        <w:tc>
          <w:tcPr>
            <w:tcW w:w="1425" w:type="dxa"/>
            <w:vAlign w:val="center"/>
          </w:tcPr>
          <w:p w:rsidR="003B3770" w:rsidRPr="005E79A0" w:rsidRDefault="003B3770" w:rsidP="00527F23">
            <w:pPr>
              <w:spacing w:line="240" w:lineRule="auto"/>
              <w:jc w:val="center"/>
              <w:rPr>
                <w:sz w:val="22"/>
                <w:szCs w:val="22"/>
              </w:rPr>
            </w:pPr>
            <w:r w:rsidRPr="005E79A0">
              <w:rPr>
                <w:sz w:val="22"/>
                <w:szCs w:val="22"/>
              </w:rPr>
              <w:t>3.49</w:t>
            </w:r>
          </w:p>
        </w:tc>
      </w:tr>
      <w:tr w:rsidR="003B3770" w:rsidRPr="00E2128B" w:rsidTr="003B3770">
        <w:trPr>
          <w:trHeight w:val="526"/>
        </w:trPr>
        <w:tc>
          <w:tcPr>
            <w:tcW w:w="1169" w:type="dxa"/>
            <w:vAlign w:val="center"/>
          </w:tcPr>
          <w:p w:rsidR="003B3770" w:rsidRPr="005E79A0" w:rsidRDefault="003B3770" w:rsidP="00954E80">
            <w:pPr>
              <w:spacing w:line="240" w:lineRule="auto"/>
              <w:rPr>
                <w:b/>
                <w:sz w:val="22"/>
                <w:szCs w:val="22"/>
              </w:rPr>
            </w:pPr>
            <w:r w:rsidRPr="005E79A0">
              <w:rPr>
                <w:b/>
                <w:sz w:val="22"/>
                <w:szCs w:val="22"/>
              </w:rPr>
              <w:t>GTPS</w:t>
            </w:r>
          </w:p>
        </w:tc>
        <w:tc>
          <w:tcPr>
            <w:tcW w:w="1263" w:type="dxa"/>
            <w:vAlign w:val="center"/>
          </w:tcPr>
          <w:p w:rsidR="003B3770" w:rsidRPr="005E79A0" w:rsidRDefault="003B3770" w:rsidP="00954E80">
            <w:pPr>
              <w:spacing w:line="240" w:lineRule="auto"/>
              <w:jc w:val="center"/>
              <w:rPr>
                <w:sz w:val="22"/>
                <w:szCs w:val="22"/>
              </w:rPr>
            </w:pPr>
            <w:r w:rsidRPr="005E79A0">
              <w:rPr>
                <w:sz w:val="22"/>
                <w:szCs w:val="22"/>
              </w:rPr>
              <w:t>270</w:t>
            </w:r>
          </w:p>
        </w:tc>
        <w:tc>
          <w:tcPr>
            <w:tcW w:w="870" w:type="dxa"/>
            <w:vAlign w:val="center"/>
          </w:tcPr>
          <w:p w:rsidR="003B3770" w:rsidRPr="005E79A0" w:rsidRDefault="003B3770" w:rsidP="000B560A">
            <w:pPr>
              <w:spacing w:line="240" w:lineRule="auto"/>
              <w:jc w:val="center"/>
              <w:rPr>
                <w:sz w:val="22"/>
                <w:szCs w:val="22"/>
              </w:rPr>
            </w:pPr>
            <w:r w:rsidRPr="005E79A0">
              <w:rPr>
                <w:sz w:val="22"/>
                <w:szCs w:val="22"/>
              </w:rPr>
              <w:t>33.43</w:t>
            </w:r>
          </w:p>
        </w:tc>
        <w:tc>
          <w:tcPr>
            <w:tcW w:w="1163" w:type="dxa"/>
            <w:vAlign w:val="center"/>
          </w:tcPr>
          <w:p w:rsidR="003B3770" w:rsidRPr="005E79A0" w:rsidRDefault="003B3770" w:rsidP="000B560A">
            <w:pPr>
              <w:spacing w:line="240" w:lineRule="auto"/>
              <w:jc w:val="center"/>
              <w:rPr>
                <w:sz w:val="22"/>
                <w:szCs w:val="22"/>
              </w:rPr>
            </w:pPr>
            <w:r w:rsidRPr="005E79A0">
              <w:rPr>
                <w:sz w:val="22"/>
                <w:szCs w:val="22"/>
              </w:rPr>
              <w:t>41.31</w:t>
            </w:r>
          </w:p>
        </w:tc>
        <w:tc>
          <w:tcPr>
            <w:tcW w:w="1005" w:type="dxa"/>
            <w:vAlign w:val="center"/>
          </w:tcPr>
          <w:p w:rsidR="003B3770" w:rsidRPr="005E79A0" w:rsidRDefault="003B3770" w:rsidP="001E6426">
            <w:pPr>
              <w:spacing w:line="240" w:lineRule="auto"/>
              <w:jc w:val="center"/>
              <w:rPr>
                <w:sz w:val="22"/>
                <w:szCs w:val="22"/>
              </w:rPr>
            </w:pPr>
            <w:r w:rsidRPr="005E79A0">
              <w:rPr>
                <w:sz w:val="22"/>
                <w:szCs w:val="22"/>
              </w:rPr>
              <w:t>90.261</w:t>
            </w:r>
          </w:p>
        </w:tc>
        <w:tc>
          <w:tcPr>
            <w:tcW w:w="587" w:type="dxa"/>
            <w:vAlign w:val="center"/>
          </w:tcPr>
          <w:p w:rsidR="003B3770" w:rsidRPr="005E79A0" w:rsidRDefault="0085704C" w:rsidP="001E6426">
            <w:pPr>
              <w:spacing w:line="240" w:lineRule="auto"/>
              <w:jc w:val="center"/>
              <w:rPr>
                <w:sz w:val="22"/>
                <w:szCs w:val="22"/>
              </w:rPr>
            </w:pPr>
            <w:r w:rsidRPr="005E79A0">
              <w:rPr>
                <w:sz w:val="22"/>
                <w:szCs w:val="22"/>
              </w:rPr>
              <w:t>111.537</w:t>
            </w:r>
          </w:p>
        </w:tc>
        <w:tc>
          <w:tcPr>
            <w:tcW w:w="1340" w:type="dxa"/>
            <w:vAlign w:val="center"/>
          </w:tcPr>
          <w:p w:rsidR="003B3770" w:rsidRPr="005E79A0" w:rsidRDefault="003B3770" w:rsidP="00954E80">
            <w:pPr>
              <w:spacing w:line="240" w:lineRule="auto"/>
              <w:jc w:val="center"/>
              <w:rPr>
                <w:sz w:val="22"/>
                <w:szCs w:val="22"/>
              </w:rPr>
            </w:pPr>
            <w:r w:rsidRPr="005E79A0">
              <w:rPr>
                <w:sz w:val="22"/>
                <w:szCs w:val="22"/>
              </w:rPr>
              <w:t>50.74</w:t>
            </w:r>
          </w:p>
        </w:tc>
        <w:tc>
          <w:tcPr>
            <w:tcW w:w="1425" w:type="dxa"/>
            <w:vAlign w:val="center"/>
          </w:tcPr>
          <w:p w:rsidR="003B3770" w:rsidRPr="005E79A0" w:rsidRDefault="003B3770" w:rsidP="00954E80">
            <w:pPr>
              <w:spacing w:line="240" w:lineRule="auto"/>
              <w:jc w:val="center"/>
              <w:rPr>
                <w:sz w:val="22"/>
                <w:szCs w:val="22"/>
              </w:rPr>
            </w:pPr>
            <w:r w:rsidRPr="005E79A0">
              <w:rPr>
                <w:sz w:val="22"/>
                <w:szCs w:val="22"/>
              </w:rPr>
              <w:t>11.09</w:t>
            </w:r>
          </w:p>
        </w:tc>
      </w:tr>
    </w:tbl>
    <w:p w:rsidR="00D27C4F" w:rsidRDefault="00CF629B" w:rsidP="00FD69D8">
      <w:pPr>
        <w:autoSpaceDE w:val="0"/>
        <w:autoSpaceDN w:val="0"/>
        <w:adjustRightInd w:val="0"/>
        <w:spacing w:before="240"/>
        <w:rPr>
          <w:sz w:val="22"/>
          <w:szCs w:val="22"/>
        </w:rPr>
      </w:pPr>
      <w:r>
        <w:rPr>
          <w:sz w:val="22"/>
          <w:szCs w:val="22"/>
        </w:rPr>
        <w:t xml:space="preserve"> It may be observed from above table that norm set by CERC for </w:t>
      </w:r>
      <w:r w:rsidR="007B28DB">
        <w:rPr>
          <w:sz w:val="22"/>
          <w:szCs w:val="22"/>
        </w:rPr>
        <w:t>similar capacity and technology of the</w:t>
      </w:r>
      <w:r>
        <w:rPr>
          <w:sz w:val="22"/>
          <w:szCs w:val="22"/>
        </w:rPr>
        <w:t xml:space="preserve"> stations are much higher as compared to the norm fixed by DERC. Accordingly,</w:t>
      </w:r>
      <w:r w:rsidR="004A51F7">
        <w:rPr>
          <w:sz w:val="22"/>
          <w:szCs w:val="22"/>
        </w:rPr>
        <w:t xml:space="preserve"> t</w:t>
      </w:r>
      <w:r w:rsidR="000636CD">
        <w:rPr>
          <w:sz w:val="22"/>
          <w:szCs w:val="22"/>
        </w:rPr>
        <w:t xml:space="preserve">he Commission is requested to adopt </w:t>
      </w:r>
      <w:r w:rsidR="00A425EB">
        <w:rPr>
          <w:sz w:val="22"/>
          <w:szCs w:val="22"/>
        </w:rPr>
        <w:t>a liberal</w:t>
      </w:r>
      <w:r w:rsidR="000636CD">
        <w:rPr>
          <w:sz w:val="22"/>
          <w:szCs w:val="22"/>
        </w:rPr>
        <w:t xml:space="preserve"> and more realistic view </w:t>
      </w:r>
      <w:r w:rsidR="004A51F7">
        <w:rPr>
          <w:sz w:val="22"/>
          <w:szCs w:val="22"/>
        </w:rPr>
        <w:t xml:space="preserve">for </w:t>
      </w:r>
      <w:r w:rsidR="000636CD">
        <w:rPr>
          <w:sz w:val="22"/>
          <w:szCs w:val="22"/>
        </w:rPr>
        <w:t>O&amp;M cost.</w:t>
      </w:r>
    </w:p>
    <w:p w:rsidR="007E373D" w:rsidRDefault="007E373D" w:rsidP="00C43BF7">
      <w:pPr>
        <w:rPr>
          <w:sz w:val="22"/>
          <w:szCs w:val="22"/>
        </w:rPr>
      </w:pPr>
    </w:p>
    <w:p w:rsidR="00211730" w:rsidRDefault="00211730" w:rsidP="00C43BF7">
      <w:pPr>
        <w:rPr>
          <w:sz w:val="22"/>
          <w:szCs w:val="22"/>
        </w:rPr>
      </w:pPr>
      <w:r>
        <w:rPr>
          <w:sz w:val="22"/>
          <w:szCs w:val="22"/>
        </w:rPr>
        <w:t xml:space="preserve">The comparison of O&amp;M expenses Rs. Lakh/MW allowed </w:t>
      </w:r>
      <w:r w:rsidR="007E373D">
        <w:rPr>
          <w:sz w:val="22"/>
          <w:szCs w:val="22"/>
        </w:rPr>
        <w:t>vis-à-vis</w:t>
      </w:r>
      <w:r>
        <w:rPr>
          <w:sz w:val="22"/>
          <w:szCs w:val="22"/>
        </w:rPr>
        <w:t xml:space="preserve"> actual O&amp;M expenses </w:t>
      </w:r>
      <w:r w:rsidR="00533AF2">
        <w:rPr>
          <w:sz w:val="22"/>
          <w:szCs w:val="22"/>
        </w:rPr>
        <w:t xml:space="preserve">for GTPS </w:t>
      </w:r>
      <w:r>
        <w:rPr>
          <w:sz w:val="22"/>
          <w:szCs w:val="22"/>
        </w:rPr>
        <w:t>is tabulated as under:</w:t>
      </w:r>
    </w:p>
    <w:p w:rsidR="00211730" w:rsidRDefault="00B330D6" w:rsidP="00B330D6">
      <w:pPr>
        <w:pStyle w:val="Caption"/>
        <w:jc w:val="center"/>
      </w:pPr>
      <w:bookmarkStart w:id="61" w:name="_Toc411604003"/>
      <w:r>
        <w:t xml:space="preserve">Table </w:t>
      </w:r>
      <w:fldSimple w:instr=" SEQ Table \* ARABIC ">
        <w:r w:rsidR="002326CE">
          <w:rPr>
            <w:noProof/>
          </w:rPr>
          <w:t>26</w:t>
        </w:r>
      </w:fldSimple>
      <w:r>
        <w:t xml:space="preserve"> : Comparison of O&amp;M Expenses allowed vis-à-vis Actual O&amp;M</w:t>
      </w:r>
      <w:bookmarkEnd w:id="61"/>
    </w:p>
    <w:p w:rsidR="00E37F95" w:rsidRPr="00E37F95" w:rsidRDefault="00E37F95" w:rsidP="00E37F95">
      <w:pPr>
        <w:spacing w:line="240" w:lineRule="auto"/>
        <w:jc w:val="right"/>
        <w:rPr>
          <w:b/>
        </w:rPr>
      </w:pPr>
      <w:r w:rsidRPr="00E37F95">
        <w:rPr>
          <w:b/>
        </w:rPr>
        <w:t>(Rs. Lakh/MW)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4"/>
        <w:gridCol w:w="1764"/>
        <w:gridCol w:w="1764"/>
        <w:gridCol w:w="1764"/>
        <w:gridCol w:w="1764"/>
      </w:tblGrid>
      <w:tr w:rsidR="00211730" w:rsidRPr="008E3DA3" w:rsidTr="008A4212">
        <w:trPr>
          <w:trHeight w:val="883"/>
        </w:trPr>
        <w:tc>
          <w:tcPr>
            <w:tcW w:w="1764" w:type="dxa"/>
            <w:shd w:val="clear" w:color="auto" w:fill="000080"/>
          </w:tcPr>
          <w:p w:rsidR="00211730" w:rsidRPr="008E3DA3" w:rsidRDefault="00211730" w:rsidP="008E3DA3">
            <w:pPr>
              <w:spacing w:line="240" w:lineRule="auto"/>
              <w:ind w:left="180"/>
              <w:jc w:val="left"/>
              <w:rPr>
                <w:b/>
                <w:sz w:val="22"/>
                <w:szCs w:val="22"/>
              </w:rPr>
            </w:pPr>
            <w:r w:rsidRPr="008E3DA3">
              <w:rPr>
                <w:b/>
                <w:sz w:val="22"/>
                <w:szCs w:val="22"/>
              </w:rPr>
              <w:t>FY</w:t>
            </w:r>
          </w:p>
        </w:tc>
        <w:tc>
          <w:tcPr>
            <w:tcW w:w="1764" w:type="dxa"/>
            <w:shd w:val="clear" w:color="auto" w:fill="000080"/>
          </w:tcPr>
          <w:p w:rsidR="00211730" w:rsidRPr="005E79A0" w:rsidRDefault="00FC2817" w:rsidP="008E3DA3">
            <w:pPr>
              <w:spacing w:line="240" w:lineRule="auto"/>
              <w:jc w:val="center"/>
              <w:rPr>
                <w:b/>
                <w:sz w:val="22"/>
                <w:szCs w:val="22"/>
              </w:rPr>
            </w:pPr>
            <w:r w:rsidRPr="005E79A0">
              <w:rPr>
                <w:b/>
                <w:sz w:val="22"/>
                <w:szCs w:val="22"/>
              </w:rPr>
              <w:t>Actual</w:t>
            </w:r>
          </w:p>
        </w:tc>
        <w:tc>
          <w:tcPr>
            <w:tcW w:w="1764" w:type="dxa"/>
            <w:shd w:val="clear" w:color="auto" w:fill="000080"/>
          </w:tcPr>
          <w:p w:rsidR="00211730" w:rsidRPr="005E79A0" w:rsidRDefault="00211730" w:rsidP="008E3DA3">
            <w:pPr>
              <w:spacing w:line="240" w:lineRule="auto"/>
              <w:jc w:val="center"/>
              <w:rPr>
                <w:b/>
                <w:sz w:val="22"/>
                <w:szCs w:val="22"/>
              </w:rPr>
            </w:pPr>
            <w:r w:rsidRPr="005E79A0">
              <w:rPr>
                <w:b/>
                <w:sz w:val="22"/>
                <w:szCs w:val="22"/>
              </w:rPr>
              <w:t>As per DERC</w:t>
            </w:r>
            <w:r w:rsidR="00880BC9" w:rsidRPr="005E79A0">
              <w:rPr>
                <w:b/>
                <w:sz w:val="22"/>
                <w:szCs w:val="22"/>
              </w:rPr>
              <w:t>*</w:t>
            </w:r>
          </w:p>
        </w:tc>
        <w:tc>
          <w:tcPr>
            <w:tcW w:w="1764" w:type="dxa"/>
            <w:shd w:val="clear" w:color="auto" w:fill="000080"/>
          </w:tcPr>
          <w:p w:rsidR="00211730" w:rsidRPr="005E79A0" w:rsidRDefault="00540F72" w:rsidP="008E3DA3">
            <w:pPr>
              <w:spacing w:line="240" w:lineRule="auto"/>
              <w:jc w:val="center"/>
              <w:rPr>
                <w:b/>
                <w:sz w:val="22"/>
                <w:szCs w:val="22"/>
              </w:rPr>
            </w:pPr>
            <w:r w:rsidRPr="005E79A0">
              <w:rPr>
                <w:b/>
                <w:sz w:val="22"/>
                <w:szCs w:val="22"/>
              </w:rPr>
              <w:t>As per CERC for small Gas Turbines</w:t>
            </w:r>
          </w:p>
        </w:tc>
        <w:tc>
          <w:tcPr>
            <w:tcW w:w="1764" w:type="dxa"/>
            <w:shd w:val="clear" w:color="auto" w:fill="000080"/>
          </w:tcPr>
          <w:p w:rsidR="00211730" w:rsidRPr="005E79A0" w:rsidRDefault="00540F72" w:rsidP="00A436C5">
            <w:pPr>
              <w:spacing w:line="240" w:lineRule="auto"/>
              <w:jc w:val="center"/>
              <w:rPr>
                <w:b/>
                <w:sz w:val="22"/>
                <w:szCs w:val="22"/>
              </w:rPr>
            </w:pPr>
            <w:r w:rsidRPr="005E79A0">
              <w:rPr>
                <w:b/>
                <w:sz w:val="22"/>
                <w:szCs w:val="22"/>
              </w:rPr>
              <w:t xml:space="preserve">@ </w:t>
            </w:r>
            <w:r w:rsidR="00A436C5" w:rsidRPr="005E79A0">
              <w:rPr>
                <w:b/>
                <w:sz w:val="22"/>
                <w:szCs w:val="22"/>
              </w:rPr>
              <w:t>8.85</w:t>
            </w:r>
            <w:r w:rsidRPr="005E79A0">
              <w:rPr>
                <w:b/>
                <w:sz w:val="22"/>
                <w:szCs w:val="22"/>
              </w:rPr>
              <w:t>%</w:t>
            </w:r>
          </w:p>
        </w:tc>
      </w:tr>
      <w:tr w:rsidR="00DC20C1" w:rsidRPr="008E3DA3" w:rsidTr="00BA2F40">
        <w:trPr>
          <w:trHeight w:val="338"/>
        </w:trPr>
        <w:tc>
          <w:tcPr>
            <w:tcW w:w="1764" w:type="dxa"/>
          </w:tcPr>
          <w:p w:rsidR="00DC20C1" w:rsidRPr="008E3DA3" w:rsidRDefault="00DC20C1" w:rsidP="00527F23">
            <w:pPr>
              <w:spacing w:line="240" w:lineRule="auto"/>
              <w:ind w:left="180"/>
              <w:rPr>
                <w:b/>
                <w:sz w:val="22"/>
                <w:szCs w:val="22"/>
              </w:rPr>
            </w:pPr>
            <w:r w:rsidRPr="008E3DA3">
              <w:rPr>
                <w:b/>
                <w:sz w:val="22"/>
                <w:szCs w:val="22"/>
              </w:rPr>
              <w:t>2012-13</w:t>
            </w:r>
          </w:p>
        </w:tc>
        <w:tc>
          <w:tcPr>
            <w:tcW w:w="1764" w:type="dxa"/>
          </w:tcPr>
          <w:p w:rsidR="00DC20C1" w:rsidRPr="005E79A0" w:rsidRDefault="00DC20C1" w:rsidP="00527F23">
            <w:pPr>
              <w:spacing w:line="240" w:lineRule="auto"/>
              <w:jc w:val="center"/>
              <w:rPr>
                <w:sz w:val="22"/>
                <w:szCs w:val="22"/>
              </w:rPr>
            </w:pPr>
            <w:r w:rsidRPr="005E79A0">
              <w:rPr>
                <w:sz w:val="22"/>
                <w:szCs w:val="22"/>
              </w:rPr>
              <w:t>31.17</w:t>
            </w:r>
          </w:p>
        </w:tc>
        <w:tc>
          <w:tcPr>
            <w:tcW w:w="1764" w:type="dxa"/>
          </w:tcPr>
          <w:p w:rsidR="00DC20C1" w:rsidRPr="005E79A0" w:rsidRDefault="00DC20C1" w:rsidP="00527F23">
            <w:pPr>
              <w:spacing w:line="240" w:lineRule="auto"/>
              <w:jc w:val="center"/>
              <w:rPr>
                <w:sz w:val="22"/>
                <w:szCs w:val="22"/>
              </w:rPr>
            </w:pPr>
            <w:r>
              <w:rPr>
                <w:sz w:val="22"/>
                <w:szCs w:val="22"/>
              </w:rPr>
              <w:t>27.06</w:t>
            </w:r>
          </w:p>
        </w:tc>
        <w:tc>
          <w:tcPr>
            <w:tcW w:w="1764" w:type="dxa"/>
          </w:tcPr>
          <w:p w:rsidR="00DC20C1" w:rsidRPr="005E79A0" w:rsidRDefault="00DC20C1" w:rsidP="00527F23">
            <w:pPr>
              <w:spacing w:line="240" w:lineRule="auto"/>
              <w:jc w:val="center"/>
              <w:rPr>
                <w:sz w:val="22"/>
                <w:szCs w:val="22"/>
              </w:rPr>
            </w:pPr>
            <w:r w:rsidRPr="005E79A0">
              <w:rPr>
                <w:sz w:val="22"/>
                <w:szCs w:val="22"/>
              </w:rPr>
              <w:t>27.06</w:t>
            </w:r>
          </w:p>
        </w:tc>
        <w:tc>
          <w:tcPr>
            <w:tcW w:w="1764" w:type="dxa"/>
            <w:vAlign w:val="bottom"/>
          </w:tcPr>
          <w:p w:rsidR="00DC20C1" w:rsidRDefault="00DC20C1" w:rsidP="00DC20C1">
            <w:pPr>
              <w:jc w:val="center"/>
              <w:rPr>
                <w:rFonts w:ascii="Arial" w:hAnsi="Arial" w:cs="Arial"/>
                <w:sz w:val="20"/>
                <w:szCs w:val="20"/>
              </w:rPr>
            </w:pPr>
            <w:r>
              <w:rPr>
                <w:rFonts w:ascii="Arial" w:hAnsi="Arial" w:cs="Arial"/>
                <w:sz w:val="20"/>
                <w:szCs w:val="20"/>
              </w:rPr>
              <w:t>29.45</w:t>
            </w:r>
          </w:p>
        </w:tc>
      </w:tr>
      <w:tr w:rsidR="00DC20C1" w:rsidRPr="008E3DA3" w:rsidTr="00BA2F40">
        <w:trPr>
          <w:trHeight w:val="338"/>
        </w:trPr>
        <w:tc>
          <w:tcPr>
            <w:tcW w:w="1764" w:type="dxa"/>
          </w:tcPr>
          <w:p w:rsidR="00DC20C1" w:rsidRPr="008E3DA3" w:rsidRDefault="00DC20C1" w:rsidP="00527F23">
            <w:pPr>
              <w:spacing w:line="240" w:lineRule="auto"/>
              <w:ind w:left="180"/>
              <w:rPr>
                <w:b/>
                <w:sz w:val="22"/>
                <w:szCs w:val="22"/>
              </w:rPr>
            </w:pPr>
            <w:r w:rsidRPr="008E3DA3">
              <w:rPr>
                <w:b/>
                <w:sz w:val="22"/>
                <w:szCs w:val="22"/>
              </w:rPr>
              <w:t>2013-14</w:t>
            </w:r>
          </w:p>
        </w:tc>
        <w:tc>
          <w:tcPr>
            <w:tcW w:w="1764" w:type="dxa"/>
          </w:tcPr>
          <w:p w:rsidR="00DC20C1" w:rsidRPr="005E79A0" w:rsidRDefault="00DC20C1" w:rsidP="00527F23">
            <w:pPr>
              <w:spacing w:line="240" w:lineRule="auto"/>
              <w:jc w:val="center"/>
              <w:rPr>
                <w:sz w:val="22"/>
                <w:szCs w:val="22"/>
              </w:rPr>
            </w:pPr>
            <w:r w:rsidRPr="005E79A0">
              <w:rPr>
                <w:sz w:val="22"/>
                <w:szCs w:val="22"/>
              </w:rPr>
              <w:t>24.13</w:t>
            </w:r>
          </w:p>
        </w:tc>
        <w:tc>
          <w:tcPr>
            <w:tcW w:w="1764" w:type="dxa"/>
          </w:tcPr>
          <w:p w:rsidR="00DC20C1" w:rsidRPr="005E79A0" w:rsidRDefault="00DC20C1" w:rsidP="00527F23">
            <w:pPr>
              <w:spacing w:line="240" w:lineRule="auto"/>
              <w:jc w:val="center"/>
              <w:rPr>
                <w:sz w:val="22"/>
                <w:szCs w:val="22"/>
              </w:rPr>
            </w:pPr>
            <w:r>
              <w:rPr>
                <w:sz w:val="22"/>
                <w:szCs w:val="22"/>
              </w:rPr>
              <w:t>28.61</w:t>
            </w:r>
          </w:p>
        </w:tc>
        <w:tc>
          <w:tcPr>
            <w:tcW w:w="1764" w:type="dxa"/>
          </w:tcPr>
          <w:p w:rsidR="00DC20C1" w:rsidRPr="005E79A0" w:rsidRDefault="00DC20C1" w:rsidP="00527F23">
            <w:pPr>
              <w:spacing w:line="240" w:lineRule="auto"/>
              <w:jc w:val="center"/>
              <w:rPr>
                <w:sz w:val="22"/>
                <w:szCs w:val="22"/>
              </w:rPr>
            </w:pPr>
            <w:r w:rsidRPr="005E79A0">
              <w:rPr>
                <w:sz w:val="22"/>
                <w:szCs w:val="22"/>
              </w:rPr>
              <w:t>28.61</w:t>
            </w:r>
          </w:p>
        </w:tc>
        <w:tc>
          <w:tcPr>
            <w:tcW w:w="1764" w:type="dxa"/>
            <w:vAlign w:val="bottom"/>
          </w:tcPr>
          <w:p w:rsidR="00DC20C1" w:rsidRDefault="00DC20C1" w:rsidP="00DC20C1">
            <w:pPr>
              <w:jc w:val="center"/>
              <w:rPr>
                <w:rFonts w:ascii="Arial" w:hAnsi="Arial" w:cs="Arial"/>
                <w:sz w:val="20"/>
                <w:szCs w:val="20"/>
              </w:rPr>
            </w:pPr>
            <w:r>
              <w:rPr>
                <w:rFonts w:ascii="Arial" w:hAnsi="Arial" w:cs="Arial"/>
                <w:sz w:val="20"/>
                <w:szCs w:val="20"/>
              </w:rPr>
              <w:t>31.14</w:t>
            </w:r>
          </w:p>
        </w:tc>
      </w:tr>
      <w:tr w:rsidR="00DC20C1" w:rsidRPr="008E3DA3" w:rsidTr="00BA2F40">
        <w:trPr>
          <w:trHeight w:val="338"/>
        </w:trPr>
        <w:tc>
          <w:tcPr>
            <w:tcW w:w="1764" w:type="dxa"/>
          </w:tcPr>
          <w:p w:rsidR="00DC20C1" w:rsidRPr="008E3DA3" w:rsidRDefault="00DC20C1" w:rsidP="00527F23">
            <w:pPr>
              <w:spacing w:line="240" w:lineRule="auto"/>
              <w:ind w:left="180"/>
              <w:rPr>
                <w:b/>
                <w:sz w:val="22"/>
                <w:szCs w:val="22"/>
              </w:rPr>
            </w:pPr>
            <w:r w:rsidRPr="008E3DA3">
              <w:rPr>
                <w:b/>
                <w:sz w:val="22"/>
                <w:szCs w:val="22"/>
              </w:rPr>
              <w:t>2014-15</w:t>
            </w:r>
          </w:p>
        </w:tc>
        <w:tc>
          <w:tcPr>
            <w:tcW w:w="1764" w:type="dxa"/>
          </w:tcPr>
          <w:p w:rsidR="00DC20C1" w:rsidRPr="005E79A0" w:rsidRDefault="00DC20C1" w:rsidP="00527F23">
            <w:pPr>
              <w:spacing w:line="240" w:lineRule="auto"/>
              <w:jc w:val="center"/>
              <w:rPr>
                <w:sz w:val="22"/>
                <w:szCs w:val="22"/>
              </w:rPr>
            </w:pPr>
            <w:r w:rsidRPr="005E79A0">
              <w:rPr>
                <w:sz w:val="22"/>
                <w:szCs w:val="22"/>
              </w:rPr>
              <w:t>23.67</w:t>
            </w:r>
          </w:p>
        </w:tc>
        <w:tc>
          <w:tcPr>
            <w:tcW w:w="1764" w:type="dxa"/>
          </w:tcPr>
          <w:p w:rsidR="00DC20C1" w:rsidRPr="005E79A0" w:rsidRDefault="00DC20C1" w:rsidP="00527F23">
            <w:pPr>
              <w:spacing w:line="240" w:lineRule="auto"/>
              <w:jc w:val="center"/>
              <w:rPr>
                <w:sz w:val="22"/>
                <w:szCs w:val="22"/>
              </w:rPr>
            </w:pPr>
            <w:r>
              <w:rPr>
                <w:sz w:val="22"/>
                <w:szCs w:val="22"/>
              </w:rPr>
              <w:t>30.24</w:t>
            </w:r>
          </w:p>
        </w:tc>
        <w:tc>
          <w:tcPr>
            <w:tcW w:w="1764" w:type="dxa"/>
          </w:tcPr>
          <w:p w:rsidR="00DC20C1" w:rsidRPr="005E79A0" w:rsidRDefault="00DC20C1" w:rsidP="00527F23">
            <w:pPr>
              <w:spacing w:line="240" w:lineRule="auto"/>
              <w:jc w:val="center"/>
              <w:rPr>
                <w:sz w:val="22"/>
                <w:szCs w:val="22"/>
              </w:rPr>
            </w:pPr>
            <w:r>
              <w:rPr>
                <w:sz w:val="22"/>
                <w:szCs w:val="22"/>
              </w:rPr>
              <w:t>33.43</w:t>
            </w:r>
          </w:p>
        </w:tc>
        <w:tc>
          <w:tcPr>
            <w:tcW w:w="1764" w:type="dxa"/>
            <w:vAlign w:val="bottom"/>
          </w:tcPr>
          <w:p w:rsidR="00DC20C1" w:rsidRDefault="00DC20C1" w:rsidP="00DC20C1">
            <w:pPr>
              <w:jc w:val="center"/>
              <w:rPr>
                <w:rFonts w:ascii="Arial" w:hAnsi="Arial" w:cs="Arial"/>
                <w:sz w:val="20"/>
                <w:szCs w:val="20"/>
              </w:rPr>
            </w:pPr>
            <w:r>
              <w:rPr>
                <w:rFonts w:ascii="Arial" w:hAnsi="Arial" w:cs="Arial"/>
                <w:sz w:val="20"/>
                <w:szCs w:val="20"/>
              </w:rPr>
              <w:t>32.92</w:t>
            </w:r>
          </w:p>
        </w:tc>
      </w:tr>
      <w:tr w:rsidR="005D368D" w:rsidRPr="008E3DA3" w:rsidTr="008E3DA3">
        <w:trPr>
          <w:trHeight w:val="339"/>
        </w:trPr>
        <w:tc>
          <w:tcPr>
            <w:tcW w:w="1764" w:type="dxa"/>
          </w:tcPr>
          <w:p w:rsidR="005D368D" w:rsidRPr="008E3DA3" w:rsidRDefault="005D368D" w:rsidP="005D368D">
            <w:pPr>
              <w:spacing w:line="240" w:lineRule="auto"/>
              <w:ind w:left="180"/>
              <w:rPr>
                <w:b/>
                <w:sz w:val="22"/>
                <w:szCs w:val="22"/>
              </w:rPr>
            </w:pPr>
            <w:r w:rsidRPr="008E3DA3">
              <w:rPr>
                <w:b/>
                <w:sz w:val="22"/>
                <w:szCs w:val="22"/>
              </w:rPr>
              <w:t>201</w:t>
            </w:r>
            <w:r>
              <w:rPr>
                <w:b/>
                <w:sz w:val="22"/>
                <w:szCs w:val="22"/>
              </w:rPr>
              <w:t>5</w:t>
            </w:r>
            <w:r w:rsidRPr="008E3DA3">
              <w:rPr>
                <w:b/>
                <w:sz w:val="22"/>
                <w:szCs w:val="22"/>
              </w:rPr>
              <w:t>-1</w:t>
            </w:r>
            <w:r>
              <w:rPr>
                <w:b/>
                <w:sz w:val="22"/>
                <w:szCs w:val="22"/>
              </w:rPr>
              <w:t>6</w:t>
            </w:r>
          </w:p>
        </w:tc>
        <w:tc>
          <w:tcPr>
            <w:tcW w:w="1764" w:type="dxa"/>
          </w:tcPr>
          <w:p w:rsidR="005D368D" w:rsidRPr="00A436C5" w:rsidRDefault="005D368D" w:rsidP="008E3DA3">
            <w:pPr>
              <w:spacing w:line="240" w:lineRule="auto"/>
              <w:jc w:val="center"/>
              <w:rPr>
                <w:color w:val="FF0000"/>
                <w:sz w:val="22"/>
                <w:szCs w:val="22"/>
              </w:rPr>
            </w:pPr>
          </w:p>
        </w:tc>
        <w:tc>
          <w:tcPr>
            <w:tcW w:w="1764" w:type="dxa"/>
          </w:tcPr>
          <w:p w:rsidR="005D368D" w:rsidRPr="00A436C5" w:rsidRDefault="005D368D" w:rsidP="008E3DA3">
            <w:pPr>
              <w:spacing w:line="240" w:lineRule="auto"/>
              <w:jc w:val="center"/>
              <w:rPr>
                <w:color w:val="FF0000"/>
                <w:sz w:val="22"/>
                <w:szCs w:val="22"/>
              </w:rPr>
            </w:pPr>
          </w:p>
        </w:tc>
        <w:tc>
          <w:tcPr>
            <w:tcW w:w="1764" w:type="dxa"/>
          </w:tcPr>
          <w:p w:rsidR="005D368D" w:rsidRPr="008A4212" w:rsidRDefault="00C926AD" w:rsidP="008E3DA3">
            <w:pPr>
              <w:spacing w:line="240" w:lineRule="auto"/>
              <w:jc w:val="center"/>
              <w:rPr>
                <w:sz w:val="22"/>
                <w:szCs w:val="22"/>
              </w:rPr>
            </w:pPr>
            <w:r w:rsidRPr="008A4212">
              <w:rPr>
                <w:sz w:val="22"/>
                <w:szCs w:val="22"/>
              </w:rPr>
              <w:t>35.70</w:t>
            </w:r>
          </w:p>
        </w:tc>
        <w:tc>
          <w:tcPr>
            <w:tcW w:w="1764" w:type="dxa"/>
          </w:tcPr>
          <w:p w:rsidR="005D368D" w:rsidRPr="008A4212" w:rsidRDefault="005D368D" w:rsidP="00DC20C1">
            <w:pPr>
              <w:spacing w:line="240" w:lineRule="auto"/>
              <w:jc w:val="center"/>
              <w:rPr>
                <w:sz w:val="22"/>
                <w:szCs w:val="22"/>
              </w:rPr>
            </w:pPr>
          </w:p>
        </w:tc>
      </w:tr>
    </w:tbl>
    <w:p w:rsidR="007E373D" w:rsidRDefault="007E373D" w:rsidP="00C43BF7">
      <w:pPr>
        <w:rPr>
          <w:sz w:val="22"/>
          <w:szCs w:val="22"/>
        </w:rPr>
      </w:pPr>
    </w:p>
    <w:p w:rsidR="00494386" w:rsidRPr="001F2857" w:rsidRDefault="00494386" w:rsidP="00AB2747">
      <w:pPr>
        <w:rPr>
          <w:sz w:val="10"/>
          <w:szCs w:val="22"/>
        </w:rPr>
      </w:pPr>
    </w:p>
    <w:p w:rsidR="00C022F5" w:rsidRDefault="00CE4097" w:rsidP="00C43BF7">
      <w:pPr>
        <w:rPr>
          <w:sz w:val="22"/>
          <w:szCs w:val="22"/>
        </w:rPr>
      </w:pPr>
      <w:r w:rsidRPr="00F53BB6">
        <w:rPr>
          <w:sz w:val="22"/>
          <w:szCs w:val="22"/>
        </w:rPr>
        <w:t xml:space="preserve">It </w:t>
      </w:r>
      <w:r w:rsidR="00295EF2" w:rsidRPr="00F53BB6">
        <w:rPr>
          <w:sz w:val="22"/>
          <w:szCs w:val="22"/>
        </w:rPr>
        <w:t>is further</w:t>
      </w:r>
      <w:r w:rsidR="00C022F5" w:rsidRPr="00F53BB6">
        <w:rPr>
          <w:sz w:val="22"/>
          <w:szCs w:val="22"/>
        </w:rPr>
        <w:t xml:space="preserve"> </w:t>
      </w:r>
      <w:r w:rsidRPr="00F53BB6">
        <w:rPr>
          <w:sz w:val="22"/>
          <w:szCs w:val="22"/>
        </w:rPr>
        <w:t xml:space="preserve">submitted that </w:t>
      </w:r>
      <w:r w:rsidR="007F785F" w:rsidRPr="00F53BB6">
        <w:rPr>
          <w:sz w:val="22"/>
          <w:szCs w:val="22"/>
        </w:rPr>
        <w:t>clause 6.</w:t>
      </w:r>
      <w:r w:rsidR="007F785F">
        <w:rPr>
          <w:sz w:val="22"/>
          <w:szCs w:val="22"/>
        </w:rPr>
        <w:t>41</w:t>
      </w:r>
      <w:r w:rsidR="007F785F" w:rsidRPr="00F53BB6">
        <w:rPr>
          <w:sz w:val="22"/>
          <w:szCs w:val="22"/>
        </w:rPr>
        <w:t xml:space="preserve"> of MYT Regulations</w:t>
      </w:r>
      <w:r w:rsidR="00450EF3">
        <w:rPr>
          <w:sz w:val="22"/>
          <w:szCs w:val="22"/>
        </w:rPr>
        <w:t xml:space="preserve">, 2011 </w:t>
      </w:r>
      <w:r w:rsidR="00450EF3" w:rsidRPr="00F53BB6">
        <w:rPr>
          <w:sz w:val="22"/>
          <w:szCs w:val="22"/>
        </w:rPr>
        <w:t>provides</w:t>
      </w:r>
      <w:r w:rsidR="007F785F" w:rsidRPr="00F53BB6">
        <w:rPr>
          <w:sz w:val="22"/>
          <w:szCs w:val="22"/>
        </w:rPr>
        <w:t xml:space="preserve"> that O&amp;M expenses for base year shall be determined based on latest </w:t>
      </w:r>
      <w:r w:rsidR="007F785F">
        <w:rPr>
          <w:sz w:val="22"/>
          <w:szCs w:val="22"/>
        </w:rPr>
        <w:t>accounting statements</w:t>
      </w:r>
      <w:r w:rsidR="007F785F" w:rsidRPr="00F53BB6">
        <w:rPr>
          <w:sz w:val="22"/>
          <w:szCs w:val="22"/>
        </w:rPr>
        <w:t xml:space="preserve">, estimates </w:t>
      </w:r>
      <w:r w:rsidR="00446B29">
        <w:rPr>
          <w:sz w:val="22"/>
          <w:szCs w:val="22"/>
        </w:rPr>
        <w:t xml:space="preserve">of the generating company </w:t>
      </w:r>
      <w:r w:rsidR="007F785F" w:rsidRPr="00F53BB6">
        <w:rPr>
          <w:sz w:val="22"/>
          <w:szCs w:val="22"/>
        </w:rPr>
        <w:t>for relevant years and other factors considered relevant</w:t>
      </w:r>
      <w:r w:rsidRPr="00F53BB6">
        <w:rPr>
          <w:sz w:val="22"/>
          <w:szCs w:val="22"/>
        </w:rPr>
        <w:t>.</w:t>
      </w:r>
      <w:r w:rsidR="00C36E5C" w:rsidRPr="00F53BB6">
        <w:rPr>
          <w:sz w:val="22"/>
          <w:szCs w:val="22"/>
        </w:rPr>
        <w:t xml:space="preserve"> </w:t>
      </w:r>
    </w:p>
    <w:p w:rsidR="00CA07D4" w:rsidRDefault="00A470CB" w:rsidP="00A470CB">
      <w:pPr>
        <w:autoSpaceDE w:val="0"/>
        <w:autoSpaceDN w:val="0"/>
        <w:adjustRightInd w:val="0"/>
        <w:spacing w:before="240"/>
        <w:rPr>
          <w:rFonts w:cs="Bookman Old Style"/>
          <w:iCs/>
          <w:sz w:val="22"/>
          <w:szCs w:val="22"/>
          <w:lang w:eastAsia="en-IN"/>
        </w:rPr>
      </w:pPr>
      <w:r>
        <w:rPr>
          <w:rFonts w:cs="Bookman Old Style"/>
          <w:iCs/>
          <w:sz w:val="22"/>
          <w:szCs w:val="22"/>
          <w:lang w:eastAsia="en-IN"/>
        </w:rPr>
        <w:lastRenderedPageBreak/>
        <w:t>Summary of O&amp;M cost work out by escalating revised O&amp;M of FY 14-15, for FY 15-16 and previous years of current MYT period on actual basis is given as under :</w:t>
      </w:r>
    </w:p>
    <w:p w:rsidR="00CA07D4" w:rsidRPr="00377C5D" w:rsidRDefault="00CA07D4" w:rsidP="00CA07D4">
      <w:pPr>
        <w:pStyle w:val="Caption"/>
        <w:jc w:val="center"/>
      </w:pPr>
      <w:bookmarkStart w:id="62" w:name="_Toc173941711"/>
      <w:bookmarkStart w:id="63" w:name="_Toc174434524"/>
      <w:bookmarkStart w:id="64" w:name="_Toc411604004"/>
      <w:r>
        <w:t xml:space="preserve">Table </w:t>
      </w:r>
      <w:fldSimple w:instr=" SEQ Table \* ARABIC ">
        <w:r w:rsidR="002326CE">
          <w:rPr>
            <w:noProof/>
          </w:rPr>
          <w:t>27</w:t>
        </w:r>
      </w:fldSimple>
      <w:r>
        <w:t xml:space="preserve"> : </w:t>
      </w:r>
      <w:r w:rsidRPr="00377C5D">
        <w:t>O&amp;M Cost for IPGCL Power Plants</w:t>
      </w:r>
      <w:bookmarkEnd w:id="62"/>
      <w:bookmarkEnd w:id="63"/>
      <w:bookmarkEnd w:id="64"/>
    </w:p>
    <w:tbl>
      <w:tblPr>
        <w:tblW w:w="7740" w:type="dxa"/>
        <w:tblInd w:w="1008" w:type="dxa"/>
        <w:tblLook w:val="0000"/>
      </w:tblPr>
      <w:tblGrid>
        <w:gridCol w:w="2398"/>
        <w:gridCol w:w="1422"/>
        <w:gridCol w:w="1251"/>
        <w:gridCol w:w="1251"/>
        <w:gridCol w:w="1418"/>
      </w:tblGrid>
      <w:tr w:rsidR="00CA07D4" w:rsidTr="009F2B7D">
        <w:trPr>
          <w:trHeight w:val="323"/>
        </w:trPr>
        <w:tc>
          <w:tcPr>
            <w:tcW w:w="2503" w:type="dxa"/>
            <w:tcBorders>
              <w:top w:val="single" w:sz="4" w:space="0" w:color="auto"/>
              <w:left w:val="single" w:sz="4" w:space="0" w:color="auto"/>
              <w:bottom w:val="single" w:sz="4" w:space="0" w:color="auto"/>
              <w:right w:val="single" w:sz="4" w:space="0" w:color="auto"/>
            </w:tcBorders>
            <w:shd w:val="clear" w:color="auto" w:fill="000080"/>
            <w:vAlign w:val="center"/>
          </w:tcPr>
          <w:p w:rsidR="00CA07D4" w:rsidRDefault="00CA07D4" w:rsidP="00191270">
            <w:pPr>
              <w:spacing w:line="240" w:lineRule="auto"/>
              <w:jc w:val="left"/>
              <w:rPr>
                <w:b/>
                <w:bCs/>
                <w:color w:val="FFFFFF"/>
                <w:sz w:val="20"/>
                <w:szCs w:val="20"/>
              </w:rPr>
            </w:pPr>
            <w:r>
              <w:rPr>
                <w:b/>
                <w:bCs/>
                <w:color w:val="FFFFFF"/>
                <w:sz w:val="20"/>
                <w:szCs w:val="20"/>
              </w:rPr>
              <w:t xml:space="preserve">Particulars </w:t>
            </w:r>
          </w:p>
          <w:p w:rsidR="00CA07D4" w:rsidRDefault="00CA07D4" w:rsidP="00191270">
            <w:pPr>
              <w:spacing w:line="240" w:lineRule="auto"/>
              <w:jc w:val="left"/>
              <w:rPr>
                <w:b/>
                <w:bCs/>
                <w:color w:val="FFFFFF"/>
                <w:sz w:val="20"/>
                <w:szCs w:val="20"/>
              </w:rPr>
            </w:pPr>
            <w:r>
              <w:rPr>
                <w:b/>
                <w:bCs/>
                <w:color w:val="FFFFFF"/>
                <w:sz w:val="20"/>
                <w:szCs w:val="20"/>
              </w:rPr>
              <w:t>(Rs. Crores)</w:t>
            </w:r>
          </w:p>
        </w:tc>
        <w:tc>
          <w:tcPr>
            <w:tcW w:w="1475" w:type="dxa"/>
            <w:tcBorders>
              <w:top w:val="single" w:sz="4" w:space="0" w:color="auto"/>
              <w:left w:val="nil"/>
              <w:bottom w:val="single" w:sz="4" w:space="0" w:color="auto"/>
              <w:right w:val="single" w:sz="4" w:space="0" w:color="auto"/>
            </w:tcBorders>
            <w:shd w:val="clear" w:color="auto" w:fill="000080"/>
            <w:vAlign w:val="center"/>
          </w:tcPr>
          <w:p w:rsidR="00CA07D4" w:rsidRDefault="00CA07D4" w:rsidP="00191270">
            <w:pPr>
              <w:spacing w:line="240" w:lineRule="auto"/>
              <w:rPr>
                <w:rFonts w:cs="Arial"/>
                <w:b/>
                <w:bCs/>
                <w:sz w:val="20"/>
                <w:szCs w:val="20"/>
              </w:rPr>
            </w:pPr>
            <w:r>
              <w:rPr>
                <w:rFonts w:cs="Arial"/>
                <w:b/>
                <w:bCs/>
                <w:sz w:val="20"/>
                <w:szCs w:val="20"/>
              </w:rPr>
              <w:t>12-13</w:t>
            </w:r>
          </w:p>
        </w:tc>
        <w:tc>
          <w:tcPr>
            <w:tcW w:w="1289" w:type="dxa"/>
            <w:tcBorders>
              <w:top w:val="single" w:sz="4" w:space="0" w:color="auto"/>
              <w:left w:val="nil"/>
              <w:bottom w:val="single" w:sz="4" w:space="0" w:color="auto"/>
              <w:right w:val="single" w:sz="4" w:space="0" w:color="auto"/>
            </w:tcBorders>
            <w:shd w:val="clear" w:color="auto" w:fill="000080"/>
            <w:vAlign w:val="center"/>
          </w:tcPr>
          <w:p w:rsidR="00CA07D4" w:rsidRDefault="00CA07D4" w:rsidP="00191270">
            <w:pPr>
              <w:spacing w:line="240" w:lineRule="auto"/>
              <w:rPr>
                <w:rFonts w:cs="Arial"/>
                <w:b/>
                <w:bCs/>
                <w:sz w:val="20"/>
                <w:szCs w:val="20"/>
              </w:rPr>
            </w:pPr>
            <w:r>
              <w:rPr>
                <w:rFonts w:cs="Arial"/>
                <w:b/>
                <w:bCs/>
                <w:sz w:val="20"/>
                <w:szCs w:val="20"/>
              </w:rPr>
              <w:t>13-14</w:t>
            </w:r>
          </w:p>
        </w:tc>
        <w:tc>
          <w:tcPr>
            <w:tcW w:w="1289" w:type="dxa"/>
            <w:tcBorders>
              <w:top w:val="single" w:sz="4" w:space="0" w:color="auto"/>
              <w:left w:val="nil"/>
              <w:bottom w:val="single" w:sz="4" w:space="0" w:color="auto"/>
              <w:right w:val="single" w:sz="4" w:space="0" w:color="auto"/>
            </w:tcBorders>
            <w:shd w:val="clear" w:color="auto" w:fill="000080"/>
            <w:vAlign w:val="center"/>
          </w:tcPr>
          <w:p w:rsidR="00CA07D4" w:rsidRDefault="00CA07D4" w:rsidP="00191270">
            <w:pPr>
              <w:spacing w:line="240" w:lineRule="auto"/>
              <w:rPr>
                <w:rFonts w:cs="Arial"/>
                <w:b/>
                <w:bCs/>
                <w:sz w:val="20"/>
                <w:szCs w:val="20"/>
              </w:rPr>
            </w:pPr>
            <w:r>
              <w:rPr>
                <w:rFonts w:cs="Arial"/>
                <w:b/>
                <w:bCs/>
                <w:sz w:val="20"/>
                <w:szCs w:val="20"/>
              </w:rPr>
              <w:t>14-15</w:t>
            </w:r>
          </w:p>
        </w:tc>
        <w:tc>
          <w:tcPr>
            <w:tcW w:w="1184" w:type="dxa"/>
            <w:tcBorders>
              <w:top w:val="single" w:sz="4" w:space="0" w:color="auto"/>
              <w:left w:val="nil"/>
              <w:bottom w:val="single" w:sz="4" w:space="0" w:color="auto"/>
              <w:right w:val="single" w:sz="4" w:space="0" w:color="auto"/>
            </w:tcBorders>
            <w:shd w:val="clear" w:color="auto" w:fill="000080"/>
            <w:vAlign w:val="center"/>
          </w:tcPr>
          <w:p w:rsidR="00F71DD6" w:rsidRDefault="00F71DD6" w:rsidP="00F71DD6">
            <w:pPr>
              <w:spacing w:line="240" w:lineRule="auto"/>
              <w:jc w:val="center"/>
              <w:rPr>
                <w:b/>
                <w:sz w:val="22"/>
                <w:szCs w:val="22"/>
              </w:rPr>
            </w:pPr>
            <w:r>
              <w:rPr>
                <w:b/>
                <w:sz w:val="22"/>
                <w:szCs w:val="22"/>
              </w:rPr>
              <w:t>15-16</w:t>
            </w:r>
          </w:p>
          <w:p w:rsidR="00CA07D4" w:rsidRDefault="00F71DD6" w:rsidP="00F71DD6">
            <w:pPr>
              <w:spacing w:line="240" w:lineRule="auto"/>
              <w:rPr>
                <w:b/>
                <w:bCs/>
                <w:color w:val="FFFFFF"/>
                <w:sz w:val="20"/>
                <w:szCs w:val="20"/>
              </w:rPr>
            </w:pPr>
            <w:r>
              <w:rPr>
                <w:b/>
                <w:sz w:val="22"/>
                <w:szCs w:val="22"/>
              </w:rPr>
              <w:t>(Estimated)</w:t>
            </w:r>
          </w:p>
        </w:tc>
      </w:tr>
      <w:tr w:rsidR="00CA07D4" w:rsidTr="009F2B7D">
        <w:trPr>
          <w:trHeight w:val="291"/>
        </w:trPr>
        <w:tc>
          <w:tcPr>
            <w:tcW w:w="2503" w:type="dxa"/>
            <w:tcBorders>
              <w:top w:val="nil"/>
              <w:left w:val="single" w:sz="4" w:space="0" w:color="auto"/>
              <w:bottom w:val="single" w:sz="4" w:space="0" w:color="auto"/>
              <w:right w:val="single" w:sz="4" w:space="0" w:color="auto"/>
            </w:tcBorders>
            <w:shd w:val="clear" w:color="auto" w:fill="auto"/>
            <w:vAlign w:val="center"/>
          </w:tcPr>
          <w:p w:rsidR="00CA07D4" w:rsidRDefault="00CA07D4" w:rsidP="00191270">
            <w:pPr>
              <w:jc w:val="left"/>
              <w:rPr>
                <w:sz w:val="20"/>
                <w:szCs w:val="20"/>
              </w:rPr>
            </w:pPr>
            <w:r>
              <w:rPr>
                <w:sz w:val="20"/>
                <w:szCs w:val="20"/>
              </w:rPr>
              <w:t>For RPH</w:t>
            </w:r>
          </w:p>
        </w:tc>
        <w:tc>
          <w:tcPr>
            <w:tcW w:w="1475"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sz w:val="20"/>
                <w:szCs w:val="20"/>
              </w:rPr>
            </w:pPr>
            <w:r w:rsidRPr="00244035">
              <w:rPr>
                <w:rFonts w:ascii="Arial" w:hAnsi="Arial"/>
                <w:sz w:val="20"/>
                <w:szCs w:val="20"/>
              </w:rPr>
              <w:t>73.67</w:t>
            </w:r>
          </w:p>
        </w:tc>
        <w:tc>
          <w:tcPr>
            <w:tcW w:w="1289"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sz w:val="20"/>
                <w:szCs w:val="20"/>
              </w:rPr>
            </w:pPr>
            <w:r w:rsidRPr="00244035">
              <w:rPr>
                <w:rFonts w:ascii="Arial" w:hAnsi="Arial"/>
                <w:sz w:val="20"/>
                <w:szCs w:val="20"/>
              </w:rPr>
              <w:t>72.69</w:t>
            </w:r>
          </w:p>
        </w:tc>
        <w:tc>
          <w:tcPr>
            <w:tcW w:w="1289"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sz w:val="20"/>
                <w:szCs w:val="20"/>
              </w:rPr>
            </w:pPr>
            <w:r w:rsidRPr="00244035">
              <w:rPr>
                <w:rFonts w:ascii="Arial" w:hAnsi="Arial"/>
                <w:sz w:val="20"/>
                <w:szCs w:val="20"/>
              </w:rPr>
              <w:t>76.21</w:t>
            </w:r>
          </w:p>
        </w:tc>
        <w:tc>
          <w:tcPr>
            <w:tcW w:w="1184" w:type="dxa"/>
            <w:tcBorders>
              <w:top w:val="nil"/>
              <w:left w:val="nil"/>
              <w:bottom w:val="single" w:sz="4" w:space="0" w:color="auto"/>
              <w:right w:val="single" w:sz="4" w:space="0" w:color="auto"/>
            </w:tcBorders>
            <w:shd w:val="clear" w:color="auto" w:fill="auto"/>
            <w:vAlign w:val="center"/>
          </w:tcPr>
          <w:p w:rsidR="00CA07D4" w:rsidRPr="00244035" w:rsidRDefault="005725D4" w:rsidP="00191270">
            <w:pPr>
              <w:jc w:val="center"/>
              <w:rPr>
                <w:rFonts w:ascii="Arial" w:hAnsi="Arial"/>
                <w:sz w:val="20"/>
                <w:szCs w:val="20"/>
              </w:rPr>
            </w:pPr>
            <w:r>
              <w:rPr>
                <w:rFonts w:ascii="Arial" w:hAnsi="Arial"/>
                <w:sz w:val="20"/>
                <w:szCs w:val="20"/>
              </w:rPr>
              <w:t>82.70</w:t>
            </w:r>
          </w:p>
        </w:tc>
      </w:tr>
      <w:tr w:rsidR="00CA07D4" w:rsidTr="009F2B7D">
        <w:trPr>
          <w:trHeight w:val="278"/>
        </w:trPr>
        <w:tc>
          <w:tcPr>
            <w:tcW w:w="2503" w:type="dxa"/>
            <w:tcBorders>
              <w:top w:val="nil"/>
              <w:left w:val="single" w:sz="4" w:space="0" w:color="auto"/>
              <w:bottom w:val="single" w:sz="4" w:space="0" w:color="auto"/>
              <w:right w:val="single" w:sz="4" w:space="0" w:color="auto"/>
            </w:tcBorders>
            <w:shd w:val="clear" w:color="auto" w:fill="auto"/>
            <w:vAlign w:val="center"/>
          </w:tcPr>
          <w:p w:rsidR="00CA07D4" w:rsidRDefault="00CA07D4" w:rsidP="00191270">
            <w:pPr>
              <w:jc w:val="left"/>
              <w:rPr>
                <w:sz w:val="20"/>
                <w:szCs w:val="20"/>
              </w:rPr>
            </w:pPr>
            <w:r>
              <w:rPr>
                <w:sz w:val="20"/>
                <w:szCs w:val="20"/>
              </w:rPr>
              <w:t>For GTPS</w:t>
            </w:r>
          </w:p>
        </w:tc>
        <w:tc>
          <w:tcPr>
            <w:tcW w:w="1475"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sz w:val="20"/>
                <w:szCs w:val="20"/>
              </w:rPr>
            </w:pPr>
            <w:r w:rsidRPr="00244035">
              <w:rPr>
                <w:rFonts w:ascii="Arial" w:hAnsi="Arial"/>
                <w:sz w:val="20"/>
                <w:szCs w:val="20"/>
              </w:rPr>
              <w:t>84.18</w:t>
            </w:r>
          </w:p>
        </w:tc>
        <w:tc>
          <w:tcPr>
            <w:tcW w:w="1289"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sz w:val="20"/>
                <w:szCs w:val="20"/>
              </w:rPr>
            </w:pPr>
            <w:r w:rsidRPr="00244035">
              <w:rPr>
                <w:rFonts w:ascii="Arial" w:hAnsi="Arial"/>
                <w:sz w:val="20"/>
                <w:szCs w:val="20"/>
              </w:rPr>
              <w:t>65.15</w:t>
            </w:r>
          </w:p>
        </w:tc>
        <w:tc>
          <w:tcPr>
            <w:tcW w:w="1289"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sz w:val="20"/>
                <w:szCs w:val="20"/>
              </w:rPr>
            </w:pPr>
            <w:r w:rsidRPr="00244035">
              <w:rPr>
                <w:rFonts w:ascii="Arial" w:hAnsi="Arial"/>
                <w:sz w:val="20"/>
                <w:szCs w:val="20"/>
              </w:rPr>
              <w:t>63.92</w:t>
            </w:r>
          </w:p>
        </w:tc>
        <w:tc>
          <w:tcPr>
            <w:tcW w:w="1184" w:type="dxa"/>
            <w:tcBorders>
              <w:top w:val="nil"/>
              <w:left w:val="nil"/>
              <w:bottom w:val="single" w:sz="4" w:space="0" w:color="auto"/>
              <w:right w:val="single" w:sz="4" w:space="0" w:color="auto"/>
            </w:tcBorders>
            <w:shd w:val="clear" w:color="auto" w:fill="auto"/>
            <w:vAlign w:val="center"/>
          </w:tcPr>
          <w:p w:rsidR="00CA07D4" w:rsidRPr="00244035" w:rsidRDefault="005725D4" w:rsidP="00191270">
            <w:pPr>
              <w:jc w:val="center"/>
              <w:rPr>
                <w:rFonts w:ascii="Arial" w:hAnsi="Arial"/>
                <w:sz w:val="20"/>
                <w:szCs w:val="20"/>
              </w:rPr>
            </w:pPr>
            <w:r>
              <w:rPr>
                <w:rFonts w:ascii="Arial" w:hAnsi="Arial"/>
                <w:sz w:val="20"/>
                <w:szCs w:val="20"/>
              </w:rPr>
              <w:t>69.58</w:t>
            </w:r>
          </w:p>
        </w:tc>
      </w:tr>
      <w:tr w:rsidR="00CA07D4" w:rsidTr="009F2B7D">
        <w:trPr>
          <w:trHeight w:val="302"/>
        </w:trPr>
        <w:tc>
          <w:tcPr>
            <w:tcW w:w="2503" w:type="dxa"/>
            <w:tcBorders>
              <w:top w:val="nil"/>
              <w:left w:val="single" w:sz="4" w:space="0" w:color="auto"/>
              <w:bottom w:val="single" w:sz="4" w:space="0" w:color="auto"/>
              <w:right w:val="single" w:sz="4" w:space="0" w:color="auto"/>
            </w:tcBorders>
            <w:shd w:val="clear" w:color="auto" w:fill="auto"/>
            <w:vAlign w:val="center"/>
          </w:tcPr>
          <w:p w:rsidR="00CA07D4" w:rsidRDefault="00CA07D4" w:rsidP="00191270">
            <w:pPr>
              <w:spacing w:line="240" w:lineRule="auto"/>
              <w:jc w:val="left"/>
              <w:rPr>
                <w:b/>
                <w:bCs/>
                <w:sz w:val="20"/>
                <w:szCs w:val="20"/>
              </w:rPr>
            </w:pPr>
            <w:r>
              <w:rPr>
                <w:b/>
                <w:bCs/>
                <w:sz w:val="20"/>
                <w:szCs w:val="20"/>
              </w:rPr>
              <w:t>IPGCL</w:t>
            </w:r>
          </w:p>
          <w:p w:rsidR="00CA07D4" w:rsidRDefault="00CA07D4" w:rsidP="00191270">
            <w:pPr>
              <w:spacing w:line="240" w:lineRule="auto"/>
              <w:jc w:val="left"/>
              <w:rPr>
                <w:b/>
                <w:bCs/>
                <w:sz w:val="20"/>
                <w:szCs w:val="20"/>
              </w:rPr>
            </w:pPr>
            <w:r>
              <w:rPr>
                <w:b/>
                <w:bCs/>
                <w:sz w:val="20"/>
                <w:szCs w:val="20"/>
              </w:rPr>
              <w:t>(as a whole)</w:t>
            </w:r>
          </w:p>
        </w:tc>
        <w:tc>
          <w:tcPr>
            <w:tcW w:w="1475"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b/>
                <w:bCs/>
                <w:sz w:val="20"/>
                <w:szCs w:val="20"/>
              </w:rPr>
            </w:pPr>
            <w:r w:rsidRPr="00244035">
              <w:rPr>
                <w:rFonts w:ascii="Arial" w:hAnsi="Arial"/>
                <w:b/>
                <w:bCs/>
                <w:sz w:val="20"/>
                <w:szCs w:val="20"/>
              </w:rPr>
              <w:t>157.85</w:t>
            </w:r>
          </w:p>
        </w:tc>
        <w:tc>
          <w:tcPr>
            <w:tcW w:w="1289"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b/>
                <w:bCs/>
                <w:sz w:val="20"/>
                <w:szCs w:val="20"/>
              </w:rPr>
            </w:pPr>
            <w:r w:rsidRPr="00244035">
              <w:rPr>
                <w:rFonts w:ascii="Arial" w:hAnsi="Arial"/>
                <w:b/>
                <w:bCs/>
                <w:sz w:val="20"/>
                <w:szCs w:val="20"/>
              </w:rPr>
              <w:t>137.84</w:t>
            </w:r>
          </w:p>
        </w:tc>
        <w:tc>
          <w:tcPr>
            <w:tcW w:w="1289" w:type="dxa"/>
            <w:tcBorders>
              <w:top w:val="nil"/>
              <w:left w:val="nil"/>
              <w:bottom w:val="single" w:sz="4" w:space="0" w:color="auto"/>
              <w:right w:val="single" w:sz="4" w:space="0" w:color="auto"/>
            </w:tcBorders>
            <w:shd w:val="clear" w:color="auto" w:fill="auto"/>
            <w:vAlign w:val="center"/>
          </w:tcPr>
          <w:p w:rsidR="00CA07D4" w:rsidRPr="00244035" w:rsidRDefault="00CA07D4" w:rsidP="00191270">
            <w:pPr>
              <w:jc w:val="center"/>
              <w:rPr>
                <w:rFonts w:ascii="Arial" w:hAnsi="Arial"/>
                <w:b/>
                <w:bCs/>
                <w:sz w:val="20"/>
                <w:szCs w:val="20"/>
              </w:rPr>
            </w:pPr>
            <w:r w:rsidRPr="00244035">
              <w:rPr>
                <w:rFonts w:ascii="Arial" w:hAnsi="Arial"/>
                <w:b/>
                <w:bCs/>
                <w:sz w:val="20"/>
                <w:szCs w:val="20"/>
              </w:rPr>
              <w:t>140.13</w:t>
            </w:r>
          </w:p>
        </w:tc>
        <w:tc>
          <w:tcPr>
            <w:tcW w:w="1184" w:type="dxa"/>
            <w:tcBorders>
              <w:top w:val="nil"/>
              <w:left w:val="nil"/>
              <w:bottom w:val="single" w:sz="4" w:space="0" w:color="auto"/>
              <w:right w:val="single" w:sz="4" w:space="0" w:color="auto"/>
            </w:tcBorders>
            <w:shd w:val="clear" w:color="auto" w:fill="auto"/>
            <w:vAlign w:val="center"/>
          </w:tcPr>
          <w:p w:rsidR="00CA07D4" w:rsidRPr="00244035" w:rsidRDefault="005725D4" w:rsidP="00191270">
            <w:pPr>
              <w:jc w:val="center"/>
              <w:rPr>
                <w:rFonts w:ascii="Arial" w:hAnsi="Arial"/>
                <w:b/>
                <w:bCs/>
                <w:sz w:val="20"/>
                <w:szCs w:val="20"/>
              </w:rPr>
            </w:pPr>
            <w:r>
              <w:rPr>
                <w:rFonts w:ascii="Arial" w:hAnsi="Arial"/>
                <w:b/>
                <w:bCs/>
                <w:sz w:val="20"/>
                <w:szCs w:val="20"/>
              </w:rPr>
              <w:t>152.28</w:t>
            </w:r>
          </w:p>
        </w:tc>
      </w:tr>
    </w:tbl>
    <w:p w:rsidR="00CA07D4" w:rsidRDefault="00CA07D4" w:rsidP="00C43BF7">
      <w:pPr>
        <w:rPr>
          <w:sz w:val="22"/>
          <w:szCs w:val="22"/>
        </w:rPr>
      </w:pPr>
    </w:p>
    <w:p w:rsidR="00C43BF7" w:rsidRPr="00DF198A" w:rsidRDefault="00C36E5C" w:rsidP="00C43BF7">
      <w:pPr>
        <w:rPr>
          <w:b/>
          <w:bCs/>
          <w:sz w:val="22"/>
          <w:szCs w:val="22"/>
        </w:rPr>
      </w:pPr>
      <w:r w:rsidRPr="00DF198A">
        <w:rPr>
          <w:b/>
          <w:bCs/>
          <w:sz w:val="22"/>
          <w:szCs w:val="22"/>
        </w:rPr>
        <w:t xml:space="preserve">Accordingly, </w:t>
      </w:r>
      <w:r w:rsidR="00EB0170">
        <w:rPr>
          <w:b/>
          <w:bCs/>
          <w:sz w:val="22"/>
          <w:szCs w:val="22"/>
        </w:rPr>
        <w:t xml:space="preserve">petitioner </w:t>
      </w:r>
      <w:r w:rsidR="00C43BF7" w:rsidRPr="00DF198A">
        <w:rPr>
          <w:b/>
          <w:bCs/>
          <w:sz w:val="22"/>
          <w:szCs w:val="22"/>
        </w:rPr>
        <w:t xml:space="preserve">requests </w:t>
      </w:r>
      <w:r w:rsidR="00FE0D55">
        <w:rPr>
          <w:b/>
          <w:bCs/>
          <w:sz w:val="22"/>
          <w:szCs w:val="22"/>
        </w:rPr>
        <w:t xml:space="preserve">the Hon’ble Commission </w:t>
      </w:r>
      <w:r w:rsidR="00C43BF7" w:rsidRPr="00DF198A">
        <w:rPr>
          <w:b/>
          <w:bCs/>
          <w:sz w:val="22"/>
          <w:szCs w:val="22"/>
        </w:rPr>
        <w:t xml:space="preserve">to approve the O&amp;M costs as </w:t>
      </w:r>
      <w:r w:rsidR="004C0254">
        <w:rPr>
          <w:b/>
          <w:bCs/>
          <w:sz w:val="22"/>
          <w:szCs w:val="22"/>
        </w:rPr>
        <w:t>per actual</w:t>
      </w:r>
      <w:r w:rsidRPr="00DF198A">
        <w:rPr>
          <w:b/>
          <w:bCs/>
          <w:sz w:val="22"/>
          <w:szCs w:val="22"/>
        </w:rPr>
        <w:t xml:space="preserve"> for FY 201</w:t>
      </w:r>
      <w:r w:rsidR="00FE0D55">
        <w:rPr>
          <w:b/>
          <w:bCs/>
          <w:sz w:val="22"/>
          <w:szCs w:val="22"/>
        </w:rPr>
        <w:t>2</w:t>
      </w:r>
      <w:r w:rsidRPr="00DF198A">
        <w:rPr>
          <w:b/>
          <w:bCs/>
          <w:sz w:val="22"/>
          <w:szCs w:val="22"/>
        </w:rPr>
        <w:t>-1</w:t>
      </w:r>
      <w:r w:rsidR="00FE0D55">
        <w:rPr>
          <w:b/>
          <w:bCs/>
          <w:sz w:val="22"/>
          <w:szCs w:val="22"/>
        </w:rPr>
        <w:t>3 to FY 2014-15</w:t>
      </w:r>
      <w:r w:rsidRPr="00DF198A">
        <w:rPr>
          <w:b/>
          <w:bCs/>
          <w:sz w:val="22"/>
          <w:szCs w:val="22"/>
        </w:rPr>
        <w:t xml:space="preserve"> and </w:t>
      </w:r>
      <w:r w:rsidR="004C0254">
        <w:rPr>
          <w:b/>
          <w:bCs/>
          <w:sz w:val="22"/>
          <w:szCs w:val="22"/>
        </w:rPr>
        <w:t xml:space="preserve">as estimated for </w:t>
      </w:r>
      <w:r w:rsidRPr="00DF198A">
        <w:rPr>
          <w:b/>
          <w:bCs/>
          <w:sz w:val="22"/>
          <w:szCs w:val="22"/>
        </w:rPr>
        <w:t xml:space="preserve"> FY 201</w:t>
      </w:r>
      <w:r w:rsidR="004C0254">
        <w:rPr>
          <w:b/>
          <w:bCs/>
          <w:sz w:val="22"/>
          <w:szCs w:val="22"/>
        </w:rPr>
        <w:t>5-16</w:t>
      </w:r>
      <w:r w:rsidRPr="00DF198A">
        <w:rPr>
          <w:b/>
          <w:bCs/>
          <w:sz w:val="22"/>
          <w:szCs w:val="22"/>
        </w:rPr>
        <w:t xml:space="preserve">. </w:t>
      </w:r>
      <w:r w:rsidR="00C43BF7" w:rsidRPr="00DF198A">
        <w:rPr>
          <w:b/>
          <w:bCs/>
          <w:sz w:val="22"/>
          <w:szCs w:val="22"/>
        </w:rPr>
        <w:t xml:space="preserve"> </w:t>
      </w:r>
    </w:p>
    <w:p w:rsidR="003F44CD" w:rsidRDefault="00C43BF7" w:rsidP="003F44CD">
      <w:pPr>
        <w:pStyle w:val="Heading3"/>
        <w:numPr>
          <w:ilvl w:val="2"/>
          <w:numId w:val="9"/>
        </w:numPr>
        <w:spacing w:line="240" w:lineRule="auto"/>
      </w:pPr>
      <w:bookmarkStart w:id="65" w:name="_Toc173941682"/>
      <w:bookmarkStart w:id="66" w:name="_Toc411605252"/>
      <w:r>
        <w:t>Interest on Loan</w:t>
      </w:r>
      <w:bookmarkEnd w:id="65"/>
      <w:bookmarkEnd w:id="66"/>
      <w:r>
        <w:t xml:space="preserve"> </w:t>
      </w:r>
    </w:p>
    <w:p w:rsidR="003F44CD" w:rsidRPr="003F44CD" w:rsidRDefault="003F44CD" w:rsidP="003F44CD"/>
    <w:p w:rsidR="00C43BF7" w:rsidRDefault="00A24C61" w:rsidP="00C43BF7">
      <w:pPr>
        <w:rPr>
          <w:sz w:val="22"/>
          <w:szCs w:val="22"/>
        </w:rPr>
      </w:pPr>
      <w:r>
        <w:rPr>
          <w:sz w:val="22"/>
          <w:szCs w:val="22"/>
        </w:rPr>
        <w:t>I</w:t>
      </w:r>
      <w:r w:rsidR="00C43BF7">
        <w:rPr>
          <w:sz w:val="22"/>
          <w:szCs w:val="22"/>
        </w:rPr>
        <w:t xml:space="preserve">nterest </w:t>
      </w:r>
      <w:r w:rsidR="00295EF2">
        <w:rPr>
          <w:sz w:val="22"/>
          <w:szCs w:val="22"/>
        </w:rPr>
        <w:t>on loans</w:t>
      </w:r>
      <w:r w:rsidR="00C43BF7">
        <w:rPr>
          <w:sz w:val="22"/>
          <w:szCs w:val="22"/>
        </w:rPr>
        <w:t xml:space="preserve"> depends on the outstanding loan, repayments, and </w:t>
      </w:r>
      <w:r w:rsidR="008E3B78">
        <w:rPr>
          <w:sz w:val="22"/>
          <w:szCs w:val="22"/>
        </w:rPr>
        <w:t xml:space="preserve">applicable </w:t>
      </w:r>
      <w:r w:rsidR="00C43BF7">
        <w:rPr>
          <w:sz w:val="22"/>
          <w:szCs w:val="22"/>
        </w:rPr>
        <w:t xml:space="preserve">interest rates. Further, the capital </w:t>
      </w:r>
      <w:r w:rsidR="00295EF2">
        <w:rPr>
          <w:sz w:val="22"/>
          <w:szCs w:val="22"/>
        </w:rPr>
        <w:t>additions funding</w:t>
      </w:r>
      <w:r w:rsidR="00C43BF7">
        <w:rPr>
          <w:sz w:val="22"/>
          <w:szCs w:val="22"/>
        </w:rPr>
        <w:t xml:space="preserve"> also have a bearing on the interest </w:t>
      </w:r>
      <w:r w:rsidR="00E00AB7">
        <w:rPr>
          <w:sz w:val="22"/>
          <w:szCs w:val="22"/>
        </w:rPr>
        <w:t>cost</w:t>
      </w:r>
      <w:r w:rsidR="00C43BF7">
        <w:rPr>
          <w:sz w:val="22"/>
          <w:szCs w:val="22"/>
        </w:rPr>
        <w:t>.</w:t>
      </w:r>
    </w:p>
    <w:p w:rsidR="007A40EC" w:rsidRDefault="007A40EC" w:rsidP="00952623">
      <w:pPr>
        <w:spacing w:line="240" w:lineRule="auto"/>
        <w:rPr>
          <w:b/>
          <w:bCs/>
          <w:sz w:val="22"/>
          <w:szCs w:val="22"/>
          <w:u w:val="single"/>
        </w:rPr>
      </w:pPr>
      <w:r w:rsidRPr="003C2ADC">
        <w:rPr>
          <w:b/>
          <w:bCs/>
          <w:sz w:val="22"/>
          <w:szCs w:val="22"/>
          <w:u w:val="single"/>
        </w:rPr>
        <w:t>Loan from Holding Company:</w:t>
      </w:r>
    </w:p>
    <w:p w:rsidR="003F44CD" w:rsidRPr="003C2ADC" w:rsidRDefault="003F44CD" w:rsidP="00952623">
      <w:pPr>
        <w:spacing w:line="240" w:lineRule="auto"/>
        <w:rPr>
          <w:b/>
          <w:bCs/>
          <w:sz w:val="22"/>
          <w:szCs w:val="22"/>
          <w:u w:val="single"/>
        </w:rPr>
      </w:pPr>
    </w:p>
    <w:p w:rsidR="00C43BF7" w:rsidRDefault="00C43BF7" w:rsidP="003F44CD">
      <w:pPr>
        <w:pStyle w:val="BodyText"/>
        <w:rPr>
          <w:rFonts w:ascii="Century Gothic" w:hAnsi="Century Gothic"/>
          <w:szCs w:val="22"/>
        </w:rPr>
      </w:pPr>
      <w:r>
        <w:rPr>
          <w:rFonts w:ascii="Century Gothic" w:hAnsi="Century Gothic"/>
          <w:szCs w:val="22"/>
        </w:rPr>
        <w:t xml:space="preserve">As per the Delhi Electricity Reforms (Transfer Scheme) Rules 2001, Rs. 210 Crore of unsecured loan </w:t>
      </w:r>
      <w:r w:rsidR="00FF5F63">
        <w:rPr>
          <w:rFonts w:ascii="Century Gothic" w:hAnsi="Century Gothic"/>
          <w:szCs w:val="22"/>
        </w:rPr>
        <w:t>was</w:t>
      </w:r>
      <w:r w:rsidR="008E3B78">
        <w:rPr>
          <w:rFonts w:ascii="Century Gothic" w:hAnsi="Century Gothic"/>
          <w:szCs w:val="22"/>
        </w:rPr>
        <w:t xml:space="preserve"> transferred to IPGCL </w:t>
      </w:r>
      <w:r>
        <w:rPr>
          <w:rFonts w:ascii="Century Gothic" w:hAnsi="Century Gothic"/>
          <w:szCs w:val="22"/>
        </w:rPr>
        <w:t>as on July 1, 2002</w:t>
      </w:r>
      <w:r w:rsidR="00D4094B">
        <w:rPr>
          <w:rFonts w:ascii="Century Gothic" w:hAnsi="Century Gothic"/>
          <w:szCs w:val="22"/>
        </w:rPr>
        <w:t xml:space="preserve"> and repayable to holding company</w:t>
      </w:r>
      <w:r>
        <w:rPr>
          <w:rFonts w:ascii="Century Gothic" w:hAnsi="Century Gothic"/>
          <w:szCs w:val="22"/>
        </w:rPr>
        <w:t>.</w:t>
      </w:r>
      <w:r w:rsidR="0018696E">
        <w:rPr>
          <w:rFonts w:ascii="Century Gothic" w:hAnsi="Century Gothic"/>
          <w:szCs w:val="22"/>
        </w:rPr>
        <w:t xml:space="preserve"> </w:t>
      </w:r>
      <w:r>
        <w:rPr>
          <w:rFonts w:ascii="Century Gothic" w:hAnsi="Century Gothic"/>
          <w:szCs w:val="22"/>
        </w:rPr>
        <w:t xml:space="preserve">This loan has been bifurcated station wise, based on </w:t>
      </w:r>
      <w:r w:rsidRPr="00CB3596">
        <w:rPr>
          <w:rFonts w:ascii="Century Gothic" w:hAnsi="Century Gothic"/>
          <w:szCs w:val="22"/>
        </w:rPr>
        <w:t>the gross fixed</w:t>
      </w:r>
      <w:r>
        <w:rPr>
          <w:rFonts w:ascii="Century Gothic" w:hAnsi="Century Gothic"/>
          <w:szCs w:val="22"/>
        </w:rPr>
        <w:t xml:space="preserve"> assets of the Company</w:t>
      </w:r>
      <w:r w:rsidR="00FB670F">
        <w:rPr>
          <w:rFonts w:ascii="Century Gothic" w:hAnsi="Century Gothic"/>
          <w:szCs w:val="22"/>
        </w:rPr>
        <w:t>,</w:t>
      </w:r>
      <w:r w:rsidR="00FB670F" w:rsidRPr="00FB670F">
        <w:rPr>
          <w:rFonts w:ascii="Century Gothic" w:hAnsi="Century Gothic"/>
          <w:szCs w:val="22"/>
        </w:rPr>
        <w:t xml:space="preserve"> </w:t>
      </w:r>
      <w:r w:rsidR="00FB670F">
        <w:rPr>
          <w:rFonts w:ascii="Century Gothic" w:hAnsi="Century Gothic"/>
          <w:szCs w:val="22"/>
        </w:rPr>
        <w:t>as under</w:t>
      </w:r>
      <w:r>
        <w:rPr>
          <w:rFonts w:ascii="Century Gothic" w:hAnsi="Century Gothic"/>
          <w:szCs w:val="22"/>
        </w:rPr>
        <w:t xml:space="preserve">: </w:t>
      </w:r>
    </w:p>
    <w:p w:rsidR="003F44CD" w:rsidRDefault="003F44CD" w:rsidP="00E27C97">
      <w:pPr>
        <w:pStyle w:val="BodyText"/>
        <w:spacing w:line="240" w:lineRule="auto"/>
        <w:rPr>
          <w:rFonts w:ascii="Century Gothic" w:hAnsi="Century Gothic"/>
          <w:szCs w:val="22"/>
        </w:rPr>
      </w:pPr>
    </w:p>
    <w:p w:rsidR="00C43BF7" w:rsidRPr="001F2857" w:rsidRDefault="001F2857" w:rsidP="00E27C97">
      <w:pPr>
        <w:pStyle w:val="Caption"/>
        <w:spacing w:line="240" w:lineRule="auto"/>
        <w:jc w:val="center"/>
      </w:pPr>
      <w:bookmarkStart w:id="67" w:name="_Toc173941712"/>
      <w:bookmarkStart w:id="68" w:name="_Toc174434525"/>
      <w:bookmarkStart w:id="69" w:name="_Toc411604005"/>
      <w:r>
        <w:t xml:space="preserve">Table </w:t>
      </w:r>
      <w:fldSimple w:instr=" SEQ Table \* ARABIC ">
        <w:r w:rsidR="002326CE">
          <w:rPr>
            <w:noProof/>
          </w:rPr>
          <w:t>28</w:t>
        </w:r>
      </w:fldSimple>
      <w:r>
        <w:t xml:space="preserve"> :</w:t>
      </w:r>
      <w:r w:rsidR="00C43BF7">
        <w:rPr>
          <w:sz w:val="20"/>
        </w:rPr>
        <w:t xml:space="preserve"> </w:t>
      </w:r>
      <w:r w:rsidR="00C43BF7" w:rsidRPr="001F2857">
        <w:t>Loan Bifurcation for IPGCL Plants</w:t>
      </w:r>
      <w:bookmarkEnd w:id="67"/>
      <w:bookmarkEnd w:id="68"/>
      <w:bookmarkEnd w:id="69"/>
    </w:p>
    <w:tbl>
      <w:tblPr>
        <w:tblW w:w="8727" w:type="dxa"/>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7"/>
        <w:gridCol w:w="4920"/>
      </w:tblGrid>
      <w:tr w:rsidR="00C43BF7">
        <w:trPr>
          <w:trHeight w:val="363"/>
          <w:jc w:val="center"/>
        </w:trPr>
        <w:tc>
          <w:tcPr>
            <w:tcW w:w="3807" w:type="dxa"/>
            <w:shd w:val="clear" w:color="auto" w:fill="000080"/>
          </w:tcPr>
          <w:p w:rsidR="00C43BF7" w:rsidRDefault="00C43BF7" w:rsidP="001F2857">
            <w:pPr>
              <w:jc w:val="center"/>
              <w:rPr>
                <w:b/>
                <w:bCs/>
                <w:color w:val="FFFFFF"/>
                <w:sz w:val="20"/>
                <w:szCs w:val="20"/>
              </w:rPr>
            </w:pPr>
            <w:r>
              <w:rPr>
                <w:b/>
                <w:bCs/>
                <w:color w:val="FFFFFF"/>
                <w:sz w:val="20"/>
                <w:szCs w:val="20"/>
              </w:rPr>
              <w:t>Power Stations</w:t>
            </w:r>
          </w:p>
        </w:tc>
        <w:tc>
          <w:tcPr>
            <w:tcW w:w="4920" w:type="dxa"/>
            <w:shd w:val="clear" w:color="auto" w:fill="000080"/>
          </w:tcPr>
          <w:p w:rsidR="00C43BF7" w:rsidRDefault="00C43BF7" w:rsidP="001F2857">
            <w:pPr>
              <w:jc w:val="center"/>
              <w:rPr>
                <w:b/>
                <w:bCs/>
                <w:color w:val="FFFFFF"/>
                <w:sz w:val="20"/>
                <w:szCs w:val="20"/>
              </w:rPr>
            </w:pPr>
            <w:r>
              <w:rPr>
                <w:b/>
                <w:bCs/>
                <w:color w:val="FFFFFF"/>
                <w:sz w:val="20"/>
                <w:szCs w:val="20"/>
              </w:rPr>
              <w:t>Rs.</w:t>
            </w:r>
            <w:r w:rsidR="00987BF9">
              <w:rPr>
                <w:b/>
                <w:bCs/>
                <w:color w:val="FFFFFF"/>
                <w:sz w:val="20"/>
                <w:szCs w:val="20"/>
              </w:rPr>
              <w:t xml:space="preserve"> </w:t>
            </w:r>
            <w:r>
              <w:rPr>
                <w:b/>
                <w:bCs/>
                <w:color w:val="FFFFFF"/>
                <w:sz w:val="20"/>
                <w:szCs w:val="20"/>
              </w:rPr>
              <w:t>in Crore</w:t>
            </w:r>
          </w:p>
        </w:tc>
      </w:tr>
      <w:tr w:rsidR="00C43BF7">
        <w:trPr>
          <w:trHeight w:val="251"/>
          <w:jc w:val="center"/>
        </w:trPr>
        <w:tc>
          <w:tcPr>
            <w:tcW w:w="3807" w:type="dxa"/>
          </w:tcPr>
          <w:p w:rsidR="00C43BF7" w:rsidRDefault="00C43BF7" w:rsidP="00FF1D71">
            <w:pPr>
              <w:spacing w:line="240" w:lineRule="auto"/>
              <w:ind w:left="268"/>
              <w:rPr>
                <w:sz w:val="20"/>
                <w:szCs w:val="20"/>
              </w:rPr>
            </w:pPr>
            <w:r>
              <w:rPr>
                <w:sz w:val="20"/>
                <w:szCs w:val="20"/>
              </w:rPr>
              <w:t>Rajghat Power Station</w:t>
            </w:r>
          </w:p>
        </w:tc>
        <w:tc>
          <w:tcPr>
            <w:tcW w:w="4920" w:type="dxa"/>
          </w:tcPr>
          <w:p w:rsidR="00C43BF7" w:rsidRPr="008A4212" w:rsidRDefault="00EA61FF" w:rsidP="00FF1D71">
            <w:pPr>
              <w:spacing w:line="240" w:lineRule="auto"/>
              <w:ind w:right="1729"/>
              <w:jc w:val="right"/>
              <w:rPr>
                <w:sz w:val="20"/>
                <w:szCs w:val="20"/>
              </w:rPr>
            </w:pPr>
            <w:r>
              <w:rPr>
                <w:sz w:val="20"/>
                <w:szCs w:val="20"/>
              </w:rPr>
              <w:t>16.26</w:t>
            </w:r>
          </w:p>
        </w:tc>
      </w:tr>
      <w:tr w:rsidR="00C43BF7">
        <w:trPr>
          <w:trHeight w:val="250"/>
          <w:jc w:val="center"/>
        </w:trPr>
        <w:tc>
          <w:tcPr>
            <w:tcW w:w="3807" w:type="dxa"/>
          </w:tcPr>
          <w:p w:rsidR="00C43BF7" w:rsidRDefault="00C43BF7" w:rsidP="00FF1D71">
            <w:pPr>
              <w:spacing w:line="240" w:lineRule="auto"/>
              <w:ind w:left="268"/>
              <w:rPr>
                <w:sz w:val="20"/>
                <w:szCs w:val="20"/>
              </w:rPr>
            </w:pPr>
            <w:r>
              <w:rPr>
                <w:sz w:val="20"/>
                <w:szCs w:val="20"/>
              </w:rPr>
              <w:t>GT Power Station</w:t>
            </w:r>
          </w:p>
        </w:tc>
        <w:tc>
          <w:tcPr>
            <w:tcW w:w="4920" w:type="dxa"/>
          </w:tcPr>
          <w:p w:rsidR="00C43BF7" w:rsidRPr="008A4212" w:rsidRDefault="00EA61FF" w:rsidP="00FF1D71">
            <w:pPr>
              <w:spacing w:line="240" w:lineRule="auto"/>
              <w:ind w:right="1729"/>
              <w:jc w:val="right"/>
              <w:rPr>
                <w:sz w:val="20"/>
                <w:szCs w:val="20"/>
              </w:rPr>
            </w:pPr>
            <w:r>
              <w:rPr>
                <w:sz w:val="20"/>
                <w:szCs w:val="20"/>
              </w:rPr>
              <w:t>32.96</w:t>
            </w:r>
          </w:p>
        </w:tc>
      </w:tr>
      <w:tr w:rsidR="00C43BF7">
        <w:trPr>
          <w:trHeight w:val="251"/>
          <w:jc w:val="center"/>
        </w:trPr>
        <w:tc>
          <w:tcPr>
            <w:tcW w:w="3807" w:type="dxa"/>
          </w:tcPr>
          <w:p w:rsidR="00C43BF7" w:rsidRDefault="00C43BF7" w:rsidP="00FF1D71">
            <w:pPr>
              <w:spacing w:line="240" w:lineRule="auto"/>
              <w:ind w:left="268"/>
              <w:rPr>
                <w:b/>
                <w:bCs/>
                <w:sz w:val="20"/>
                <w:szCs w:val="20"/>
              </w:rPr>
            </w:pPr>
            <w:r>
              <w:rPr>
                <w:b/>
                <w:bCs/>
                <w:sz w:val="20"/>
                <w:szCs w:val="20"/>
              </w:rPr>
              <w:t>Total</w:t>
            </w:r>
          </w:p>
        </w:tc>
        <w:tc>
          <w:tcPr>
            <w:tcW w:w="4920" w:type="dxa"/>
          </w:tcPr>
          <w:p w:rsidR="00C43BF7" w:rsidRPr="008A4212" w:rsidRDefault="00EA61FF" w:rsidP="00FF1D71">
            <w:pPr>
              <w:spacing w:line="240" w:lineRule="auto"/>
              <w:ind w:right="1729"/>
              <w:jc w:val="right"/>
              <w:rPr>
                <w:b/>
                <w:bCs/>
                <w:sz w:val="20"/>
                <w:szCs w:val="20"/>
              </w:rPr>
            </w:pPr>
            <w:r>
              <w:rPr>
                <w:b/>
                <w:bCs/>
                <w:sz w:val="20"/>
                <w:szCs w:val="20"/>
              </w:rPr>
              <w:t>49.22</w:t>
            </w:r>
          </w:p>
        </w:tc>
      </w:tr>
    </w:tbl>
    <w:p w:rsidR="003C2ADC" w:rsidRPr="00952623" w:rsidRDefault="003C2ADC" w:rsidP="007A40EC">
      <w:pPr>
        <w:rPr>
          <w:b/>
          <w:bCs/>
          <w:sz w:val="14"/>
          <w:szCs w:val="22"/>
          <w:u w:val="single"/>
        </w:rPr>
      </w:pPr>
    </w:p>
    <w:p w:rsidR="007A40EC" w:rsidRPr="003C2ADC" w:rsidRDefault="007A40EC" w:rsidP="00952623">
      <w:pPr>
        <w:spacing w:line="240" w:lineRule="auto"/>
        <w:rPr>
          <w:b/>
          <w:bCs/>
          <w:sz w:val="22"/>
          <w:szCs w:val="22"/>
          <w:u w:val="single"/>
        </w:rPr>
      </w:pPr>
      <w:r w:rsidRPr="003C2ADC">
        <w:rPr>
          <w:b/>
          <w:bCs/>
          <w:sz w:val="22"/>
          <w:szCs w:val="22"/>
          <w:u w:val="single"/>
        </w:rPr>
        <w:t xml:space="preserve">Loan From </w:t>
      </w:r>
      <w:smartTag w:uri="urn:schemas-microsoft-com:office:smarttags" w:element="place">
        <w:smartTag w:uri="urn:schemas-microsoft-com:office:smarttags" w:element="City">
          <w:r w:rsidRPr="003C2ADC">
            <w:rPr>
              <w:b/>
              <w:bCs/>
              <w:sz w:val="22"/>
              <w:szCs w:val="22"/>
              <w:u w:val="single"/>
            </w:rPr>
            <w:t>Delhi</w:t>
          </w:r>
        </w:smartTag>
      </w:smartTag>
      <w:r w:rsidRPr="003C2ADC">
        <w:rPr>
          <w:b/>
          <w:bCs/>
          <w:sz w:val="22"/>
          <w:szCs w:val="22"/>
          <w:u w:val="single"/>
        </w:rPr>
        <w:t xml:space="preserve"> Government</w:t>
      </w:r>
    </w:p>
    <w:p w:rsidR="002C0057" w:rsidRPr="00F85201" w:rsidRDefault="002C0057" w:rsidP="007A40EC">
      <w:pPr>
        <w:rPr>
          <w:color w:val="FF0000"/>
          <w:sz w:val="10"/>
          <w:szCs w:val="22"/>
          <w:u w:val="single"/>
        </w:rPr>
      </w:pPr>
    </w:p>
    <w:p w:rsidR="007A40EC" w:rsidRPr="008A4212" w:rsidRDefault="007A40EC" w:rsidP="007A40EC">
      <w:pPr>
        <w:rPr>
          <w:sz w:val="22"/>
          <w:szCs w:val="22"/>
        </w:rPr>
      </w:pPr>
      <w:r w:rsidRPr="008A4212">
        <w:rPr>
          <w:sz w:val="22"/>
          <w:szCs w:val="22"/>
        </w:rPr>
        <w:t>The Plan Funds Loan from Delhi Government were taken @ 13</w:t>
      </w:r>
      <w:r w:rsidR="00295EF2" w:rsidRPr="008A4212">
        <w:rPr>
          <w:sz w:val="22"/>
          <w:szCs w:val="22"/>
        </w:rPr>
        <w:t>% interest</w:t>
      </w:r>
      <w:r w:rsidRPr="008A4212">
        <w:rPr>
          <w:sz w:val="22"/>
          <w:szCs w:val="22"/>
        </w:rPr>
        <w:t xml:space="preserve"> in the                            FY 2002-03 &amp; </w:t>
      </w:r>
      <w:r w:rsidR="00295EF2" w:rsidRPr="008A4212">
        <w:rPr>
          <w:sz w:val="22"/>
          <w:szCs w:val="22"/>
        </w:rPr>
        <w:t>from FY</w:t>
      </w:r>
      <w:r w:rsidRPr="008A4212">
        <w:rPr>
          <w:sz w:val="22"/>
          <w:szCs w:val="22"/>
        </w:rPr>
        <w:t xml:space="preserve"> 2003-</w:t>
      </w:r>
      <w:r w:rsidR="001334A6" w:rsidRPr="008A4212">
        <w:rPr>
          <w:sz w:val="22"/>
          <w:szCs w:val="22"/>
        </w:rPr>
        <w:t>04 and</w:t>
      </w:r>
      <w:r w:rsidRPr="008A4212">
        <w:rPr>
          <w:sz w:val="22"/>
          <w:szCs w:val="22"/>
        </w:rPr>
        <w:t xml:space="preserve"> thereafter</w:t>
      </w:r>
      <w:r w:rsidR="00766696" w:rsidRPr="008A4212">
        <w:rPr>
          <w:sz w:val="22"/>
          <w:szCs w:val="22"/>
        </w:rPr>
        <w:t>,</w:t>
      </w:r>
      <w:r w:rsidRPr="008A4212">
        <w:rPr>
          <w:sz w:val="22"/>
          <w:szCs w:val="22"/>
        </w:rPr>
        <w:t xml:space="preserve"> the plan funds interest </w:t>
      </w:r>
      <w:r w:rsidR="00193801" w:rsidRPr="008A4212">
        <w:rPr>
          <w:sz w:val="22"/>
          <w:szCs w:val="22"/>
        </w:rPr>
        <w:t>rate is</w:t>
      </w:r>
      <w:r w:rsidRPr="008A4212">
        <w:rPr>
          <w:sz w:val="22"/>
          <w:szCs w:val="22"/>
        </w:rPr>
        <w:t xml:space="preserve"> @ 11.5</w:t>
      </w:r>
      <w:r w:rsidR="001A6464" w:rsidRPr="008A4212">
        <w:rPr>
          <w:sz w:val="22"/>
          <w:szCs w:val="22"/>
        </w:rPr>
        <w:t>0</w:t>
      </w:r>
      <w:r w:rsidRPr="008A4212">
        <w:rPr>
          <w:sz w:val="22"/>
          <w:szCs w:val="22"/>
        </w:rPr>
        <w:t>%.   A penal interest of 2</w:t>
      </w:r>
      <w:r w:rsidR="00EE2B4C" w:rsidRPr="008A4212">
        <w:rPr>
          <w:sz w:val="22"/>
          <w:szCs w:val="22"/>
        </w:rPr>
        <w:t>.75</w:t>
      </w:r>
      <w:r w:rsidRPr="008A4212">
        <w:rPr>
          <w:sz w:val="22"/>
          <w:szCs w:val="22"/>
        </w:rPr>
        <w:t xml:space="preserve">% is </w:t>
      </w:r>
      <w:r w:rsidR="00EF020C" w:rsidRPr="008A4212">
        <w:rPr>
          <w:sz w:val="22"/>
          <w:szCs w:val="22"/>
        </w:rPr>
        <w:t>payable</w:t>
      </w:r>
      <w:r w:rsidRPr="008A4212">
        <w:rPr>
          <w:sz w:val="22"/>
          <w:szCs w:val="22"/>
        </w:rPr>
        <w:t xml:space="preserve"> in case of default in timely payment of interest o</w:t>
      </w:r>
      <w:r w:rsidR="001A6464" w:rsidRPr="008A4212">
        <w:rPr>
          <w:sz w:val="22"/>
          <w:szCs w:val="22"/>
        </w:rPr>
        <w:t>n</w:t>
      </w:r>
      <w:r w:rsidRPr="008A4212">
        <w:rPr>
          <w:sz w:val="22"/>
          <w:szCs w:val="22"/>
        </w:rPr>
        <w:t xml:space="preserve"> princip</w:t>
      </w:r>
      <w:r w:rsidR="00963DA6" w:rsidRPr="008A4212">
        <w:rPr>
          <w:sz w:val="22"/>
          <w:szCs w:val="22"/>
        </w:rPr>
        <w:t>a</w:t>
      </w:r>
      <w:r w:rsidRPr="008A4212">
        <w:rPr>
          <w:sz w:val="22"/>
          <w:szCs w:val="22"/>
        </w:rPr>
        <w:t>l amount.</w:t>
      </w:r>
      <w:r w:rsidR="003A5809" w:rsidRPr="008A4212">
        <w:rPr>
          <w:sz w:val="22"/>
          <w:szCs w:val="22"/>
        </w:rPr>
        <w:t xml:space="preserve"> </w:t>
      </w:r>
      <w:r w:rsidR="00E05398" w:rsidRPr="008A4212">
        <w:rPr>
          <w:sz w:val="22"/>
          <w:szCs w:val="22"/>
        </w:rPr>
        <w:t>T</w:t>
      </w:r>
      <w:r w:rsidR="002B6C43" w:rsidRPr="008A4212">
        <w:rPr>
          <w:sz w:val="22"/>
          <w:szCs w:val="22"/>
        </w:rPr>
        <w:t>he</w:t>
      </w:r>
      <w:r w:rsidRPr="008A4212">
        <w:rPr>
          <w:sz w:val="22"/>
          <w:szCs w:val="22"/>
        </w:rPr>
        <w:t xml:space="preserve"> penal interest has been accounted in the ARR. </w:t>
      </w:r>
    </w:p>
    <w:p w:rsidR="00EF421D" w:rsidRPr="008A4212" w:rsidRDefault="00EF421D" w:rsidP="0062441A">
      <w:pPr>
        <w:pStyle w:val="Default"/>
        <w:spacing w:line="360" w:lineRule="auto"/>
        <w:jc w:val="both"/>
        <w:rPr>
          <w:rFonts w:ascii="Century Gothic" w:hAnsi="Century Gothic"/>
          <w:color w:val="auto"/>
          <w:sz w:val="10"/>
          <w:szCs w:val="22"/>
        </w:rPr>
      </w:pPr>
    </w:p>
    <w:p w:rsidR="0062441A" w:rsidRPr="00F85201" w:rsidRDefault="00744FF2" w:rsidP="0062441A">
      <w:pPr>
        <w:pStyle w:val="Default"/>
        <w:spacing w:line="360" w:lineRule="auto"/>
        <w:jc w:val="both"/>
        <w:rPr>
          <w:rFonts w:ascii="Century Gothic" w:hAnsi="Century Gothic"/>
          <w:color w:val="FF0000"/>
          <w:sz w:val="22"/>
          <w:szCs w:val="22"/>
        </w:rPr>
      </w:pPr>
      <w:r w:rsidRPr="008A4212">
        <w:rPr>
          <w:rFonts w:ascii="Century Gothic" w:hAnsi="Century Gothic"/>
          <w:color w:val="auto"/>
          <w:sz w:val="22"/>
          <w:szCs w:val="22"/>
        </w:rPr>
        <w:lastRenderedPageBreak/>
        <w:t>IPGCL</w:t>
      </w:r>
      <w:r w:rsidR="00FD3CAF" w:rsidRPr="008A4212">
        <w:rPr>
          <w:rFonts w:ascii="Century Gothic" w:hAnsi="Century Gothic"/>
          <w:color w:val="auto"/>
          <w:sz w:val="22"/>
          <w:szCs w:val="22"/>
        </w:rPr>
        <w:t xml:space="preserve"> has made certain capital additions during the Control period FY </w:t>
      </w:r>
      <w:r w:rsidR="00D04D6A" w:rsidRPr="008A4212">
        <w:rPr>
          <w:rFonts w:ascii="Century Gothic" w:hAnsi="Century Gothic"/>
          <w:color w:val="auto"/>
          <w:sz w:val="22"/>
          <w:szCs w:val="22"/>
        </w:rPr>
        <w:t>2012-13, 2013-14</w:t>
      </w:r>
      <w:r w:rsidR="00FD3CAF" w:rsidRPr="008A4212">
        <w:rPr>
          <w:rFonts w:ascii="Century Gothic" w:hAnsi="Century Gothic"/>
          <w:color w:val="auto"/>
          <w:sz w:val="22"/>
          <w:szCs w:val="22"/>
        </w:rPr>
        <w:t xml:space="preserve"> to FY </w:t>
      </w:r>
      <w:r w:rsidR="00D04D6A" w:rsidRPr="008A4212">
        <w:rPr>
          <w:rFonts w:ascii="Century Gothic" w:hAnsi="Century Gothic"/>
          <w:color w:val="auto"/>
          <w:sz w:val="22"/>
          <w:szCs w:val="22"/>
        </w:rPr>
        <w:t>2014-15</w:t>
      </w:r>
      <w:r w:rsidR="00FD3CAF" w:rsidRPr="008A4212">
        <w:rPr>
          <w:rFonts w:ascii="Century Gothic" w:hAnsi="Century Gothic"/>
          <w:color w:val="auto"/>
          <w:sz w:val="22"/>
          <w:szCs w:val="22"/>
        </w:rPr>
        <w:t xml:space="preserve">. The same has been funded through </w:t>
      </w:r>
      <w:r w:rsidR="0060552D" w:rsidRPr="008A4212">
        <w:rPr>
          <w:rFonts w:ascii="Century Gothic" w:hAnsi="Century Gothic"/>
          <w:color w:val="auto"/>
          <w:sz w:val="22"/>
          <w:szCs w:val="22"/>
        </w:rPr>
        <w:t>internal a</w:t>
      </w:r>
      <w:r w:rsidR="001A2BFC" w:rsidRPr="008A4212">
        <w:rPr>
          <w:rFonts w:ascii="Century Gothic" w:hAnsi="Century Gothic"/>
          <w:color w:val="auto"/>
          <w:sz w:val="22"/>
          <w:szCs w:val="22"/>
        </w:rPr>
        <w:t>ccruals</w:t>
      </w:r>
      <w:r w:rsidR="00945348" w:rsidRPr="008A4212">
        <w:rPr>
          <w:rFonts w:ascii="Century Gothic" w:hAnsi="Century Gothic"/>
          <w:color w:val="auto"/>
          <w:sz w:val="22"/>
          <w:szCs w:val="22"/>
        </w:rPr>
        <w:t>/ loan from GNCTD</w:t>
      </w:r>
      <w:r w:rsidR="00FD3CAF" w:rsidRPr="008A4212">
        <w:rPr>
          <w:rFonts w:ascii="Century Gothic" w:hAnsi="Century Gothic"/>
          <w:color w:val="auto"/>
          <w:sz w:val="22"/>
          <w:szCs w:val="22"/>
        </w:rPr>
        <w:t xml:space="preserve">. As per Regulation, 70% of the capital additions </w:t>
      </w:r>
      <w:r w:rsidR="00295EF2" w:rsidRPr="008A4212">
        <w:rPr>
          <w:rFonts w:ascii="Century Gothic" w:hAnsi="Century Gothic"/>
          <w:color w:val="auto"/>
          <w:sz w:val="22"/>
          <w:szCs w:val="22"/>
        </w:rPr>
        <w:t>have</w:t>
      </w:r>
      <w:r w:rsidR="00FD3CAF" w:rsidRPr="008A4212">
        <w:rPr>
          <w:rFonts w:ascii="Century Gothic" w:hAnsi="Century Gothic"/>
          <w:color w:val="auto"/>
          <w:sz w:val="22"/>
          <w:szCs w:val="22"/>
        </w:rPr>
        <w:t xml:space="preserve"> been considered to be funded through Loans.  Accordingly, interest on this </w:t>
      </w:r>
      <w:r w:rsidR="00E93CEA" w:rsidRPr="008A4212">
        <w:rPr>
          <w:rFonts w:ascii="Century Gothic" w:hAnsi="Century Gothic"/>
          <w:color w:val="auto"/>
          <w:sz w:val="22"/>
          <w:szCs w:val="22"/>
        </w:rPr>
        <w:t xml:space="preserve">normative </w:t>
      </w:r>
      <w:r w:rsidR="00E44268" w:rsidRPr="008A4212">
        <w:rPr>
          <w:rFonts w:ascii="Century Gothic" w:hAnsi="Century Gothic"/>
          <w:color w:val="auto"/>
          <w:sz w:val="22"/>
          <w:szCs w:val="22"/>
        </w:rPr>
        <w:t xml:space="preserve">loan has been taken </w:t>
      </w:r>
      <w:r w:rsidR="00FB670F" w:rsidRPr="008A4212">
        <w:rPr>
          <w:rFonts w:ascii="Century Gothic" w:hAnsi="Century Gothic"/>
          <w:color w:val="auto"/>
          <w:sz w:val="22"/>
          <w:szCs w:val="22"/>
        </w:rPr>
        <w:t xml:space="preserve">@ 11.50% per annum, </w:t>
      </w:r>
      <w:r w:rsidR="00E44268" w:rsidRPr="008A4212">
        <w:rPr>
          <w:rFonts w:ascii="Century Gothic" w:hAnsi="Century Gothic"/>
          <w:color w:val="auto"/>
          <w:sz w:val="22"/>
          <w:szCs w:val="22"/>
        </w:rPr>
        <w:t>as per the R</w:t>
      </w:r>
      <w:r w:rsidR="00FD3CAF" w:rsidRPr="008A4212">
        <w:rPr>
          <w:rFonts w:ascii="Century Gothic" w:hAnsi="Century Gothic"/>
          <w:color w:val="auto"/>
          <w:sz w:val="22"/>
          <w:szCs w:val="22"/>
        </w:rPr>
        <w:t>egulations</w:t>
      </w:r>
      <w:r w:rsidR="0062441A" w:rsidRPr="00F85201">
        <w:rPr>
          <w:rFonts w:ascii="Century Gothic" w:hAnsi="Century Gothic"/>
          <w:color w:val="FF0000"/>
          <w:sz w:val="22"/>
          <w:szCs w:val="22"/>
        </w:rPr>
        <w:t>.</w:t>
      </w:r>
    </w:p>
    <w:p w:rsidR="007A40EC" w:rsidRPr="00F85201" w:rsidRDefault="007A40EC" w:rsidP="00C43BF7">
      <w:pPr>
        <w:rPr>
          <w:color w:val="FF0000"/>
          <w:sz w:val="10"/>
          <w:szCs w:val="22"/>
        </w:rPr>
      </w:pPr>
    </w:p>
    <w:p w:rsidR="00C43BF7" w:rsidRDefault="00C43BF7" w:rsidP="00C24781">
      <w:pPr>
        <w:rPr>
          <w:sz w:val="22"/>
          <w:szCs w:val="22"/>
        </w:rPr>
      </w:pPr>
      <w:r w:rsidRPr="008A4212">
        <w:rPr>
          <w:sz w:val="22"/>
          <w:szCs w:val="22"/>
        </w:rPr>
        <w:t xml:space="preserve">Accordingly, </w:t>
      </w:r>
      <w:r w:rsidR="002C1975" w:rsidRPr="008A4212">
        <w:rPr>
          <w:sz w:val="22"/>
          <w:szCs w:val="22"/>
        </w:rPr>
        <w:t>Petitioner</w:t>
      </w:r>
      <w:r w:rsidRPr="008A4212">
        <w:rPr>
          <w:sz w:val="22"/>
          <w:szCs w:val="22"/>
        </w:rPr>
        <w:t xml:space="preserve"> requests </w:t>
      </w:r>
      <w:r w:rsidR="002C1975" w:rsidRPr="008A4212">
        <w:rPr>
          <w:sz w:val="22"/>
          <w:szCs w:val="22"/>
        </w:rPr>
        <w:t xml:space="preserve">the </w:t>
      </w:r>
      <w:r w:rsidRPr="008A4212">
        <w:rPr>
          <w:sz w:val="22"/>
          <w:szCs w:val="22"/>
        </w:rPr>
        <w:t>Hon</w:t>
      </w:r>
      <w:r w:rsidR="001312EA" w:rsidRPr="008A4212">
        <w:rPr>
          <w:sz w:val="22"/>
          <w:szCs w:val="22"/>
        </w:rPr>
        <w:t>’ble</w:t>
      </w:r>
      <w:r w:rsidRPr="008A4212">
        <w:rPr>
          <w:sz w:val="22"/>
          <w:szCs w:val="22"/>
        </w:rPr>
        <w:t xml:space="preserve"> Commission to approve the Interest</w:t>
      </w:r>
      <w:r w:rsidR="003C2ADC" w:rsidRPr="008A4212">
        <w:rPr>
          <w:sz w:val="22"/>
          <w:szCs w:val="22"/>
        </w:rPr>
        <w:t xml:space="preserve"> </w:t>
      </w:r>
      <w:r w:rsidR="002C1975" w:rsidRPr="008A4212">
        <w:rPr>
          <w:sz w:val="22"/>
          <w:szCs w:val="22"/>
        </w:rPr>
        <w:t>for</w:t>
      </w:r>
      <w:r w:rsidR="00045DE0" w:rsidRPr="008A4212">
        <w:rPr>
          <w:sz w:val="22"/>
          <w:szCs w:val="22"/>
        </w:rPr>
        <w:t xml:space="preserve"> FY 201</w:t>
      </w:r>
      <w:r w:rsidR="001E7E29" w:rsidRPr="008A4212">
        <w:rPr>
          <w:sz w:val="22"/>
          <w:szCs w:val="22"/>
        </w:rPr>
        <w:t>2</w:t>
      </w:r>
      <w:r w:rsidR="00045DE0" w:rsidRPr="008A4212">
        <w:rPr>
          <w:sz w:val="22"/>
          <w:szCs w:val="22"/>
        </w:rPr>
        <w:t>-1</w:t>
      </w:r>
      <w:r w:rsidR="001E7E29" w:rsidRPr="008A4212">
        <w:rPr>
          <w:sz w:val="22"/>
          <w:szCs w:val="22"/>
        </w:rPr>
        <w:t>3 to FY 2014-15</w:t>
      </w:r>
      <w:r w:rsidR="00045DE0" w:rsidRPr="008A4212">
        <w:rPr>
          <w:sz w:val="22"/>
          <w:szCs w:val="22"/>
        </w:rPr>
        <w:t xml:space="preserve"> </w:t>
      </w:r>
      <w:r w:rsidR="00F85201" w:rsidRPr="008A4212">
        <w:rPr>
          <w:sz w:val="22"/>
          <w:szCs w:val="22"/>
        </w:rPr>
        <w:t xml:space="preserve">and extended period 2015-16 </w:t>
      </w:r>
      <w:r w:rsidRPr="008A4212">
        <w:rPr>
          <w:sz w:val="22"/>
          <w:szCs w:val="22"/>
        </w:rPr>
        <w:t>as proposed in the following table:</w:t>
      </w:r>
    </w:p>
    <w:p w:rsidR="00C43BF7" w:rsidRPr="008A4212" w:rsidRDefault="00952623" w:rsidP="00E27C97">
      <w:pPr>
        <w:pStyle w:val="Caption"/>
        <w:spacing w:line="240" w:lineRule="auto"/>
        <w:jc w:val="center"/>
      </w:pPr>
      <w:bookmarkStart w:id="70" w:name="_Toc173941713"/>
      <w:bookmarkStart w:id="71" w:name="_Toc174434526"/>
      <w:bookmarkStart w:id="72" w:name="_Toc411604006"/>
      <w:r w:rsidRPr="008A4212">
        <w:t xml:space="preserve">Table </w:t>
      </w:r>
      <w:fldSimple w:instr=" SEQ Table \* ARABIC ">
        <w:r w:rsidR="002326CE">
          <w:rPr>
            <w:noProof/>
          </w:rPr>
          <w:t>29</w:t>
        </w:r>
      </w:fldSimple>
      <w:r w:rsidRPr="008A4212">
        <w:t xml:space="preserve"> : </w:t>
      </w:r>
      <w:r w:rsidR="00C43BF7" w:rsidRPr="008A4212">
        <w:t>Interest on Loan</w:t>
      </w:r>
      <w:bookmarkEnd w:id="70"/>
      <w:bookmarkEnd w:id="71"/>
      <w:bookmarkEnd w:id="72"/>
    </w:p>
    <w:tbl>
      <w:tblPr>
        <w:tblW w:w="6150" w:type="dxa"/>
        <w:jc w:val="center"/>
        <w:tblInd w:w="953" w:type="dxa"/>
        <w:tblLook w:val="0000"/>
      </w:tblPr>
      <w:tblGrid>
        <w:gridCol w:w="1880"/>
        <w:gridCol w:w="1096"/>
        <w:gridCol w:w="1058"/>
        <w:gridCol w:w="1058"/>
        <w:gridCol w:w="1418"/>
      </w:tblGrid>
      <w:tr w:rsidR="009D7E28" w:rsidRPr="008A4212" w:rsidTr="009D7E28">
        <w:trPr>
          <w:trHeight w:val="455"/>
          <w:jc w:val="center"/>
        </w:trPr>
        <w:tc>
          <w:tcPr>
            <w:tcW w:w="1880"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9D7E28" w:rsidRPr="008A4212" w:rsidRDefault="009D7E28" w:rsidP="00952623">
            <w:pPr>
              <w:spacing w:line="240" w:lineRule="auto"/>
              <w:rPr>
                <w:b/>
                <w:bCs/>
                <w:sz w:val="20"/>
                <w:szCs w:val="20"/>
              </w:rPr>
            </w:pPr>
            <w:r w:rsidRPr="008A4212">
              <w:rPr>
                <w:b/>
                <w:bCs/>
                <w:sz w:val="20"/>
                <w:szCs w:val="20"/>
              </w:rPr>
              <w:t>Particulars (Rs. Crores)</w:t>
            </w:r>
          </w:p>
        </w:tc>
        <w:tc>
          <w:tcPr>
            <w:tcW w:w="1096" w:type="dxa"/>
            <w:tcBorders>
              <w:top w:val="single" w:sz="4" w:space="0" w:color="auto"/>
              <w:left w:val="nil"/>
              <w:bottom w:val="single" w:sz="4" w:space="0" w:color="auto"/>
              <w:right w:val="single" w:sz="4" w:space="0" w:color="auto"/>
            </w:tcBorders>
            <w:shd w:val="clear" w:color="auto" w:fill="000080"/>
            <w:noWrap/>
            <w:vAlign w:val="center"/>
          </w:tcPr>
          <w:p w:rsidR="009D7E28" w:rsidRPr="008A4212" w:rsidRDefault="009D7E28" w:rsidP="00527F23">
            <w:pPr>
              <w:spacing w:line="240" w:lineRule="auto"/>
              <w:rPr>
                <w:rFonts w:cs="Arial"/>
                <w:b/>
                <w:bCs/>
                <w:sz w:val="20"/>
                <w:szCs w:val="20"/>
              </w:rPr>
            </w:pPr>
            <w:r w:rsidRPr="008A4212">
              <w:rPr>
                <w:rFonts w:cs="Arial"/>
                <w:b/>
                <w:bCs/>
                <w:sz w:val="20"/>
                <w:szCs w:val="20"/>
              </w:rPr>
              <w:t>12-13</w:t>
            </w:r>
          </w:p>
        </w:tc>
        <w:tc>
          <w:tcPr>
            <w:tcW w:w="1058" w:type="dxa"/>
            <w:tcBorders>
              <w:top w:val="single" w:sz="4" w:space="0" w:color="auto"/>
              <w:left w:val="nil"/>
              <w:bottom w:val="single" w:sz="4" w:space="0" w:color="auto"/>
              <w:right w:val="single" w:sz="4" w:space="0" w:color="auto"/>
            </w:tcBorders>
            <w:shd w:val="clear" w:color="auto" w:fill="000080"/>
            <w:noWrap/>
            <w:vAlign w:val="center"/>
          </w:tcPr>
          <w:p w:rsidR="009D7E28" w:rsidRPr="008A4212" w:rsidRDefault="009D7E28" w:rsidP="00527F23">
            <w:pPr>
              <w:spacing w:line="240" w:lineRule="auto"/>
              <w:rPr>
                <w:rFonts w:cs="Arial"/>
                <w:b/>
                <w:bCs/>
                <w:sz w:val="20"/>
                <w:szCs w:val="20"/>
              </w:rPr>
            </w:pPr>
            <w:r w:rsidRPr="008A4212">
              <w:rPr>
                <w:rFonts w:cs="Arial"/>
                <w:b/>
                <w:bCs/>
                <w:sz w:val="20"/>
                <w:szCs w:val="20"/>
              </w:rPr>
              <w:t>13-14</w:t>
            </w:r>
          </w:p>
        </w:tc>
        <w:tc>
          <w:tcPr>
            <w:tcW w:w="1058" w:type="dxa"/>
            <w:tcBorders>
              <w:top w:val="single" w:sz="4" w:space="0" w:color="auto"/>
              <w:left w:val="nil"/>
              <w:bottom w:val="single" w:sz="4" w:space="0" w:color="auto"/>
              <w:right w:val="single" w:sz="4" w:space="0" w:color="auto"/>
            </w:tcBorders>
            <w:shd w:val="clear" w:color="auto" w:fill="000080"/>
            <w:noWrap/>
            <w:vAlign w:val="center"/>
          </w:tcPr>
          <w:p w:rsidR="009D7E28" w:rsidRPr="008A4212" w:rsidRDefault="009D7E28" w:rsidP="00527F23">
            <w:pPr>
              <w:spacing w:line="240" w:lineRule="auto"/>
              <w:rPr>
                <w:rFonts w:cs="Arial"/>
                <w:b/>
                <w:bCs/>
                <w:sz w:val="20"/>
                <w:szCs w:val="20"/>
              </w:rPr>
            </w:pPr>
            <w:r w:rsidRPr="008A4212">
              <w:rPr>
                <w:rFonts w:cs="Arial"/>
                <w:b/>
                <w:bCs/>
                <w:sz w:val="20"/>
                <w:szCs w:val="20"/>
              </w:rPr>
              <w:t>14-15</w:t>
            </w:r>
          </w:p>
        </w:tc>
        <w:tc>
          <w:tcPr>
            <w:tcW w:w="1058" w:type="dxa"/>
            <w:tcBorders>
              <w:top w:val="single" w:sz="4" w:space="0" w:color="auto"/>
              <w:left w:val="nil"/>
              <w:bottom w:val="single" w:sz="4" w:space="0" w:color="auto"/>
              <w:right w:val="single" w:sz="4" w:space="0" w:color="auto"/>
            </w:tcBorders>
            <w:shd w:val="clear" w:color="auto" w:fill="000080"/>
            <w:noWrap/>
            <w:vAlign w:val="center"/>
          </w:tcPr>
          <w:p w:rsidR="00F71DD6" w:rsidRDefault="00F71DD6" w:rsidP="00F71DD6">
            <w:pPr>
              <w:spacing w:line="240" w:lineRule="auto"/>
              <w:jc w:val="center"/>
              <w:rPr>
                <w:b/>
                <w:sz w:val="22"/>
                <w:szCs w:val="22"/>
              </w:rPr>
            </w:pPr>
            <w:r>
              <w:rPr>
                <w:b/>
                <w:sz w:val="22"/>
                <w:szCs w:val="22"/>
              </w:rPr>
              <w:t>15-16</w:t>
            </w:r>
          </w:p>
          <w:p w:rsidR="009D7E28" w:rsidRPr="008A4212" w:rsidRDefault="00F71DD6" w:rsidP="00F71DD6">
            <w:pPr>
              <w:spacing w:line="240" w:lineRule="auto"/>
              <w:rPr>
                <w:b/>
                <w:bCs/>
                <w:sz w:val="20"/>
                <w:szCs w:val="20"/>
              </w:rPr>
            </w:pPr>
            <w:r>
              <w:rPr>
                <w:b/>
                <w:sz w:val="22"/>
                <w:szCs w:val="22"/>
              </w:rPr>
              <w:t>(Estimated)</w:t>
            </w:r>
          </w:p>
        </w:tc>
      </w:tr>
      <w:tr w:rsidR="009D7E28" w:rsidRPr="008A4212" w:rsidTr="009D7E28">
        <w:trPr>
          <w:trHeight w:val="373"/>
          <w:jc w:val="center"/>
        </w:trPr>
        <w:tc>
          <w:tcPr>
            <w:tcW w:w="1880" w:type="dxa"/>
            <w:tcBorders>
              <w:top w:val="nil"/>
              <w:left w:val="single" w:sz="4" w:space="0" w:color="auto"/>
              <w:bottom w:val="single" w:sz="4" w:space="0" w:color="auto"/>
              <w:right w:val="single" w:sz="4" w:space="0" w:color="auto"/>
            </w:tcBorders>
            <w:shd w:val="clear" w:color="auto" w:fill="auto"/>
            <w:noWrap/>
            <w:vAlign w:val="center"/>
          </w:tcPr>
          <w:p w:rsidR="009D7E28" w:rsidRPr="008A4212" w:rsidRDefault="009D7E28" w:rsidP="00FF1D71">
            <w:pPr>
              <w:spacing w:line="240" w:lineRule="auto"/>
              <w:rPr>
                <w:sz w:val="20"/>
                <w:szCs w:val="20"/>
              </w:rPr>
            </w:pPr>
            <w:r w:rsidRPr="008A4212">
              <w:rPr>
                <w:sz w:val="20"/>
                <w:szCs w:val="20"/>
              </w:rPr>
              <w:t>For RPH</w:t>
            </w:r>
          </w:p>
        </w:tc>
        <w:tc>
          <w:tcPr>
            <w:tcW w:w="1096" w:type="dxa"/>
            <w:tcBorders>
              <w:top w:val="nil"/>
              <w:left w:val="nil"/>
              <w:bottom w:val="single" w:sz="4" w:space="0" w:color="auto"/>
              <w:right w:val="single" w:sz="4" w:space="0" w:color="auto"/>
            </w:tcBorders>
            <w:shd w:val="clear" w:color="auto" w:fill="auto"/>
            <w:noWrap/>
            <w:vAlign w:val="center"/>
          </w:tcPr>
          <w:p w:rsidR="009D7E28" w:rsidRPr="008A4212" w:rsidRDefault="001805ED" w:rsidP="009D7E28">
            <w:pPr>
              <w:spacing w:line="240" w:lineRule="auto"/>
              <w:jc w:val="center"/>
              <w:rPr>
                <w:sz w:val="20"/>
                <w:szCs w:val="20"/>
              </w:rPr>
            </w:pPr>
            <w:r w:rsidRPr="008A4212">
              <w:rPr>
                <w:sz w:val="20"/>
                <w:szCs w:val="20"/>
              </w:rPr>
              <w:t>6.69</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527F23">
            <w:pPr>
              <w:spacing w:line="240" w:lineRule="auto"/>
              <w:jc w:val="center"/>
              <w:rPr>
                <w:sz w:val="20"/>
                <w:szCs w:val="20"/>
              </w:rPr>
            </w:pPr>
            <w:r w:rsidRPr="008A4212">
              <w:rPr>
                <w:sz w:val="20"/>
                <w:szCs w:val="20"/>
              </w:rPr>
              <w:t>6.36</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1805ED">
            <w:pPr>
              <w:spacing w:line="240" w:lineRule="auto"/>
              <w:jc w:val="center"/>
              <w:rPr>
                <w:sz w:val="20"/>
                <w:szCs w:val="20"/>
              </w:rPr>
            </w:pPr>
            <w:r w:rsidRPr="008A4212">
              <w:rPr>
                <w:sz w:val="20"/>
                <w:szCs w:val="20"/>
              </w:rPr>
              <w:t>6.42</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FF1D71">
            <w:pPr>
              <w:spacing w:line="240" w:lineRule="auto"/>
              <w:jc w:val="center"/>
              <w:rPr>
                <w:sz w:val="20"/>
                <w:szCs w:val="20"/>
              </w:rPr>
            </w:pPr>
            <w:r w:rsidRPr="008A4212">
              <w:rPr>
                <w:sz w:val="20"/>
                <w:szCs w:val="20"/>
              </w:rPr>
              <w:t>6.40</w:t>
            </w:r>
          </w:p>
        </w:tc>
      </w:tr>
      <w:tr w:rsidR="009D7E28" w:rsidRPr="008A4212" w:rsidTr="009D7E28">
        <w:trPr>
          <w:trHeight w:val="404"/>
          <w:jc w:val="center"/>
        </w:trPr>
        <w:tc>
          <w:tcPr>
            <w:tcW w:w="1880" w:type="dxa"/>
            <w:tcBorders>
              <w:top w:val="nil"/>
              <w:left w:val="single" w:sz="4" w:space="0" w:color="auto"/>
              <w:bottom w:val="single" w:sz="4" w:space="0" w:color="auto"/>
              <w:right w:val="single" w:sz="4" w:space="0" w:color="auto"/>
            </w:tcBorders>
            <w:shd w:val="clear" w:color="auto" w:fill="auto"/>
            <w:noWrap/>
            <w:vAlign w:val="center"/>
          </w:tcPr>
          <w:p w:rsidR="009D7E28" w:rsidRPr="008A4212" w:rsidRDefault="009D7E28" w:rsidP="00FF1D71">
            <w:pPr>
              <w:spacing w:line="240" w:lineRule="auto"/>
              <w:rPr>
                <w:sz w:val="20"/>
                <w:szCs w:val="20"/>
              </w:rPr>
            </w:pPr>
            <w:r w:rsidRPr="008A4212">
              <w:rPr>
                <w:sz w:val="20"/>
                <w:szCs w:val="20"/>
              </w:rPr>
              <w:t>For GTPS</w:t>
            </w:r>
          </w:p>
        </w:tc>
        <w:tc>
          <w:tcPr>
            <w:tcW w:w="1096" w:type="dxa"/>
            <w:tcBorders>
              <w:top w:val="nil"/>
              <w:left w:val="nil"/>
              <w:bottom w:val="single" w:sz="4" w:space="0" w:color="auto"/>
              <w:right w:val="single" w:sz="4" w:space="0" w:color="auto"/>
            </w:tcBorders>
            <w:shd w:val="clear" w:color="auto" w:fill="auto"/>
            <w:noWrap/>
            <w:vAlign w:val="center"/>
          </w:tcPr>
          <w:p w:rsidR="009D7E28" w:rsidRPr="008A4212" w:rsidRDefault="001805ED" w:rsidP="00527F23">
            <w:pPr>
              <w:spacing w:line="240" w:lineRule="auto"/>
              <w:jc w:val="center"/>
              <w:rPr>
                <w:sz w:val="20"/>
                <w:szCs w:val="20"/>
              </w:rPr>
            </w:pPr>
            <w:r w:rsidRPr="008A4212">
              <w:rPr>
                <w:sz w:val="20"/>
                <w:szCs w:val="20"/>
              </w:rPr>
              <w:t>15.24</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527F23">
            <w:pPr>
              <w:spacing w:line="240" w:lineRule="auto"/>
              <w:jc w:val="center"/>
              <w:rPr>
                <w:sz w:val="20"/>
                <w:szCs w:val="20"/>
              </w:rPr>
            </w:pPr>
            <w:r w:rsidRPr="008A4212">
              <w:rPr>
                <w:sz w:val="20"/>
                <w:szCs w:val="20"/>
              </w:rPr>
              <w:t>14.53</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527F23">
            <w:pPr>
              <w:spacing w:line="240" w:lineRule="auto"/>
              <w:jc w:val="center"/>
              <w:rPr>
                <w:sz w:val="20"/>
                <w:szCs w:val="20"/>
              </w:rPr>
            </w:pPr>
            <w:r w:rsidRPr="008A4212">
              <w:rPr>
                <w:sz w:val="20"/>
                <w:szCs w:val="20"/>
              </w:rPr>
              <w:t>14.56</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FF1D71">
            <w:pPr>
              <w:spacing w:line="240" w:lineRule="auto"/>
              <w:jc w:val="center"/>
              <w:rPr>
                <w:sz w:val="20"/>
                <w:szCs w:val="20"/>
              </w:rPr>
            </w:pPr>
            <w:r w:rsidRPr="008A4212">
              <w:rPr>
                <w:sz w:val="20"/>
                <w:szCs w:val="20"/>
              </w:rPr>
              <w:t>14.41</w:t>
            </w:r>
          </w:p>
        </w:tc>
      </w:tr>
      <w:tr w:rsidR="009D7E28" w:rsidRPr="008A4212" w:rsidTr="009D7E28">
        <w:trPr>
          <w:trHeight w:val="421"/>
          <w:jc w:val="center"/>
        </w:trPr>
        <w:tc>
          <w:tcPr>
            <w:tcW w:w="1880" w:type="dxa"/>
            <w:tcBorders>
              <w:top w:val="nil"/>
              <w:left w:val="single" w:sz="4" w:space="0" w:color="auto"/>
              <w:bottom w:val="single" w:sz="4" w:space="0" w:color="auto"/>
              <w:right w:val="single" w:sz="4" w:space="0" w:color="auto"/>
            </w:tcBorders>
            <w:shd w:val="clear" w:color="auto" w:fill="auto"/>
            <w:noWrap/>
            <w:vAlign w:val="center"/>
          </w:tcPr>
          <w:p w:rsidR="009D7E28" w:rsidRPr="008A4212" w:rsidRDefault="009D7E28" w:rsidP="00FF1D71">
            <w:pPr>
              <w:spacing w:line="240" w:lineRule="auto"/>
              <w:rPr>
                <w:b/>
                <w:bCs/>
                <w:sz w:val="20"/>
                <w:szCs w:val="20"/>
              </w:rPr>
            </w:pPr>
            <w:r w:rsidRPr="008A4212">
              <w:rPr>
                <w:b/>
                <w:bCs/>
                <w:sz w:val="20"/>
                <w:szCs w:val="20"/>
              </w:rPr>
              <w:t xml:space="preserve">IPGCL </w:t>
            </w:r>
          </w:p>
          <w:p w:rsidR="009D7E28" w:rsidRPr="008A4212" w:rsidRDefault="009D7E28" w:rsidP="00FF1D71">
            <w:pPr>
              <w:spacing w:line="240" w:lineRule="auto"/>
              <w:rPr>
                <w:b/>
                <w:bCs/>
                <w:sz w:val="20"/>
                <w:szCs w:val="20"/>
              </w:rPr>
            </w:pPr>
            <w:r w:rsidRPr="008A4212">
              <w:rPr>
                <w:b/>
                <w:bCs/>
                <w:sz w:val="20"/>
                <w:szCs w:val="20"/>
              </w:rPr>
              <w:t>(as a whole)</w:t>
            </w:r>
          </w:p>
        </w:tc>
        <w:tc>
          <w:tcPr>
            <w:tcW w:w="1096" w:type="dxa"/>
            <w:tcBorders>
              <w:top w:val="nil"/>
              <w:left w:val="nil"/>
              <w:bottom w:val="single" w:sz="4" w:space="0" w:color="auto"/>
              <w:right w:val="single" w:sz="4" w:space="0" w:color="auto"/>
            </w:tcBorders>
            <w:shd w:val="clear" w:color="auto" w:fill="auto"/>
            <w:noWrap/>
            <w:vAlign w:val="center"/>
          </w:tcPr>
          <w:p w:rsidR="009D7E28" w:rsidRPr="008A4212" w:rsidRDefault="001805ED" w:rsidP="00527F23">
            <w:pPr>
              <w:spacing w:line="240" w:lineRule="auto"/>
              <w:jc w:val="center"/>
              <w:rPr>
                <w:rFonts w:ascii="Arial" w:hAnsi="Arial"/>
                <w:b/>
                <w:bCs/>
                <w:sz w:val="20"/>
                <w:szCs w:val="20"/>
              </w:rPr>
            </w:pPr>
            <w:r w:rsidRPr="008A4212">
              <w:rPr>
                <w:rFonts w:ascii="Arial" w:hAnsi="Arial"/>
                <w:b/>
                <w:bCs/>
                <w:sz w:val="20"/>
                <w:szCs w:val="20"/>
              </w:rPr>
              <w:t>21.93</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527F23">
            <w:pPr>
              <w:spacing w:line="240" w:lineRule="auto"/>
              <w:jc w:val="center"/>
              <w:rPr>
                <w:rFonts w:ascii="Arial" w:hAnsi="Arial"/>
                <w:b/>
                <w:bCs/>
                <w:sz w:val="20"/>
                <w:szCs w:val="20"/>
              </w:rPr>
            </w:pPr>
            <w:r w:rsidRPr="008A4212">
              <w:rPr>
                <w:rFonts w:ascii="Arial" w:hAnsi="Arial"/>
                <w:b/>
                <w:bCs/>
                <w:sz w:val="20"/>
                <w:szCs w:val="20"/>
              </w:rPr>
              <w:t>20.89</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527F23">
            <w:pPr>
              <w:spacing w:line="240" w:lineRule="auto"/>
              <w:jc w:val="center"/>
              <w:rPr>
                <w:rFonts w:ascii="Arial" w:hAnsi="Arial"/>
                <w:b/>
                <w:bCs/>
                <w:sz w:val="20"/>
                <w:szCs w:val="20"/>
              </w:rPr>
            </w:pPr>
            <w:r w:rsidRPr="008A4212">
              <w:rPr>
                <w:rFonts w:ascii="Arial" w:hAnsi="Arial"/>
                <w:b/>
                <w:bCs/>
                <w:sz w:val="20"/>
                <w:szCs w:val="20"/>
              </w:rPr>
              <w:t>20.98</w:t>
            </w:r>
          </w:p>
        </w:tc>
        <w:tc>
          <w:tcPr>
            <w:tcW w:w="1058" w:type="dxa"/>
            <w:tcBorders>
              <w:top w:val="nil"/>
              <w:left w:val="nil"/>
              <w:bottom w:val="single" w:sz="4" w:space="0" w:color="auto"/>
              <w:right w:val="single" w:sz="4" w:space="0" w:color="auto"/>
            </w:tcBorders>
            <w:shd w:val="clear" w:color="auto" w:fill="auto"/>
            <w:noWrap/>
            <w:vAlign w:val="center"/>
          </w:tcPr>
          <w:p w:rsidR="009D7E28" w:rsidRPr="008A4212" w:rsidRDefault="001805ED" w:rsidP="00FF1D71">
            <w:pPr>
              <w:spacing w:line="240" w:lineRule="auto"/>
              <w:jc w:val="center"/>
              <w:rPr>
                <w:rFonts w:ascii="Arial" w:hAnsi="Arial"/>
                <w:b/>
                <w:bCs/>
                <w:sz w:val="20"/>
                <w:szCs w:val="20"/>
              </w:rPr>
            </w:pPr>
            <w:r w:rsidRPr="008A4212">
              <w:rPr>
                <w:rFonts w:ascii="Arial" w:hAnsi="Arial"/>
                <w:b/>
                <w:bCs/>
                <w:sz w:val="20"/>
                <w:szCs w:val="20"/>
              </w:rPr>
              <w:t>20.81</w:t>
            </w:r>
          </w:p>
        </w:tc>
      </w:tr>
    </w:tbl>
    <w:p w:rsidR="00C43BF7" w:rsidRPr="008A4212" w:rsidRDefault="00C43BF7" w:rsidP="00C43BF7">
      <w:pPr>
        <w:pStyle w:val="Heading3"/>
        <w:numPr>
          <w:ilvl w:val="0"/>
          <w:numId w:val="0"/>
        </w:numPr>
      </w:pPr>
      <w:bookmarkStart w:id="73" w:name="_Toc173941683"/>
      <w:bookmarkStart w:id="74" w:name="_Toc411605253"/>
      <w:r w:rsidRPr="008A4212">
        <w:rPr>
          <w:rFonts w:ascii="Century Gothic" w:hAnsi="Century Gothic" w:cs="Times New Roman"/>
          <w:sz w:val="22"/>
          <w:szCs w:val="22"/>
        </w:rPr>
        <w:t>3.2.3</w:t>
      </w:r>
      <w:r w:rsidRPr="008A4212">
        <w:rPr>
          <w:rFonts w:ascii="Century Gothic" w:hAnsi="Century Gothic" w:cs="Times New Roman"/>
          <w:sz w:val="22"/>
          <w:szCs w:val="22"/>
        </w:rPr>
        <w:tab/>
        <w:t>Depreciation</w:t>
      </w:r>
      <w:bookmarkEnd w:id="73"/>
      <w:bookmarkEnd w:id="74"/>
    </w:p>
    <w:p w:rsidR="00C43BF7" w:rsidRDefault="00C43BF7" w:rsidP="00C43BF7">
      <w:pPr>
        <w:rPr>
          <w:sz w:val="22"/>
          <w:szCs w:val="22"/>
        </w:rPr>
      </w:pPr>
      <w:r>
        <w:rPr>
          <w:sz w:val="22"/>
          <w:szCs w:val="22"/>
        </w:rPr>
        <w:t xml:space="preserve">Depreciation is charged on the basis of straight-line method, on the fixed assets. The depreciation is based on the original cost, estimated life and residual life. </w:t>
      </w:r>
      <w:r w:rsidR="001A6FAE">
        <w:rPr>
          <w:sz w:val="22"/>
          <w:szCs w:val="22"/>
        </w:rPr>
        <w:t>The depreciation rates applied are as per the Regulation notified by the Hon’ble Commission</w:t>
      </w:r>
      <w:r w:rsidR="00A218E9">
        <w:rPr>
          <w:sz w:val="22"/>
          <w:szCs w:val="22"/>
        </w:rPr>
        <w:t xml:space="preserve"> for respective period</w:t>
      </w:r>
      <w:r w:rsidR="001A6FAE">
        <w:rPr>
          <w:sz w:val="22"/>
          <w:szCs w:val="22"/>
        </w:rPr>
        <w:t>.</w:t>
      </w:r>
    </w:p>
    <w:p w:rsidR="00026943" w:rsidRDefault="003039C8" w:rsidP="00C43BF7">
      <w:pPr>
        <w:rPr>
          <w:sz w:val="22"/>
          <w:szCs w:val="22"/>
        </w:rPr>
      </w:pPr>
      <w:r>
        <w:rPr>
          <w:sz w:val="22"/>
          <w:szCs w:val="22"/>
        </w:rPr>
        <w:t xml:space="preserve">It is submitted that </w:t>
      </w:r>
      <w:r w:rsidR="001A0CDD">
        <w:rPr>
          <w:sz w:val="22"/>
          <w:szCs w:val="22"/>
        </w:rPr>
        <w:t xml:space="preserve">petitioner in its submission on draft MYT Regulations has requested the Hon’ble Commission to amend the regulation 6.33 of MYT Regulations, </w:t>
      </w:r>
      <w:smartTag w:uri="urn:schemas-microsoft-com:office:smarttags" w:element="metricconverter">
        <w:smartTagPr>
          <w:attr w:name="ProductID" w:val="2011 in"/>
        </w:smartTagPr>
        <w:r w:rsidR="001A0CDD">
          <w:rPr>
            <w:sz w:val="22"/>
            <w:szCs w:val="22"/>
          </w:rPr>
          <w:t>2011</w:t>
        </w:r>
        <w:r w:rsidR="00A803AA">
          <w:rPr>
            <w:sz w:val="22"/>
            <w:szCs w:val="22"/>
          </w:rPr>
          <w:t xml:space="preserve"> in</w:t>
        </w:r>
      </w:smartTag>
      <w:r w:rsidR="00A803AA">
        <w:rPr>
          <w:sz w:val="22"/>
          <w:szCs w:val="22"/>
        </w:rPr>
        <w:t xml:space="preserve"> view of </w:t>
      </w:r>
      <w:r w:rsidR="00F76B4D">
        <w:rPr>
          <w:sz w:val="22"/>
          <w:szCs w:val="22"/>
        </w:rPr>
        <w:t xml:space="preserve">non recovery of 90% of depreciation </w:t>
      </w:r>
      <w:r w:rsidR="00650F49">
        <w:rPr>
          <w:sz w:val="22"/>
          <w:szCs w:val="22"/>
        </w:rPr>
        <w:t>value</w:t>
      </w:r>
      <w:r w:rsidR="00F76B4D">
        <w:rPr>
          <w:sz w:val="22"/>
          <w:szCs w:val="22"/>
        </w:rPr>
        <w:t xml:space="preserve"> of fixed assets during the useful life of the station. </w:t>
      </w:r>
    </w:p>
    <w:p w:rsidR="001A6FAE" w:rsidRDefault="00026943" w:rsidP="00C43BF7">
      <w:pPr>
        <w:rPr>
          <w:sz w:val="22"/>
          <w:szCs w:val="22"/>
        </w:rPr>
      </w:pPr>
      <w:r>
        <w:rPr>
          <w:sz w:val="22"/>
          <w:szCs w:val="22"/>
        </w:rPr>
        <w:t>Petitioner further submits that RPH is going to complete its useful life of 25 years in May,</w:t>
      </w:r>
      <w:r w:rsidR="00BE1106">
        <w:rPr>
          <w:sz w:val="22"/>
          <w:szCs w:val="22"/>
        </w:rPr>
        <w:t xml:space="preserve"> </w:t>
      </w:r>
      <w:r>
        <w:rPr>
          <w:sz w:val="22"/>
          <w:szCs w:val="22"/>
        </w:rPr>
        <w:t>2015.</w:t>
      </w:r>
      <w:r w:rsidR="00BE1106">
        <w:rPr>
          <w:sz w:val="22"/>
          <w:szCs w:val="22"/>
        </w:rPr>
        <w:t xml:space="preserve"> The station will</w:t>
      </w:r>
      <w:r w:rsidR="00C6724E">
        <w:rPr>
          <w:sz w:val="22"/>
          <w:szCs w:val="22"/>
        </w:rPr>
        <w:t xml:space="preserve"> be able </w:t>
      </w:r>
      <w:r w:rsidR="0008012F">
        <w:rPr>
          <w:sz w:val="22"/>
          <w:szCs w:val="22"/>
        </w:rPr>
        <w:t>to recover</w:t>
      </w:r>
      <w:r w:rsidR="00BE1106">
        <w:rPr>
          <w:sz w:val="22"/>
          <w:szCs w:val="22"/>
        </w:rPr>
        <w:t xml:space="preserve"> the </w:t>
      </w:r>
      <w:r w:rsidR="00BE1106" w:rsidRPr="008A4212">
        <w:rPr>
          <w:sz w:val="22"/>
          <w:szCs w:val="22"/>
        </w:rPr>
        <w:t>70% of the depreciable value</w:t>
      </w:r>
      <w:r w:rsidR="00BE1106">
        <w:rPr>
          <w:sz w:val="22"/>
          <w:szCs w:val="22"/>
        </w:rPr>
        <w:t xml:space="preserve"> during the mid of FY 2014</w:t>
      </w:r>
      <w:r w:rsidR="00791C79">
        <w:rPr>
          <w:sz w:val="22"/>
          <w:szCs w:val="22"/>
        </w:rPr>
        <w:t>-15</w:t>
      </w:r>
      <w:r w:rsidR="00C6724E">
        <w:rPr>
          <w:sz w:val="22"/>
          <w:szCs w:val="22"/>
        </w:rPr>
        <w:t xml:space="preserve"> only</w:t>
      </w:r>
      <w:r w:rsidR="00BE1106">
        <w:rPr>
          <w:sz w:val="22"/>
          <w:szCs w:val="22"/>
        </w:rPr>
        <w:t xml:space="preserve">. </w:t>
      </w:r>
      <w:r w:rsidR="00093086">
        <w:rPr>
          <w:sz w:val="22"/>
          <w:szCs w:val="22"/>
        </w:rPr>
        <w:t xml:space="preserve">Since the station has completed the major portion of useful life, </w:t>
      </w:r>
      <w:r w:rsidR="00BE1106">
        <w:rPr>
          <w:sz w:val="22"/>
          <w:szCs w:val="22"/>
        </w:rPr>
        <w:t xml:space="preserve">the petitioner </w:t>
      </w:r>
      <w:r w:rsidR="005B22B9">
        <w:rPr>
          <w:sz w:val="22"/>
          <w:szCs w:val="22"/>
        </w:rPr>
        <w:t xml:space="preserve">while submitting tariff petition for FY 2012-13 to FY 2014-15 </w:t>
      </w:r>
      <w:r w:rsidR="00BE1106">
        <w:rPr>
          <w:sz w:val="22"/>
          <w:szCs w:val="22"/>
        </w:rPr>
        <w:t>ha</w:t>
      </w:r>
      <w:r w:rsidR="005B22B9">
        <w:rPr>
          <w:sz w:val="22"/>
          <w:szCs w:val="22"/>
        </w:rPr>
        <w:t>d</w:t>
      </w:r>
      <w:r w:rsidR="00BE1106">
        <w:rPr>
          <w:sz w:val="22"/>
          <w:szCs w:val="22"/>
        </w:rPr>
        <w:t xml:space="preserve"> claimed the remaining amount of depreciation </w:t>
      </w:r>
      <w:r w:rsidR="00650F49">
        <w:rPr>
          <w:sz w:val="22"/>
          <w:szCs w:val="22"/>
        </w:rPr>
        <w:t>up to</w:t>
      </w:r>
      <w:r w:rsidR="00531292">
        <w:rPr>
          <w:sz w:val="22"/>
          <w:szCs w:val="22"/>
        </w:rPr>
        <w:t xml:space="preserve"> the value of 90%</w:t>
      </w:r>
      <w:r w:rsidR="00093086">
        <w:rPr>
          <w:sz w:val="22"/>
          <w:szCs w:val="22"/>
        </w:rPr>
        <w:t xml:space="preserve"> during </w:t>
      </w:r>
      <w:r w:rsidR="00BE1106">
        <w:rPr>
          <w:sz w:val="22"/>
          <w:szCs w:val="22"/>
        </w:rPr>
        <w:t>FY 201</w:t>
      </w:r>
      <w:r w:rsidR="00093086">
        <w:rPr>
          <w:sz w:val="22"/>
          <w:szCs w:val="22"/>
        </w:rPr>
        <w:t>2</w:t>
      </w:r>
      <w:r w:rsidR="00BE1106">
        <w:rPr>
          <w:sz w:val="22"/>
          <w:szCs w:val="22"/>
        </w:rPr>
        <w:t>-1</w:t>
      </w:r>
      <w:r w:rsidR="00093086">
        <w:rPr>
          <w:sz w:val="22"/>
          <w:szCs w:val="22"/>
        </w:rPr>
        <w:t xml:space="preserve">3 to </w:t>
      </w:r>
      <w:r w:rsidR="00BE1106">
        <w:rPr>
          <w:sz w:val="22"/>
          <w:szCs w:val="22"/>
        </w:rPr>
        <w:t>FY 2014-15</w:t>
      </w:r>
      <w:r w:rsidR="00093086">
        <w:rPr>
          <w:sz w:val="22"/>
          <w:szCs w:val="22"/>
        </w:rPr>
        <w:t>.</w:t>
      </w:r>
      <w:r>
        <w:rPr>
          <w:sz w:val="22"/>
          <w:szCs w:val="22"/>
        </w:rPr>
        <w:t xml:space="preserve"> </w:t>
      </w:r>
      <w:r w:rsidR="00A803AA">
        <w:rPr>
          <w:sz w:val="22"/>
          <w:szCs w:val="22"/>
        </w:rPr>
        <w:t xml:space="preserve"> </w:t>
      </w:r>
      <w:r w:rsidR="00105A1B">
        <w:rPr>
          <w:sz w:val="22"/>
          <w:szCs w:val="22"/>
        </w:rPr>
        <w:t>However, the same have not be allowed  by Hon’ble Commission for previous years of current MYT period.</w:t>
      </w:r>
      <w:r w:rsidR="00045553">
        <w:rPr>
          <w:sz w:val="22"/>
          <w:szCs w:val="22"/>
        </w:rPr>
        <w:t xml:space="preserve">  Further, as detailed above, RPH is expected to be closed down in FY 2016-17.  Hon’ble Commission is therefore again requested to consider accelerated depreciation for RPH during FY </w:t>
      </w:r>
      <w:r w:rsidR="00045553">
        <w:rPr>
          <w:sz w:val="22"/>
          <w:szCs w:val="22"/>
        </w:rPr>
        <w:lastRenderedPageBreak/>
        <w:t>2015-16 and 2016-17 for balance percentage of depreciation to achieve 90% accumulated depreciation till closure of RPH in FY 2016-17.</w:t>
      </w:r>
    </w:p>
    <w:p w:rsidR="009976B0" w:rsidRDefault="005501E0" w:rsidP="00C43BF7">
      <w:pPr>
        <w:rPr>
          <w:sz w:val="22"/>
          <w:szCs w:val="22"/>
        </w:rPr>
      </w:pPr>
      <w:r>
        <w:rPr>
          <w:sz w:val="22"/>
          <w:szCs w:val="22"/>
        </w:rPr>
        <w:t>In regard to GTPS, it is submitted that station has completed its useful life of 25 years in 2011. However, the depreciation to be recovered by FY 2014-</w:t>
      </w:r>
      <w:smartTag w:uri="urn:schemas-microsoft-com:office:smarttags" w:element="metricconverter">
        <w:smartTagPr>
          <w:attr w:name="ProductID" w:val="15, in"/>
        </w:smartTagPr>
        <w:r>
          <w:rPr>
            <w:sz w:val="22"/>
            <w:szCs w:val="22"/>
          </w:rPr>
          <w:t>15</w:t>
        </w:r>
        <w:r w:rsidR="00656AF9">
          <w:rPr>
            <w:sz w:val="22"/>
            <w:szCs w:val="22"/>
          </w:rPr>
          <w:t>,</w:t>
        </w:r>
        <w:r>
          <w:rPr>
            <w:sz w:val="22"/>
            <w:szCs w:val="22"/>
          </w:rPr>
          <w:t xml:space="preserve"> </w:t>
        </w:r>
        <w:r w:rsidR="00656AF9">
          <w:rPr>
            <w:sz w:val="22"/>
            <w:szCs w:val="22"/>
          </w:rPr>
          <w:t>in</w:t>
        </w:r>
      </w:smartTag>
      <w:r w:rsidR="00656AF9">
        <w:rPr>
          <w:sz w:val="22"/>
          <w:szCs w:val="22"/>
        </w:rPr>
        <w:t xml:space="preserve"> line with Regulations is not 70% of the asset value, </w:t>
      </w:r>
      <w:r w:rsidR="00BC0350">
        <w:rPr>
          <w:sz w:val="22"/>
          <w:szCs w:val="22"/>
        </w:rPr>
        <w:t xml:space="preserve">even </w:t>
      </w:r>
      <w:r>
        <w:rPr>
          <w:sz w:val="22"/>
          <w:szCs w:val="22"/>
        </w:rPr>
        <w:t>after operation of 2</w:t>
      </w:r>
      <w:r w:rsidR="00720647">
        <w:rPr>
          <w:sz w:val="22"/>
          <w:szCs w:val="22"/>
        </w:rPr>
        <w:t>8</w:t>
      </w:r>
      <w:r>
        <w:rPr>
          <w:sz w:val="22"/>
          <w:szCs w:val="22"/>
        </w:rPr>
        <w:t xml:space="preserve"> years</w:t>
      </w:r>
      <w:r w:rsidR="006375C8">
        <w:rPr>
          <w:sz w:val="22"/>
          <w:szCs w:val="22"/>
        </w:rPr>
        <w:t>. It is therefore request</w:t>
      </w:r>
      <w:r w:rsidR="00720647">
        <w:rPr>
          <w:sz w:val="22"/>
          <w:szCs w:val="22"/>
        </w:rPr>
        <w:t>ed</w:t>
      </w:r>
      <w:r w:rsidR="00656AF9">
        <w:rPr>
          <w:sz w:val="22"/>
          <w:szCs w:val="22"/>
        </w:rPr>
        <w:t xml:space="preserve"> </w:t>
      </w:r>
      <w:r w:rsidR="006375C8">
        <w:rPr>
          <w:sz w:val="22"/>
          <w:szCs w:val="22"/>
        </w:rPr>
        <w:t xml:space="preserve">to </w:t>
      </w:r>
      <w:r w:rsidR="00656AF9">
        <w:rPr>
          <w:sz w:val="22"/>
          <w:szCs w:val="22"/>
        </w:rPr>
        <w:t xml:space="preserve">consider and </w:t>
      </w:r>
      <w:r w:rsidR="006375C8">
        <w:rPr>
          <w:sz w:val="22"/>
          <w:szCs w:val="22"/>
        </w:rPr>
        <w:t xml:space="preserve">allow </w:t>
      </w:r>
      <w:r w:rsidR="00656AF9">
        <w:rPr>
          <w:sz w:val="22"/>
          <w:szCs w:val="22"/>
        </w:rPr>
        <w:t xml:space="preserve">relaxation in the depreciation norms; and allow to recover </w:t>
      </w:r>
      <w:r w:rsidR="006375C8">
        <w:rPr>
          <w:sz w:val="22"/>
          <w:szCs w:val="22"/>
        </w:rPr>
        <w:t xml:space="preserve">the remaining depreciation upto 90% </w:t>
      </w:r>
      <w:bookmarkStart w:id="75" w:name="OLE_LINK15"/>
      <w:r w:rsidR="006375C8">
        <w:rPr>
          <w:sz w:val="22"/>
          <w:szCs w:val="22"/>
        </w:rPr>
        <w:t>during FY 2012-13 to FY 2014-15</w:t>
      </w:r>
      <w:bookmarkEnd w:id="75"/>
      <w:r w:rsidR="00720647">
        <w:rPr>
          <w:sz w:val="22"/>
          <w:szCs w:val="22"/>
        </w:rPr>
        <w:t xml:space="preserve"> and extended period FY 2015-16</w:t>
      </w:r>
      <w:r w:rsidR="006375C8">
        <w:rPr>
          <w:sz w:val="22"/>
          <w:szCs w:val="22"/>
        </w:rPr>
        <w:t>.</w:t>
      </w:r>
      <w:r>
        <w:rPr>
          <w:sz w:val="22"/>
          <w:szCs w:val="22"/>
        </w:rPr>
        <w:t xml:space="preserve"> </w:t>
      </w:r>
    </w:p>
    <w:p w:rsidR="00C67196" w:rsidRDefault="00C67196" w:rsidP="00C67196">
      <w:pPr>
        <w:rPr>
          <w:sz w:val="22"/>
          <w:szCs w:val="22"/>
        </w:rPr>
      </w:pPr>
      <w:r>
        <w:rPr>
          <w:sz w:val="22"/>
          <w:szCs w:val="22"/>
        </w:rPr>
        <w:t xml:space="preserve">Hon’ble Commission is therefore again requested to consider accelerated depreciation for </w:t>
      </w:r>
      <w:r w:rsidR="00B93E55">
        <w:rPr>
          <w:sz w:val="22"/>
          <w:szCs w:val="22"/>
        </w:rPr>
        <w:t>RPH</w:t>
      </w:r>
      <w:r>
        <w:rPr>
          <w:sz w:val="22"/>
          <w:szCs w:val="22"/>
        </w:rPr>
        <w:t xml:space="preserve"> </w:t>
      </w:r>
      <w:r w:rsidR="00B93E55">
        <w:rPr>
          <w:sz w:val="22"/>
          <w:szCs w:val="22"/>
        </w:rPr>
        <w:t xml:space="preserve">and GTPS </w:t>
      </w:r>
      <w:r>
        <w:rPr>
          <w:sz w:val="22"/>
          <w:szCs w:val="22"/>
        </w:rPr>
        <w:t xml:space="preserve">during FY 2015-16 </w:t>
      </w:r>
      <w:r w:rsidR="006857FA">
        <w:rPr>
          <w:sz w:val="22"/>
          <w:szCs w:val="22"/>
        </w:rPr>
        <w:t>and allowed</w:t>
      </w:r>
      <w:r>
        <w:rPr>
          <w:sz w:val="22"/>
          <w:szCs w:val="22"/>
        </w:rPr>
        <w:t xml:space="preserve"> balance percentage of depreciation to achieve 90% accumulated depreciation.</w:t>
      </w:r>
    </w:p>
    <w:p w:rsidR="009976B0" w:rsidRDefault="009976B0" w:rsidP="009976B0">
      <w:pPr>
        <w:rPr>
          <w:sz w:val="22"/>
          <w:szCs w:val="22"/>
        </w:rPr>
      </w:pPr>
      <w:r>
        <w:rPr>
          <w:sz w:val="22"/>
          <w:szCs w:val="22"/>
        </w:rPr>
        <w:t>Details of depreciation have been projected in Form 23 of the MYT petition</w:t>
      </w:r>
      <w:r w:rsidR="00002E1F">
        <w:rPr>
          <w:sz w:val="22"/>
          <w:szCs w:val="22"/>
        </w:rPr>
        <w:t xml:space="preserve"> on normal basis</w:t>
      </w:r>
      <w:r>
        <w:rPr>
          <w:sz w:val="22"/>
          <w:szCs w:val="22"/>
        </w:rPr>
        <w:t xml:space="preserve">. The Hon’ble Commission is requested to approve the </w:t>
      </w:r>
      <w:r w:rsidR="00247870">
        <w:rPr>
          <w:sz w:val="22"/>
          <w:szCs w:val="22"/>
        </w:rPr>
        <w:t xml:space="preserve">accelerated </w:t>
      </w:r>
      <w:r>
        <w:rPr>
          <w:sz w:val="22"/>
          <w:szCs w:val="22"/>
        </w:rPr>
        <w:t>depreciation for the control period</w:t>
      </w:r>
      <w:bookmarkStart w:id="76" w:name="_Toc126992743"/>
      <w:bookmarkStart w:id="77" w:name="_Toc126995065"/>
      <w:bookmarkEnd w:id="76"/>
      <w:bookmarkEnd w:id="77"/>
      <w:r w:rsidR="00247870">
        <w:rPr>
          <w:sz w:val="22"/>
          <w:szCs w:val="22"/>
        </w:rPr>
        <w:t xml:space="preserve"> as requested above.</w:t>
      </w:r>
    </w:p>
    <w:p w:rsidR="00C43BF7" w:rsidRDefault="00C43BF7" w:rsidP="00C24781">
      <w:pPr>
        <w:rPr>
          <w:sz w:val="22"/>
          <w:szCs w:val="22"/>
        </w:rPr>
      </w:pPr>
      <w:r>
        <w:rPr>
          <w:sz w:val="22"/>
          <w:szCs w:val="22"/>
        </w:rPr>
        <w:t xml:space="preserve">The Depreciation </w:t>
      </w:r>
      <w:r w:rsidR="000C1ACF">
        <w:rPr>
          <w:sz w:val="22"/>
          <w:szCs w:val="22"/>
        </w:rPr>
        <w:t>amount</w:t>
      </w:r>
      <w:r w:rsidR="000C1ACF" w:rsidDel="000C1ACF">
        <w:rPr>
          <w:sz w:val="22"/>
          <w:szCs w:val="22"/>
        </w:rPr>
        <w:t xml:space="preserve"> </w:t>
      </w:r>
      <w:r w:rsidR="000C1ACF">
        <w:rPr>
          <w:sz w:val="22"/>
          <w:szCs w:val="22"/>
        </w:rPr>
        <w:t>f</w:t>
      </w:r>
      <w:r w:rsidR="00625840">
        <w:rPr>
          <w:sz w:val="22"/>
          <w:szCs w:val="22"/>
        </w:rPr>
        <w:t>or the</w:t>
      </w:r>
      <w:r>
        <w:rPr>
          <w:sz w:val="22"/>
          <w:szCs w:val="22"/>
        </w:rPr>
        <w:t xml:space="preserve"> first control period</w:t>
      </w:r>
      <w:r w:rsidR="000C1ACF">
        <w:rPr>
          <w:sz w:val="22"/>
          <w:szCs w:val="22"/>
        </w:rPr>
        <w:t xml:space="preserve"> </w:t>
      </w:r>
      <w:r w:rsidR="00C67196">
        <w:rPr>
          <w:sz w:val="22"/>
          <w:szCs w:val="22"/>
        </w:rPr>
        <w:t xml:space="preserve">FY 2012-13 to FY 2014-15 </w:t>
      </w:r>
      <w:r w:rsidR="000C1ACF">
        <w:rPr>
          <w:sz w:val="22"/>
          <w:szCs w:val="22"/>
        </w:rPr>
        <w:t>and projected</w:t>
      </w:r>
      <w:r w:rsidR="00625840">
        <w:rPr>
          <w:sz w:val="22"/>
          <w:szCs w:val="22"/>
        </w:rPr>
        <w:t xml:space="preserve"> </w:t>
      </w:r>
      <w:r w:rsidR="00315654">
        <w:rPr>
          <w:sz w:val="22"/>
          <w:szCs w:val="22"/>
        </w:rPr>
        <w:t>depreciation for</w:t>
      </w:r>
      <w:r w:rsidR="000C1ACF">
        <w:rPr>
          <w:sz w:val="22"/>
          <w:szCs w:val="22"/>
        </w:rPr>
        <w:t xml:space="preserve"> </w:t>
      </w:r>
      <w:r w:rsidR="00C67196">
        <w:rPr>
          <w:sz w:val="22"/>
          <w:szCs w:val="22"/>
        </w:rPr>
        <w:t xml:space="preserve">FY 2015-16 </w:t>
      </w:r>
      <w:r>
        <w:rPr>
          <w:sz w:val="22"/>
          <w:szCs w:val="22"/>
        </w:rPr>
        <w:t xml:space="preserve">has been </w:t>
      </w:r>
      <w:r w:rsidR="000C1ACF">
        <w:rPr>
          <w:sz w:val="22"/>
          <w:szCs w:val="22"/>
        </w:rPr>
        <w:t>s</w:t>
      </w:r>
      <w:r>
        <w:rPr>
          <w:sz w:val="22"/>
          <w:szCs w:val="22"/>
        </w:rPr>
        <w:t xml:space="preserve">ummarized </w:t>
      </w:r>
      <w:r w:rsidR="00247870">
        <w:rPr>
          <w:sz w:val="22"/>
          <w:szCs w:val="22"/>
        </w:rPr>
        <w:t>as under</w:t>
      </w:r>
      <w:r w:rsidR="00931121">
        <w:rPr>
          <w:sz w:val="22"/>
          <w:szCs w:val="22"/>
        </w:rPr>
        <w:t>:</w:t>
      </w:r>
    </w:p>
    <w:p w:rsidR="00C43BF7" w:rsidRDefault="00041578" w:rsidP="00E27C97">
      <w:pPr>
        <w:pStyle w:val="Caption"/>
        <w:spacing w:line="240" w:lineRule="auto"/>
        <w:jc w:val="center"/>
        <w:rPr>
          <w:sz w:val="20"/>
        </w:rPr>
      </w:pPr>
      <w:bookmarkStart w:id="78" w:name="_Toc173941714"/>
      <w:bookmarkStart w:id="79" w:name="_Toc174434527"/>
      <w:bookmarkStart w:id="80" w:name="_Toc411604007"/>
      <w:r>
        <w:t xml:space="preserve">Table </w:t>
      </w:r>
      <w:fldSimple w:instr=" SEQ Table \* ARABIC ">
        <w:r w:rsidR="002326CE">
          <w:rPr>
            <w:noProof/>
          </w:rPr>
          <w:t>30</w:t>
        </w:r>
      </w:fldSimple>
      <w:r>
        <w:t xml:space="preserve"> :</w:t>
      </w:r>
      <w:r w:rsidR="00C43BF7" w:rsidRPr="00041578">
        <w:t xml:space="preserve"> Depreciation of IPGCL Power Plants</w:t>
      </w:r>
      <w:bookmarkEnd w:id="78"/>
      <w:bookmarkEnd w:id="79"/>
      <w:bookmarkEnd w:id="80"/>
    </w:p>
    <w:tbl>
      <w:tblPr>
        <w:tblW w:w="7130" w:type="dxa"/>
        <w:jc w:val="center"/>
        <w:tblInd w:w="-135" w:type="dxa"/>
        <w:tblLook w:val="0000"/>
      </w:tblPr>
      <w:tblGrid>
        <w:gridCol w:w="2323"/>
        <w:gridCol w:w="1003"/>
        <w:gridCol w:w="1139"/>
        <w:gridCol w:w="1402"/>
        <w:gridCol w:w="1418"/>
      </w:tblGrid>
      <w:tr w:rsidR="009D7E28" w:rsidRPr="009D7E28" w:rsidTr="00737FF1">
        <w:trPr>
          <w:trHeight w:val="321"/>
          <w:jc w:val="center"/>
        </w:trPr>
        <w:tc>
          <w:tcPr>
            <w:tcW w:w="2323"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9D7E28" w:rsidRPr="008A4212" w:rsidRDefault="009D7E28" w:rsidP="00737FF1">
            <w:pPr>
              <w:rPr>
                <w:b/>
                <w:bCs/>
                <w:sz w:val="20"/>
                <w:szCs w:val="20"/>
              </w:rPr>
            </w:pPr>
            <w:r w:rsidRPr="008A4212">
              <w:rPr>
                <w:b/>
                <w:bCs/>
                <w:sz w:val="20"/>
                <w:szCs w:val="20"/>
              </w:rPr>
              <w:t xml:space="preserve">Particulars </w:t>
            </w:r>
          </w:p>
          <w:p w:rsidR="009D7E28" w:rsidRPr="008A4212" w:rsidRDefault="009D7E28" w:rsidP="00737FF1">
            <w:pPr>
              <w:rPr>
                <w:b/>
                <w:bCs/>
                <w:sz w:val="20"/>
                <w:szCs w:val="20"/>
              </w:rPr>
            </w:pPr>
            <w:r w:rsidRPr="008A4212">
              <w:rPr>
                <w:b/>
                <w:bCs/>
                <w:sz w:val="20"/>
                <w:szCs w:val="20"/>
              </w:rPr>
              <w:t>(Rs. Crores)</w:t>
            </w:r>
          </w:p>
        </w:tc>
        <w:tc>
          <w:tcPr>
            <w:tcW w:w="1003" w:type="dxa"/>
            <w:tcBorders>
              <w:top w:val="single" w:sz="4" w:space="0" w:color="auto"/>
              <w:left w:val="nil"/>
              <w:bottom w:val="single" w:sz="4" w:space="0" w:color="auto"/>
              <w:right w:val="single" w:sz="4" w:space="0" w:color="auto"/>
            </w:tcBorders>
            <w:shd w:val="clear" w:color="auto" w:fill="000080"/>
            <w:noWrap/>
            <w:vAlign w:val="center"/>
          </w:tcPr>
          <w:p w:rsidR="009D7E28" w:rsidRPr="008A4212" w:rsidRDefault="009D7E28" w:rsidP="00737FF1">
            <w:pPr>
              <w:rPr>
                <w:rFonts w:cs="Arial"/>
                <w:b/>
                <w:bCs/>
                <w:sz w:val="20"/>
                <w:szCs w:val="20"/>
              </w:rPr>
            </w:pPr>
            <w:r w:rsidRPr="008A4212">
              <w:rPr>
                <w:rFonts w:cs="Arial"/>
                <w:b/>
                <w:bCs/>
                <w:sz w:val="20"/>
                <w:szCs w:val="20"/>
              </w:rPr>
              <w:t>12-13</w:t>
            </w:r>
          </w:p>
        </w:tc>
        <w:tc>
          <w:tcPr>
            <w:tcW w:w="1139" w:type="dxa"/>
            <w:tcBorders>
              <w:top w:val="single" w:sz="4" w:space="0" w:color="auto"/>
              <w:left w:val="nil"/>
              <w:bottom w:val="single" w:sz="4" w:space="0" w:color="auto"/>
              <w:right w:val="single" w:sz="4" w:space="0" w:color="auto"/>
            </w:tcBorders>
            <w:shd w:val="clear" w:color="auto" w:fill="000080"/>
            <w:noWrap/>
            <w:vAlign w:val="center"/>
          </w:tcPr>
          <w:p w:rsidR="009D7E28" w:rsidRPr="008A4212" w:rsidRDefault="009D7E28" w:rsidP="00737FF1">
            <w:pPr>
              <w:rPr>
                <w:rFonts w:cs="Arial"/>
                <w:b/>
                <w:bCs/>
                <w:sz w:val="20"/>
                <w:szCs w:val="20"/>
              </w:rPr>
            </w:pPr>
            <w:r w:rsidRPr="008A4212">
              <w:rPr>
                <w:rFonts w:cs="Arial"/>
                <w:b/>
                <w:bCs/>
                <w:sz w:val="20"/>
                <w:szCs w:val="20"/>
              </w:rPr>
              <w:t>13-14</w:t>
            </w:r>
          </w:p>
        </w:tc>
        <w:tc>
          <w:tcPr>
            <w:tcW w:w="1402" w:type="dxa"/>
            <w:tcBorders>
              <w:top w:val="single" w:sz="4" w:space="0" w:color="auto"/>
              <w:left w:val="nil"/>
              <w:bottom w:val="single" w:sz="4" w:space="0" w:color="auto"/>
              <w:right w:val="single" w:sz="4" w:space="0" w:color="auto"/>
            </w:tcBorders>
            <w:shd w:val="clear" w:color="auto" w:fill="000080"/>
            <w:noWrap/>
            <w:vAlign w:val="center"/>
          </w:tcPr>
          <w:p w:rsidR="009D7E28" w:rsidRPr="008A4212" w:rsidRDefault="009D7E28" w:rsidP="00737FF1">
            <w:pPr>
              <w:rPr>
                <w:rFonts w:cs="Arial"/>
                <w:b/>
                <w:bCs/>
                <w:sz w:val="20"/>
                <w:szCs w:val="20"/>
              </w:rPr>
            </w:pPr>
            <w:r w:rsidRPr="008A4212">
              <w:rPr>
                <w:rFonts w:cs="Arial"/>
                <w:b/>
                <w:bCs/>
                <w:sz w:val="20"/>
                <w:szCs w:val="20"/>
              </w:rPr>
              <w:t>14-15</w:t>
            </w:r>
          </w:p>
        </w:tc>
        <w:tc>
          <w:tcPr>
            <w:tcW w:w="1263" w:type="dxa"/>
            <w:tcBorders>
              <w:top w:val="single" w:sz="4" w:space="0" w:color="auto"/>
              <w:left w:val="nil"/>
              <w:bottom w:val="single" w:sz="4" w:space="0" w:color="auto"/>
              <w:right w:val="single" w:sz="4" w:space="0" w:color="auto"/>
            </w:tcBorders>
            <w:shd w:val="clear" w:color="auto" w:fill="000080"/>
            <w:noWrap/>
            <w:vAlign w:val="center"/>
          </w:tcPr>
          <w:p w:rsidR="00F71DD6" w:rsidRDefault="00F71DD6" w:rsidP="00F71DD6">
            <w:pPr>
              <w:spacing w:line="240" w:lineRule="auto"/>
              <w:jc w:val="center"/>
              <w:rPr>
                <w:b/>
                <w:sz w:val="22"/>
                <w:szCs w:val="22"/>
              </w:rPr>
            </w:pPr>
            <w:r>
              <w:rPr>
                <w:b/>
                <w:sz w:val="22"/>
                <w:szCs w:val="22"/>
              </w:rPr>
              <w:t>15-16</w:t>
            </w:r>
          </w:p>
          <w:p w:rsidR="009D7E28" w:rsidRPr="008A4212" w:rsidRDefault="00F71DD6" w:rsidP="00F71DD6">
            <w:pPr>
              <w:rPr>
                <w:b/>
                <w:bCs/>
                <w:sz w:val="20"/>
                <w:szCs w:val="20"/>
              </w:rPr>
            </w:pPr>
            <w:r>
              <w:rPr>
                <w:b/>
                <w:sz w:val="22"/>
                <w:szCs w:val="22"/>
              </w:rPr>
              <w:t>(Estimated)</w:t>
            </w:r>
          </w:p>
        </w:tc>
      </w:tr>
      <w:tr w:rsidR="009D7E28" w:rsidRPr="009D7E28" w:rsidTr="00737FF1">
        <w:trPr>
          <w:trHeight w:val="248"/>
          <w:jc w:val="center"/>
        </w:trPr>
        <w:tc>
          <w:tcPr>
            <w:tcW w:w="2323" w:type="dxa"/>
            <w:tcBorders>
              <w:top w:val="nil"/>
              <w:left w:val="single" w:sz="4" w:space="0" w:color="auto"/>
              <w:bottom w:val="single" w:sz="4" w:space="0" w:color="auto"/>
              <w:right w:val="single" w:sz="4" w:space="0" w:color="auto"/>
            </w:tcBorders>
            <w:shd w:val="clear" w:color="auto" w:fill="auto"/>
            <w:noWrap/>
            <w:vAlign w:val="center"/>
          </w:tcPr>
          <w:p w:rsidR="009D7E28" w:rsidRPr="008A4212" w:rsidRDefault="009D7E28" w:rsidP="00737FF1">
            <w:pPr>
              <w:rPr>
                <w:sz w:val="20"/>
                <w:szCs w:val="20"/>
              </w:rPr>
            </w:pPr>
            <w:r w:rsidRPr="008A4212">
              <w:rPr>
                <w:sz w:val="20"/>
                <w:szCs w:val="20"/>
              </w:rPr>
              <w:t>For RPH</w:t>
            </w:r>
          </w:p>
        </w:tc>
        <w:tc>
          <w:tcPr>
            <w:tcW w:w="1003"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rFonts w:ascii="Arial" w:hAnsi="Arial"/>
                <w:sz w:val="20"/>
                <w:szCs w:val="20"/>
              </w:rPr>
            </w:pPr>
            <w:r w:rsidRPr="008A4212">
              <w:rPr>
                <w:rFonts w:ascii="Arial" w:hAnsi="Arial"/>
                <w:sz w:val="20"/>
                <w:szCs w:val="20"/>
              </w:rPr>
              <w:t>13.49</w:t>
            </w:r>
          </w:p>
        </w:tc>
        <w:tc>
          <w:tcPr>
            <w:tcW w:w="1139"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rFonts w:ascii="Arial" w:hAnsi="Arial"/>
                <w:sz w:val="20"/>
                <w:szCs w:val="20"/>
              </w:rPr>
            </w:pPr>
            <w:r w:rsidRPr="008A4212">
              <w:rPr>
                <w:rFonts w:ascii="Arial" w:hAnsi="Arial"/>
                <w:sz w:val="20"/>
                <w:szCs w:val="20"/>
              </w:rPr>
              <w:t>13.25</w:t>
            </w:r>
          </w:p>
        </w:tc>
        <w:tc>
          <w:tcPr>
            <w:tcW w:w="1402"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rFonts w:ascii="Arial" w:hAnsi="Arial"/>
                <w:sz w:val="20"/>
                <w:szCs w:val="20"/>
              </w:rPr>
            </w:pPr>
            <w:r w:rsidRPr="008A4212">
              <w:rPr>
                <w:rFonts w:ascii="Arial" w:hAnsi="Arial"/>
                <w:sz w:val="20"/>
                <w:szCs w:val="20"/>
              </w:rPr>
              <w:t>12.96</w:t>
            </w:r>
          </w:p>
        </w:tc>
        <w:tc>
          <w:tcPr>
            <w:tcW w:w="1263" w:type="dxa"/>
            <w:tcBorders>
              <w:top w:val="nil"/>
              <w:left w:val="nil"/>
              <w:bottom w:val="single" w:sz="4" w:space="0" w:color="auto"/>
              <w:right w:val="single" w:sz="4" w:space="0" w:color="auto"/>
            </w:tcBorders>
            <w:shd w:val="clear" w:color="auto" w:fill="auto"/>
            <w:noWrap/>
            <w:vAlign w:val="center"/>
          </w:tcPr>
          <w:p w:rsidR="009D7E28" w:rsidRPr="008A4212" w:rsidRDefault="004F672B" w:rsidP="00737FF1">
            <w:pPr>
              <w:jc w:val="center"/>
              <w:rPr>
                <w:rFonts w:ascii="Arial" w:hAnsi="Arial"/>
                <w:sz w:val="20"/>
                <w:szCs w:val="20"/>
              </w:rPr>
            </w:pPr>
            <w:r w:rsidRPr="008A4212">
              <w:rPr>
                <w:rFonts w:ascii="Arial" w:hAnsi="Arial"/>
                <w:sz w:val="20"/>
                <w:szCs w:val="20"/>
              </w:rPr>
              <w:t>12.91</w:t>
            </w:r>
          </w:p>
        </w:tc>
      </w:tr>
      <w:tr w:rsidR="009D7E28" w:rsidRPr="009D7E28" w:rsidTr="00737FF1">
        <w:trPr>
          <w:trHeight w:val="238"/>
          <w:jc w:val="center"/>
        </w:trPr>
        <w:tc>
          <w:tcPr>
            <w:tcW w:w="2323" w:type="dxa"/>
            <w:tcBorders>
              <w:top w:val="nil"/>
              <w:left w:val="single" w:sz="4" w:space="0" w:color="auto"/>
              <w:bottom w:val="single" w:sz="4" w:space="0" w:color="auto"/>
              <w:right w:val="single" w:sz="4" w:space="0" w:color="auto"/>
            </w:tcBorders>
            <w:shd w:val="clear" w:color="auto" w:fill="auto"/>
            <w:noWrap/>
            <w:vAlign w:val="center"/>
          </w:tcPr>
          <w:p w:rsidR="009D7E28" w:rsidRPr="008A4212" w:rsidRDefault="009D7E28" w:rsidP="00737FF1">
            <w:pPr>
              <w:rPr>
                <w:sz w:val="20"/>
                <w:szCs w:val="20"/>
              </w:rPr>
            </w:pPr>
            <w:r w:rsidRPr="008A4212">
              <w:rPr>
                <w:sz w:val="20"/>
                <w:szCs w:val="20"/>
              </w:rPr>
              <w:t>For GTPS</w:t>
            </w:r>
          </w:p>
        </w:tc>
        <w:tc>
          <w:tcPr>
            <w:tcW w:w="1003"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rFonts w:ascii="Arial" w:hAnsi="Arial"/>
                <w:sz w:val="20"/>
                <w:szCs w:val="20"/>
              </w:rPr>
            </w:pPr>
            <w:r w:rsidRPr="008A4212">
              <w:rPr>
                <w:rFonts w:ascii="Arial" w:hAnsi="Arial"/>
                <w:sz w:val="20"/>
                <w:szCs w:val="20"/>
              </w:rPr>
              <w:t>22.36</w:t>
            </w:r>
          </w:p>
        </w:tc>
        <w:tc>
          <w:tcPr>
            <w:tcW w:w="1139"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rFonts w:ascii="Arial" w:hAnsi="Arial"/>
                <w:sz w:val="20"/>
                <w:szCs w:val="20"/>
              </w:rPr>
            </w:pPr>
            <w:r w:rsidRPr="008A4212">
              <w:rPr>
                <w:rFonts w:ascii="Arial" w:hAnsi="Arial"/>
                <w:sz w:val="20"/>
                <w:szCs w:val="20"/>
              </w:rPr>
              <w:t>24.53</w:t>
            </w:r>
          </w:p>
        </w:tc>
        <w:tc>
          <w:tcPr>
            <w:tcW w:w="1402"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rFonts w:ascii="Arial" w:hAnsi="Arial"/>
                <w:sz w:val="20"/>
                <w:szCs w:val="20"/>
              </w:rPr>
            </w:pPr>
            <w:r w:rsidRPr="008A4212">
              <w:rPr>
                <w:rFonts w:ascii="Arial" w:hAnsi="Arial"/>
                <w:sz w:val="20"/>
                <w:szCs w:val="20"/>
              </w:rPr>
              <w:t>24.87</w:t>
            </w:r>
          </w:p>
        </w:tc>
        <w:tc>
          <w:tcPr>
            <w:tcW w:w="1263" w:type="dxa"/>
            <w:tcBorders>
              <w:top w:val="nil"/>
              <w:left w:val="nil"/>
              <w:bottom w:val="single" w:sz="4" w:space="0" w:color="auto"/>
              <w:right w:val="single" w:sz="4" w:space="0" w:color="auto"/>
            </w:tcBorders>
            <w:shd w:val="clear" w:color="auto" w:fill="auto"/>
            <w:noWrap/>
            <w:vAlign w:val="center"/>
          </w:tcPr>
          <w:p w:rsidR="009D7E28" w:rsidRPr="008A4212" w:rsidRDefault="004F672B" w:rsidP="00737FF1">
            <w:pPr>
              <w:jc w:val="center"/>
              <w:rPr>
                <w:rFonts w:ascii="Arial" w:hAnsi="Arial"/>
                <w:sz w:val="20"/>
                <w:szCs w:val="20"/>
              </w:rPr>
            </w:pPr>
            <w:r w:rsidRPr="008A4212">
              <w:rPr>
                <w:rFonts w:ascii="Arial" w:hAnsi="Arial"/>
                <w:sz w:val="20"/>
                <w:szCs w:val="20"/>
              </w:rPr>
              <w:t>23.32</w:t>
            </w:r>
          </w:p>
        </w:tc>
      </w:tr>
      <w:tr w:rsidR="009D7E28" w:rsidRPr="009D7E28" w:rsidTr="00737FF1">
        <w:trPr>
          <w:trHeight w:val="259"/>
          <w:jc w:val="center"/>
        </w:trPr>
        <w:tc>
          <w:tcPr>
            <w:tcW w:w="2323" w:type="dxa"/>
            <w:tcBorders>
              <w:top w:val="nil"/>
              <w:left w:val="single" w:sz="4" w:space="0" w:color="auto"/>
              <w:bottom w:val="single" w:sz="4" w:space="0" w:color="auto"/>
              <w:right w:val="single" w:sz="4" w:space="0" w:color="auto"/>
            </w:tcBorders>
            <w:shd w:val="clear" w:color="auto" w:fill="auto"/>
            <w:noWrap/>
            <w:vAlign w:val="center"/>
          </w:tcPr>
          <w:p w:rsidR="009D7E28" w:rsidRPr="008A4212" w:rsidRDefault="009D7E28" w:rsidP="00737FF1">
            <w:pPr>
              <w:rPr>
                <w:b/>
                <w:bCs/>
                <w:sz w:val="20"/>
                <w:szCs w:val="20"/>
              </w:rPr>
            </w:pPr>
            <w:r w:rsidRPr="008A4212">
              <w:rPr>
                <w:b/>
                <w:bCs/>
                <w:sz w:val="20"/>
                <w:szCs w:val="20"/>
              </w:rPr>
              <w:t>IPGCL (as a whole)</w:t>
            </w:r>
          </w:p>
        </w:tc>
        <w:tc>
          <w:tcPr>
            <w:tcW w:w="1003"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b/>
                <w:bCs/>
                <w:sz w:val="20"/>
                <w:szCs w:val="20"/>
              </w:rPr>
            </w:pPr>
            <w:r w:rsidRPr="008A4212">
              <w:rPr>
                <w:b/>
                <w:bCs/>
                <w:sz w:val="20"/>
                <w:szCs w:val="20"/>
              </w:rPr>
              <w:t>35.85</w:t>
            </w:r>
          </w:p>
        </w:tc>
        <w:tc>
          <w:tcPr>
            <w:tcW w:w="1139"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b/>
                <w:bCs/>
                <w:sz w:val="20"/>
                <w:szCs w:val="20"/>
              </w:rPr>
            </w:pPr>
            <w:r w:rsidRPr="008A4212">
              <w:rPr>
                <w:b/>
                <w:bCs/>
                <w:sz w:val="20"/>
                <w:szCs w:val="20"/>
              </w:rPr>
              <w:t>37.78</w:t>
            </w:r>
          </w:p>
        </w:tc>
        <w:tc>
          <w:tcPr>
            <w:tcW w:w="1402" w:type="dxa"/>
            <w:tcBorders>
              <w:top w:val="nil"/>
              <w:left w:val="nil"/>
              <w:bottom w:val="single" w:sz="4" w:space="0" w:color="auto"/>
              <w:right w:val="single" w:sz="4" w:space="0" w:color="auto"/>
            </w:tcBorders>
            <w:shd w:val="clear" w:color="auto" w:fill="auto"/>
            <w:noWrap/>
            <w:vAlign w:val="center"/>
          </w:tcPr>
          <w:p w:rsidR="009D7E28" w:rsidRPr="008A4212" w:rsidRDefault="009D7E28" w:rsidP="00737FF1">
            <w:pPr>
              <w:jc w:val="center"/>
              <w:rPr>
                <w:b/>
                <w:bCs/>
                <w:sz w:val="20"/>
                <w:szCs w:val="20"/>
              </w:rPr>
            </w:pPr>
            <w:r w:rsidRPr="008A4212">
              <w:rPr>
                <w:b/>
                <w:bCs/>
                <w:sz w:val="20"/>
                <w:szCs w:val="20"/>
              </w:rPr>
              <w:t>37.83</w:t>
            </w:r>
          </w:p>
        </w:tc>
        <w:tc>
          <w:tcPr>
            <w:tcW w:w="1263" w:type="dxa"/>
            <w:tcBorders>
              <w:top w:val="nil"/>
              <w:left w:val="nil"/>
              <w:bottom w:val="single" w:sz="4" w:space="0" w:color="auto"/>
              <w:right w:val="single" w:sz="4" w:space="0" w:color="auto"/>
            </w:tcBorders>
            <w:shd w:val="clear" w:color="auto" w:fill="auto"/>
            <w:noWrap/>
            <w:vAlign w:val="center"/>
          </w:tcPr>
          <w:p w:rsidR="009D7E28" w:rsidRPr="008A4212" w:rsidRDefault="004F672B" w:rsidP="00737FF1">
            <w:pPr>
              <w:jc w:val="center"/>
              <w:rPr>
                <w:b/>
                <w:bCs/>
                <w:sz w:val="20"/>
                <w:szCs w:val="20"/>
              </w:rPr>
            </w:pPr>
            <w:r w:rsidRPr="008A4212">
              <w:rPr>
                <w:b/>
                <w:bCs/>
                <w:sz w:val="20"/>
                <w:szCs w:val="20"/>
              </w:rPr>
              <w:t>36.23</w:t>
            </w:r>
          </w:p>
        </w:tc>
      </w:tr>
    </w:tbl>
    <w:p w:rsidR="007A7A96" w:rsidRPr="009D7E28" w:rsidRDefault="007A7A96" w:rsidP="00E73159">
      <w:pPr>
        <w:tabs>
          <w:tab w:val="left" w:pos="180"/>
        </w:tabs>
        <w:ind w:left="900" w:hanging="900"/>
        <w:rPr>
          <w:b/>
          <w:bCs/>
          <w:color w:val="00B0F0"/>
          <w:sz w:val="10"/>
        </w:rPr>
      </w:pPr>
    </w:p>
    <w:p w:rsidR="00C43BF7" w:rsidRDefault="00C43BF7" w:rsidP="00C43BF7">
      <w:pPr>
        <w:pStyle w:val="Heading3"/>
        <w:numPr>
          <w:ilvl w:val="0"/>
          <w:numId w:val="0"/>
        </w:numPr>
      </w:pPr>
      <w:bookmarkStart w:id="81" w:name="_Toc173941684"/>
      <w:bookmarkStart w:id="82" w:name="_Toc411605254"/>
      <w:r>
        <w:rPr>
          <w:rFonts w:ascii="Century Gothic" w:hAnsi="Century Gothic" w:cs="Times New Roman"/>
          <w:sz w:val="22"/>
          <w:szCs w:val="22"/>
        </w:rPr>
        <w:t>3.2.4</w:t>
      </w:r>
      <w:r>
        <w:rPr>
          <w:rFonts w:ascii="Century Gothic" w:hAnsi="Century Gothic" w:cs="Times New Roman"/>
          <w:sz w:val="22"/>
          <w:szCs w:val="22"/>
        </w:rPr>
        <w:tab/>
        <w:t>Return on Equity</w:t>
      </w:r>
      <w:bookmarkEnd w:id="81"/>
      <w:bookmarkEnd w:id="82"/>
    </w:p>
    <w:p w:rsidR="00C43BF7" w:rsidRDefault="002C1975" w:rsidP="00C43BF7">
      <w:pPr>
        <w:rPr>
          <w:sz w:val="22"/>
          <w:szCs w:val="22"/>
        </w:rPr>
      </w:pPr>
      <w:r>
        <w:rPr>
          <w:sz w:val="22"/>
          <w:szCs w:val="22"/>
        </w:rPr>
        <w:t>T</w:t>
      </w:r>
      <w:r w:rsidR="00C43BF7">
        <w:rPr>
          <w:sz w:val="22"/>
          <w:szCs w:val="22"/>
        </w:rPr>
        <w:t>he subscribed and paid up equity capital of IPGCL was fixed at Rs. 140 Crore</w:t>
      </w:r>
      <w:r w:rsidRPr="002C1975">
        <w:rPr>
          <w:sz w:val="22"/>
          <w:szCs w:val="22"/>
        </w:rPr>
        <w:t xml:space="preserve"> </w:t>
      </w:r>
      <w:r>
        <w:rPr>
          <w:sz w:val="22"/>
          <w:szCs w:val="22"/>
        </w:rPr>
        <w:t xml:space="preserve">as on July 1, </w:t>
      </w:r>
      <w:smartTag w:uri="urn:schemas-microsoft-com:office:smarttags" w:element="metricconverter">
        <w:smartTagPr>
          <w:attr w:name="ProductID" w:val="2002 in"/>
        </w:smartTagPr>
        <w:r>
          <w:rPr>
            <w:sz w:val="22"/>
            <w:szCs w:val="22"/>
          </w:rPr>
          <w:t>2002 in</w:t>
        </w:r>
      </w:smartTag>
      <w:r>
        <w:rPr>
          <w:sz w:val="22"/>
          <w:szCs w:val="22"/>
        </w:rPr>
        <w:t xml:space="preserve"> accordance with the Transfer Scheme</w:t>
      </w:r>
      <w:r w:rsidR="00B76720">
        <w:rPr>
          <w:sz w:val="22"/>
          <w:szCs w:val="22"/>
        </w:rPr>
        <w:t>.</w:t>
      </w:r>
      <w:r w:rsidR="00C43BF7">
        <w:rPr>
          <w:sz w:val="22"/>
          <w:szCs w:val="22"/>
        </w:rPr>
        <w:t xml:space="preserve"> The t</w:t>
      </w:r>
      <w:r w:rsidR="00FB670F">
        <w:rPr>
          <w:sz w:val="22"/>
          <w:szCs w:val="22"/>
        </w:rPr>
        <w:t xml:space="preserve">otal equity </w:t>
      </w:r>
      <w:r w:rsidR="00A15478">
        <w:rPr>
          <w:sz w:val="22"/>
          <w:szCs w:val="22"/>
        </w:rPr>
        <w:t>was</w:t>
      </w:r>
      <w:r w:rsidR="00FB670F">
        <w:rPr>
          <w:sz w:val="22"/>
          <w:szCs w:val="22"/>
        </w:rPr>
        <w:t xml:space="preserve"> bifurcated</w:t>
      </w:r>
      <w:r w:rsidR="00C43BF7">
        <w:rPr>
          <w:sz w:val="22"/>
          <w:szCs w:val="22"/>
        </w:rPr>
        <w:t xml:space="preserve"> plant wise, on the </w:t>
      </w:r>
      <w:r w:rsidR="00C43BF7" w:rsidRPr="004A4B76">
        <w:rPr>
          <w:sz w:val="22"/>
          <w:szCs w:val="22"/>
        </w:rPr>
        <w:t xml:space="preserve">basis of </w:t>
      </w:r>
      <w:r w:rsidR="00BF0EEE" w:rsidRPr="004A4B76">
        <w:rPr>
          <w:sz w:val="22"/>
          <w:szCs w:val="22"/>
        </w:rPr>
        <w:t xml:space="preserve">Gross </w:t>
      </w:r>
      <w:r w:rsidR="00C43BF7" w:rsidRPr="004A4B76">
        <w:rPr>
          <w:sz w:val="22"/>
          <w:szCs w:val="22"/>
        </w:rPr>
        <w:t>Fixed</w:t>
      </w:r>
      <w:r w:rsidR="00C43BF7">
        <w:rPr>
          <w:sz w:val="22"/>
          <w:szCs w:val="22"/>
        </w:rPr>
        <w:t xml:space="preserve"> Assets of the Company</w:t>
      </w:r>
      <w:r w:rsidR="00FB670F">
        <w:rPr>
          <w:sz w:val="22"/>
          <w:szCs w:val="22"/>
        </w:rPr>
        <w:t>,</w:t>
      </w:r>
      <w:r w:rsidR="00FB670F" w:rsidRPr="00FB670F">
        <w:rPr>
          <w:sz w:val="22"/>
          <w:szCs w:val="22"/>
        </w:rPr>
        <w:t xml:space="preserve"> </w:t>
      </w:r>
      <w:r w:rsidR="00FB670F">
        <w:rPr>
          <w:sz w:val="22"/>
          <w:szCs w:val="22"/>
        </w:rPr>
        <w:t>as under</w:t>
      </w:r>
      <w:r w:rsidR="00C43BF7">
        <w:rPr>
          <w:sz w:val="22"/>
          <w:szCs w:val="22"/>
        </w:rPr>
        <w:t xml:space="preserve">: </w:t>
      </w:r>
    </w:p>
    <w:p w:rsidR="00C43BF7" w:rsidRPr="00405187" w:rsidRDefault="00405187" w:rsidP="00405187">
      <w:pPr>
        <w:pStyle w:val="Caption"/>
        <w:jc w:val="center"/>
      </w:pPr>
      <w:bookmarkStart w:id="83" w:name="_Toc173941715"/>
      <w:bookmarkStart w:id="84" w:name="_Toc174434528"/>
      <w:bookmarkStart w:id="85" w:name="_Toc411604008"/>
      <w:r>
        <w:t xml:space="preserve">Table </w:t>
      </w:r>
      <w:fldSimple w:instr=" SEQ Table \* ARABIC ">
        <w:r w:rsidR="002326CE">
          <w:rPr>
            <w:noProof/>
          </w:rPr>
          <w:t>31</w:t>
        </w:r>
      </w:fldSimple>
      <w:r>
        <w:t xml:space="preserve"> : </w:t>
      </w:r>
      <w:r w:rsidR="00C43BF7" w:rsidRPr="00405187">
        <w:t>Equity Bifurcation for IPGCL Power Plants</w:t>
      </w:r>
      <w:bookmarkEnd w:id="83"/>
      <w:bookmarkEnd w:id="84"/>
      <w:bookmarkEnd w:id="85"/>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10"/>
        <w:gridCol w:w="4410"/>
      </w:tblGrid>
      <w:tr w:rsidR="00C43BF7">
        <w:trPr>
          <w:trHeight w:val="371"/>
        </w:trPr>
        <w:tc>
          <w:tcPr>
            <w:tcW w:w="4410" w:type="dxa"/>
            <w:shd w:val="clear" w:color="auto" w:fill="000080"/>
          </w:tcPr>
          <w:p w:rsidR="00C43BF7" w:rsidRDefault="00C43BF7" w:rsidP="00612498">
            <w:pPr>
              <w:ind w:left="432"/>
              <w:rPr>
                <w:b/>
                <w:bCs/>
                <w:color w:val="FFFFFF"/>
                <w:sz w:val="20"/>
                <w:szCs w:val="20"/>
              </w:rPr>
            </w:pPr>
            <w:r>
              <w:rPr>
                <w:b/>
                <w:bCs/>
                <w:color w:val="FFFFFF"/>
                <w:sz w:val="20"/>
                <w:szCs w:val="20"/>
              </w:rPr>
              <w:t>Power Stations</w:t>
            </w:r>
          </w:p>
        </w:tc>
        <w:tc>
          <w:tcPr>
            <w:tcW w:w="4410" w:type="dxa"/>
            <w:shd w:val="clear" w:color="auto" w:fill="000080"/>
          </w:tcPr>
          <w:p w:rsidR="00C43BF7" w:rsidRDefault="00C43BF7" w:rsidP="00B740DC">
            <w:pPr>
              <w:jc w:val="center"/>
              <w:rPr>
                <w:b/>
                <w:bCs/>
                <w:color w:val="FFFFFF"/>
                <w:sz w:val="20"/>
                <w:szCs w:val="20"/>
              </w:rPr>
            </w:pPr>
            <w:r>
              <w:rPr>
                <w:b/>
                <w:bCs/>
                <w:color w:val="FFFFFF"/>
                <w:sz w:val="20"/>
                <w:szCs w:val="20"/>
              </w:rPr>
              <w:t>Rs.in Crore</w:t>
            </w:r>
          </w:p>
        </w:tc>
      </w:tr>
      <w:tr w:rsidR="00C43BF7">
        <w:trPr>
          <w:trHeight w:val="384"/>
        </w:trPr>
        <w:tc>
          <w:tcPr>
            <w:tcW w:w="4410" w:type="dxa"/>
          </w:tcPr>
          <w:p w:rsidR="00C43BF7" w:rsidRDefault="00C43BF7" w:rsidP="00612498">
            <w:pPr>
              <w:ind w:left="432"/>
              <w:rPr>
                <w:sz w:val="20"/>
                <w:szCs w:val="20"/>
              </w:rPr>
            </w:pPr>
            <w:r>
              <w:rPr>
                <w:sz w:val="20"/>
                <w:szCs w:val="20"/>
              </w:rPr>
              <w:t>IP Power Station</w:t>
            </w:r>
          </w:p>
        </w:tc>
        <w:tc>
          <w:tcPr>
            <w:tcW w:w="4410" w:type="dxa"/>
          </w:tcPr>
          <w:p w:rsidR="00C43BF7" w:rsidRPr="008A4212" w:rsidRDefault="00C43BF7" w:rsidP="00612498">
            <w:pPr>
              <w:ind w:right="2232"/>
              <w:jc w:val="right"/>
              <w:rPr>
                <w:sz w:val="20"/>
                <w:szCs w:val="20"/>
              </w:rPr>
            </w:pPr>
            <w:r w:rsidRPr="008A4212">
              <w:rPr>
                <w:sz w:val="20"/>
                <w:szCs w:val="20"/>
              </w:rPr>
              <w:t>1.20</w:t>
            </w:r>
          </w:p>
        </w:tc>
      </w:tr>
      <w:tr w:rsidR="00C43BF7">
        <w:trPr>
          <w:trHeight w:val="371"/>
        </w:trPr>
        <w:tc>
          <w:tcPr>
            <w:tcW w:w="4410" w:type="dxa"/>
          </w:tcPr>
          <w:p w:rsidR="00C43BF7" w:rsidRDefault="00C43BF7" w:rsidP="00612498">
            <w:pPr>
              <w:ind w:left="432"/>
              <w:rPr>
                <w:sz w:val="20"/>
                <w:szCs w:val="20"/>
              </w:rPr>
            </w:pPr>
            <w:r>
              <w:rPr>
                <w:sz w:val="20"/>
                <w:szCs w:val="20"/>
              </w:rPr>
              <w:t>Rajghat Power Station</w:t>
            </w:r>
          </w:p>
        </w:tc>
        <w:tc>
          <w:tcPr>
            <w:tcW w:w="4410" w:type="dxa"/>
          </w:tcPr>
          <w:p w:rsidR="00C43BF7" w:rsidRPr="008A4212" w:rsidRDefault="00C43BF7" w:rsidP="00612498">
            <w:pPr>
              <w:ind w:right="2232"/>
              <w:jc w:val="right"/>
              <w:rPr>
                <w:sz w:val="20"/>
                <w:szCs w:val="20"/>
              </w:rPr>
            </w:pPr>
            <w:r w:rsidRPr="008A4212">
              <w:rPr>
                <w:sz w:val="20"/>
                <w:szCs w:val="20"/>
              </w:rPr>
              <w:t>59.56</w:t>
            </w:r>
          </w:p>
        </w:tc>
      </w:tr>
      <w:tr w:rsidR="00C43BF7">
        <w:trPr>
          <w:trHeight w:val="371"/>
        </w:trPr>
        <w:tc>
          <w:tcPr>
            <w:tcW w:w="4410" w:type="dxa"/>
          </w:tcPr>
          <w:p w:rsidR="00C43BF7" w:rsidRDefault="00C43BF7" w:rsidP="00612498">
            <w:pPr>
              <w:ind w:left="432"/>
              <w:rPr>
                <w:sz w:val="20"/>
                <w:szCs w:val="20"/>
              </w:rPr>
            </w:pPr>
            <w:r>
              <w:rPr>
                <w:sz w:val="20"/>
                <w:szCs w:val="20"/>
              </w:rPr>
              <w:t>GT Power Station</w:t>
            </w:r>
          </w:p>
        </w:tc>
        <w:tc>
          <w:tcPr>
            <w:tcW w:w="4410" w:type="dxa"/>
          </w:tcPr>
          <w:p w:rsidR="00C43BF7" w:rsidRPr="008A4212" w:rsidRDefault="00C43BF7" w:rsidP="00612498">
            <w:pPr>
              <w:ind w:right="2232"/>
              <w:jc w:val="right"/>
              <w:rPr>
                <w:sz w:val="20"/>
                <w:szCs w:val="20"/>
              </w:rPr>
            </w:pPr>
            <w:r w:rsidRPr="008A4212">
              <w:rPr>
                <w:sz w:val="20"/>
                <w:szCs w:val="20"/>
              </w:rPr>
              <w:t>79.24</w:t>
            </w:r>
          </w:p>
        </w:tc>
      </w:tr>
      <w:tr w:rsidR="00C43BF7">
        <w:trPr>
          <w:trHeight w:val="384"/>
        </w:trPr>
        <w:tc>
          <w:tcPr>
            <w:tcW w:w="4410" w:type="dxa"/>
          </w:tcPr>
          <w:p w:rsidR="00C43BF7" w:rsidRDefault="00C43BF7" w:rsidP="00612498">
            <w:pPr>
              <w:ind w:left="432"/>
              <w:rPr>
                <w:b/>
                <w:bCs/>
                <w:sz w:val="20"/>
                <w:szCs w:val="20"/>
              </w:rPr>
            </w:pPr>
            <w:r>
              <w:rPr>
                <w:b/>
                <w:bCs/>
                <w:sz w:val="20"/>
                <w:szCs w:val="20"/>
              </w:rPr>
              <w:t>Total</w:t>
            </w:r>
          </w:p>
        </w:tc>
        <w:tc>
          <w:tcPr>
            <w:tcW w:w="4410" w:type="dxa"/>
          </w:tcPr>
          <w:p w:rsidR="00C43BF7" w:rsidRPr="008A4212" w:rsidRDefault="00C43BF7" w:rsidP="00612498">
            <w:pPr>
              <w:ind w:right="2232"/>
              <w:jc w:val="right"/>
              <w:rPr>
                <w:b/>
                <w:bCs/>
                <w:sz w:val="20"/>
                <w:szCs w:val="20"/>
              </w:rPr>
            </w:pPr>
            <w:r w:rsidRPr="008A4212">
              <w:rPr>
                <w:b/>
                <w:bCs/>
                <w:sz w:val="20"/>
                <w:szCs w:val="20"/>
              </w:rPr>
              <w:t>140.00</w:t>
            </w:r>
          </w:p>
        </w:tc>
      </w:tr>
    </w:tbl>
    <w:p w:rsidR="00F40CB8" w:rsidRDefault="00F40CB8" w:rsidP="00F40CB8">
      <w:pPr>
        <w:pStyle w:val="BodyText"/>
        <w:ind w:left="360"/>
        <w:rPr>
          <w:rFonts w:ascii="Century Gothic" w:hAnsi="Century Gothic"/>
          <w:szCs w:val="22"/>
        </w:rPr>
      </w:pPr>
    </w:p>
    <w:p w:rsidR="00276130" w:rsidRDefault="00276130" w:rsidP="00276130">
      <w:pPr>
        <w:pStyle w:val="BodyText"/>
        <w:rPr>
          <w:rFonts w:ascii="Century Gothic" w:hAnsi="Century Gothic"/>
          <w:szCs w:val="22"/>
        </w:rPr>
      </w:pPr>
      <w:r>
        <w:rPr>
          <w:rFonts w:ascii="Century Gothic" w:hAnsi="Century Gothic"/>
          <w:szCs w:val="22"/>
        </w:rPr>
        <w:t xml:space="preserve">The Hon’ble Commission has fixed the pretax base rate of 15.5% in draft Generation Tariff Regulation in line with </w:t>
      </w:r>
      <w:r w:rsidRPr="0091490E">
        <w:rPr>
          <w:rFonts w:ascii="Century Gothic" w:hAnsi="Century Gothic"/>
          <w:color w:val="000000"/>
          <w:szCs w:val="22"/>
        </w:rPr>
        <w:t>Central Electricity Regulatory Commission (Terms and Conditions of Tariff) Regulations, 2009 for the period FY 2009-14</w:t>
      </w:r>
      <w:r>
        <w:rPr>
          <w:rFonts w:ascii="Century Gothic" w:hAnsi="Century Gothic"/>
          <w:color w:val="000000"/>
          <w:szCs w:val="22"/>
        </w:rPr>
        <w:t xml:space="preserve">. However, the Hon’ble Commission </w:t>
      </w:r>
      <w:r w:rsidR="0095256E">
        <w:rPr>
          <w:rFonts w:ascii="Century Gothic" w:hAnsi="Century Gothic"/>
          <w:color w:val="000000"/>
          <w:szCs w:val="22"/>
        </w:rPr>
        <w:t>has reduced</w:t>
      </w:r>
      <w:r>
        <w:rPr>
          <w:rFonts w:ascii="Century Gothic" w:hAnsi="Century Gothic"/>
          <w:color w:val="000000"/>
          <w:szCs w:val="22"/>
        </w:rPr>
        <w:t xml:space="preserve"> the rate of retur</w:t>
      </w:r>
      <w:r w:rsidR="002C1975">
        <w:rPr>
          <w:rFonts w:ascii="Century Gothic" w:hAnsi="Century Gothic"/>
          <w:color w:val="000000"/>
          <w:szCs w:val="22"/>
        </w:rPr>
        <w:t xml:space="preserve">n on equity to 14% in the </w:t>
      </w:r>
      <w:r w:rsidR="0095256E">
        <w:rPr>
          <w:rFonts w:ascii="Century Gothic" w:hAnsi="Century Gothic"/>
          <w:color w:val="000000"/>
          <w:szCs w:val="22"/>
        </w:rPr>
        <w:t>final Delhi</w:t>
      </w:r>
      <w:r w:rsidRPr="00F236BC">
        <w:rPr>
          <w:rFonts w:ascii="Century Gothic" w:hAnsi="Century Gothic"/>
          <w:color w:val="000000"/>
          <w:szCs w:val="22"/>
        </w:rPr>
        <w:t xml:space="preserve"> Electricity Regulatory Commission (Terms and Conditions for Determination of Generation Tariff) Regulations, 2011</w:t>
      </w:r>
      <w:r>
        <w:rPr>
          <w:rFonts w:ascii="Century Gothic" w:hAnsi="Century Gothic"/>
          <w:color w:val="000000"/>
          <w:szCs w:val="22"/>
        </w:rPr>
        <w:t>.</w:t>
      </w:r>
      <w:r>
        <w:rPr>
          <w:rFonts w:ascii="Century Gothic" w:hAnsi="Century Gothic"/>
          <w:szCs w:val="22"/>
        </w:rPr>
        <w:t xml:space="preserve"> </w:t>
      </w:r>
    </w:p>
    <w:p w:rsidR="00276130" w:rsidRDefault="00276130" w:rsidP="00276130">
      <w:pPr>
        <w:pStyle w:val="BodyText"/>
        <w:rPr>
          <w:rFonts w:ascii="Century Gothic" w:hAnsi="Century Gothic"/>
          <w:color w:val="000000"/>
          <w:szCs w:val="22"/>
        </w:rPr>
      </w:pPr>
    </w:p>
    <w:p w:rsidR="00276130" w:rsidRPr="00EC07B3" w:rsidRDefault="00276130" w:rsidP="00276130">
      <w:pPr>
        <w:pStyle w:val="BodyText"/>
        <w:rPr>
          <w:rFonts w:ascii="Century Gothic" w:hAnsi="Century Gothic"/>
          <w:szCs w:val="22"/>
        </w:rPr>
      </w:pPr>
      <w:r>
        <w:rPr>
          <w:rFonts w:ascii="Century Gothic" w:hAnsi="Century Gothic"/>
          <w:color w:val="000000"/>
          <w:szCs w:val="22"/>
        </w:rPr>
        <w:t xml:space="preserve">It is submitted that the Hon’ble Commission has not </w:t>
      </w:r>
      <w:r w:rsidR="002C1975">
        <w:rPr>
          <w:rFonts w:ascii="Century Gothic" w:hAnsi="Century Gothic"/>
          <w:color w:val="000000"/>
          <w:szCs w:val="22"/>
        </w:rPr>
        <w:t>considered</w:t>
      </w:r>
      <w:r>
        <w:rPr>
          <w:rFonts w:ascii="Century Gothic" w:hAnsi="Century Gothic"/>
          <w:color w:val="000000"/>
          <w:szCs w:val="22"/>
        </w:rPr>
        <w:t xml:space="preserve"> the principles enumerated by Hon’ble </w:t>
      </w:r>
      <w:r w:rsidRPr="0091490E">
        <w:rPr>
          <w:rFonts w:ascii="Century Gothic" w:hAnsi="Century Gothic"/>
          <w:color w:val="000000"/>
          <w:szCs w:val="22"/>
        </w:rPr>
        <w:t>Central Electricity Regulatory Commission</w:t>
      </w:r>
      <w:r>
        <w:rPr>
          <w:rFonts w:ascii="Century Gothic" w:hAnsi="Century Gothic"/>
          <w:color w:val="000000"/>
          <w:szCs w:val="22"/>
        </w:rPr>
        <w:t xml:space="preserve"> for increasing rate of return on equity to 15.5% from existing14%.</w:t>
      </w:r>
      <w:r w:rsidR="00931121">
        <w:rPr>
          <w:rFonts w:ascii="Century Gothic" w:hAnsi="Century Gothic"/>
          <w:color w:val="000000"/>
          <w:szCs w:val="22"/>
        </w:rPr>
        <w:t xml:space="preserve">  Though, petitioner had </w:t>
      </w:r>
      <w:r>
        <w:rPr>
          <w:rFonts w:ascii="Century Gothic" w:hAnsi="Century Gothic"/>
          <w:color w:val="000000"/>
          <w:szCs w:val="22"/>
        </w:rPr>
        <w:t>requested the Hon’ble Commission to retain the norm of 15.5% based upon the principles followed by CERC. The extract of the submission of the petitioner as submitted during the finalization of MYT Regulation, 2011</w:t>
      </w:r>
      <w:r w:rsidR="00FB670F" w:rsidRPr="00FB670F">
        <w:rPr>
          <w:rFonts w:ascii="Century Gothic" w:hAnsi="Century Gothic"/>
          <w:color w:val="000000"/>
          <w:szCs w:val="22"/>
        </w:rPr>
        <w:t xml:space="preserve"> </w:t>
      </w:r>
      <w:r w:rsidR="00FB670F">
        <w:rPr>
          <w:rFonts w:ascii="Century Gothic" w:hAnsi="Century Gothic"/>
          <w:color w:val="000000"/>
          <w:szCs w:val="22"/>
        </w:rPr>
        <w:t>is reproduced as under</w:t>
      </w:r>
      <w:r>
        <w:rPr>
          <w:rFonts w:ascii="Century Gothic" w:hAnsi="Century Gothic"/>
          <w:color w:val="000000"/>
          <w:szCs w:val="22"/>
        </w:rPr>
        <w:t>:</w:t>
      </w:r>
    </w:p>
    <w:p w:rsidR="00276130" w:rsidRPr="00FF266D" w:rsidRDefault="00276130" w:rsidP="00276130">
      <w:pPr>
        <w:autoSpaceDE w:val="0"/>
        <w:autoSpaceDN w:val="0"/>
        <w:adjustRightInd w:val="0"/>
        <w:ind w:left="720" w:right="-154"/>
        <w:rPr>
          <w:b/>
          <w:bCs/>
          <w:i/>
          <w:color w:val="000000"/>
          <w:sz w:val="22"/>
          <w:szCs w:val="22"/>
        </w:rPr>
      </w:pPr>
      <w:r w:rsidRPr="00FF266D">
        <w:rPr>
          <w:b/>
          <w:bCs/>
          <w:i/>
          <w:color w:val="000000"/>
          <w:sz w:val="22"/>
          <w:szCs w:val="22"/>
        </w:rPr>
        <w:t xml:space="preserve">“This is in reference to the meeting held in the office of Hon’ble Commission on 22.11.2011 in respect of draft MYT Regulations. The Hon’ble Commission has given the rate of return on equity at 15.5% in line with the CERC Regulations in draft MYT Generation Tariff Regulations. During the meeting, a comparison was made between the rate of return on equity of generating companies and distribution companies. </w:t>
      </w:r>
    </w:p>
    <w:p w:rsidR="00276130" w:rsidRPr="00FF266D" w:rsidRDefault="00276130" w:rsidP="00276130">
      <w:pPr>
        <w:autoSpaceDE w:val="0"/>
        <w:autoSpaceDN w:val="0"/>
        <w:adjustRightInd w:val="0"/>
        <w:ind w:left="720" w:right="-154"/>
        <w:rPr>
          <w:b/>
          <w:bCs/>
          <w:i/>
          <w:color w:val="000000"/>
          <w:sz w:val="22"/>
          <w:szCs w:val="22"/>
        </w:rPr>
      </w:pPr>
      <w:r w:rsidRPr="00FF266D">
        <w:rPr>
          <w:b/>
          <w:bCs/>
          <w:i/>
          <w:color w:val="000000"/>
          <w:sz w:val="22"/>
          <w:szCs w:val="22"/>
        </w:rPr>
        <w:t xml:space="preserve">It is submitted that rate of return on equity as fixed by Hon’ble Commission in past were in line with the rate of return on equity fixed by CERC. Every business has its own risk and there can not be any comparison between the risks of two businesses. The generating companies are having much bigger risk as compared to distribution companies as any break-down affects the whole station while in distribution companies, there operation risk is limited to particular area/locality only. </w:t>
      </w:r>
    </w:p>
    <w:p w:rsidR="00276130" w:rsidRPr="00FF266D" w:rsidRDefault="00276130" w:rsidP="00276130">
      <w:pPr>
        <w:autoSpaceDE w:val="0"/>
        <w:autoSpaceDN w:val="0"/>
        <w:adjustRightInd w:val="0"/>
        <w:ind w:left="720" w:right="-154"/>
        <w:rPr>
          <w:b/>
          <w:bCs/>
          <w:i/>
          <w:color w:val="000000"/>
          <w:sz w:val="22"/>
          <w:szCs w:val="22"/>
        </w:rPr>
      </w:pPr>
      <w:r w:rsidRPr="00FF266D">
        <w:rPr>
          <w:b/>
          <w:bCs/>
          <w:i/>
          <w:color w:val="000000"/>
          <w:sz w:val="22"/>
          <w:szCs w:val="22"/>
        </w:rPr>
        <w:t xml:space="preserve"> In this regard, the attention of the Hon’ble Commission is drawn to the reasons stated by CERC for increase in return on equity. CERC in its statement of reasons for terms and conditions, Regulations, 2009. The reasons are reproduces as under:-</w:t>
      </w:r>
    </w:p>
    <w:p w:rsidR="00276130" w:rsidRPr="00FF266D" w:rsidRDefault="00276130" w:rsidP="00276130">
      <w:pPr>
        <w:autoSpaceDE w:val="0"/>
        <w:autoSpaceDN w:val="0"/>
        <w:adjustRightInd w:val="0"/>
        <w:ind w:left="720"/>
        <w:rPr>
          <w:b/>
          <w:bCs/>
          <w:i/>
          <w:color w:val="000000"/>
          <w:sz w:val="22"/>
          <w:szCs w:val="22"/>
        </w:rPr>
      </w:pPr>
      <w:r w:rsidRPr="00FF266D">
        <w:rPr>
          <w:b/>
          <w:bCs/>
          <w:i/>
          <w:color w:val="000000"/>
          <w:sz w:val="22"/>
          <w:szCs w:val="22"/>
        </w:rPr>
        <w:t xml:space="preserve">13.4 Section 61 (d) of the Electricity Act, 2003 provides that the Commission, while specifying the terms and conditions for the determination of tariff, shall be guided by the principle of ‘safeguarding of consumers interest and at the </w:t>
      </w:r>
      <w:r w:rsidRPr="00FF266D">
        <w:rPr>
          <w:b/>
          <w:bCs/>
          <w:i/>
          <w:color w:val="000000"/>
          <w:sz w:val="22"/>
          <w:szCs w:val="22"/>
        </w:rPr>
        <w:lastRenderedPageBreak/>
        <w:t xml:space="preserve">same time, recovery of cost of electricity in a reasonable manner’. </w:t>
      </w:r>
      <w:smartTag w:uri="urn:schemas-microsoft-com:office:smarttags" w:element="place">
        <w:r w:rsidRPr="00FF266D">
          <w:rPr>
            <w:b/>
            <w:bCs/>
            <w:i/>
            <w:color w:val="000000"/>
            <w:sz w:val="22"/>
            <w:szCs w:val="22"/>
          </w:rPr>
          <w:t>Para</w:t>
        </w:r>
      </w:smartTag>
      <w:r w:rsidRPr="00FF266D">
        <w:rPr>
          <w:b/>
          <w:bCs/>
          <w:i/>
          <w:color w:val="000000"/>
          <w:sz w:val="22"/>
          <w:szCs w:val="22"/>
        </w:rPr>
        <w:t xml:space="preserve"> 5(3)(a) of the Tariff Policy stipulates that:</w:t>
      </w:r>
    </w:p>
    <w:p w:rsidR="00276130" w:rsidRPr="00FF266D" w:rsidRDefault="00276130" w:rsidP="00276130">
      <w:pPr>
        <w:autoSpaceDE w:val="0"/>
        <w:autoSpaceDN w:val="0"/>
        <w:adjustRightInd w:val="0"/>
        <w:ind w:left="720"/>
        <w:rPr>
          <w:b/>
          <w:bCs/>
          <w:i/>
          <w:color w:val="000000"/>
          <w:sz w:val="22"/>
          <w:szCs w:val="22"/>
        </w:rPr>
      </w:pPr>
      <w:r w:rsidRPr="00FF266D">
        <w:rPr>
          <w:b/>
          <w:bCs/>
          <w:i/>
          <w:color w:val="000000"/>
          <w:sz w:val="22"/>
          <w:szCs w:val="22"/>
        </w:rPr>
        <w:t>‘Balance needs to be maintained between the interests of consumers and the need for investments while laying down rate of return. Return should attract investments at par with, if not in preference to, other sectors so that the electricity sector is able to create adequate capacity. The rate of return should be such that it allows generation of reasonable surplus for growth of the sector’</w:t>
      </w:r>
    </w:p>
    <w:p w:rsidR="00276130" w:rsidRPr="00FF266D" w:rsidRDefault="00276130" w:rsidP="00276130">
      <w:pPr>
        <w:autoSpaceDE w:val="0"/>
        <w:autoSpaceDN w:val="0"/>
        <w:adjustRightInd w:val="0"/>
        <w:ind w:left="720"/>
        <w:rPr>
          <w:b/>
          <w:bCs/>
          <w:i/>
          <w:color w:val="000000"/>
          <w:sz w:val="22"/>
          <w:szCs w:val="22"/>
        </w:rPr>
      </w:pPr>
      <w:r w:rsidRPr="00FF266D">
        <w:rPr>
          <w:b/>
          <w:bCs/>
          <w:i/>
          <w:color w:val="000000"/>
          <w:sz w:val="22"/>
          <w:szCs w:val="22"/>
        </w:rPr>
        <w:t>13.5 The Commission has thus the mandate to fix a rate of return for equity that will not only attract investment and generate sufficient resources for further growth in the sector but also to take care of the consumers’ interest. The interests of the consumers are taken care of in real sense only when quality power is made available for twenty four hours a day throughout the year. This could be achieved only through large capacity addition which in turn will require huge investment in the power sector. Considering the investment pattern of 70:30 debt-equity ratio, the utilities are required to build up sufficient internal accruals so that they are able to meet the target of investing at least 30% of capital cost in the form of equity. A higher investment in the form of equity also helps the entities in negotiating and availing loan at competitive terms and conditions.</w:t>
      </w:r>
    </w:p>
    <w:p w:rsidR="00276130" w:rsidRPr="00FF266D" w:rsidRDefault="00276130" w:rsidP="00276130">
      <w:pPr>
        <w:autoSpaceDE w:val="0"/>
        <w:autoSpaceDN w:val="0"/>
        <w:adjustRightInd w:val="0"/>
        <w:ind w:left="720"/>
        <w:rPr>
          <w:b/>
          <w:bCs/>
          <w:i/>
          <w:color w:val="000000"/>
          <w:sz w:val="22"/>
          <w:szCs w:val="22"/>
        </w:rPr>
      </w:pPr>
      <w:r w:rsidRPr="00FF266D">
        <w:rPr>
          <w:b/>
          <w:bCs/>
          <w:i/>
          <w:color w:val="000000"/>
          <w:sz w:val="22"/>
          <w:szCs w:val="22"/>
        </w:rPr>
        <w:t xml:space="preserve">13.6 The power sector in </w:t>
      </w:r>
      <w:smartTag w:uri="urn:schemas-microsoft-com:office:smarttags" w:element="place">
        <w:smartTag w:uri="urn:schemas-microsoft-com:office:smarttags" w:element="country-region">
          <w:r w:rsidRPr="00FF266D">
            <w:rPr>
              <w:b/>
              <w:bCs/>
              <w:i/>
              <w:color w:val="000000"/>
              <w:sz w:val="22"/>
              <w:szCs w:val="22"/>
            </w:rPr>
            <w:t>India</w:t>
          </w:r>
        </w:smartTag>
      </w:smartTag>
      <w:r w:rsidRPr="00FF266D">
        <w:rPr>
          <w:b/>
          <w:bCs/>
          <w:i/>
          <w:color w:val="000000"/>
          <w:sz w:val="22"/>
          <w:szCs w:val="22"/>
        </w:rPr>
        <w:t xml:space="preserve"> during last few years has been able create a lot of enthusiasm amongst the investors and attract investment. In the last five years, there have been rapid developments in the equity market and debt market related to power sector in </w:t>
      </w:r>
      <w:smartTag w:uri="urn:schemas-microsoft-com:office:smarttags" w:element="place">
        <w:smartTag w:uri="urn:schemas-microsoft-com:office:smarttags" w:element="country-region">
          <w:r w:rsidRPr="00FF266D">
            <w:rPr>
              <w:b/>
              <w:bCs/>
              <w:i/>
              <w:color w:val="000000"/>
              <w:sz w:val="22"/>
              <w:szCs w:val="22"/>
            </w:rPr>
            <w:t>India</w:t>
          </w:r>
        </w:smartTag>
      </w:smartTag>
      <w:r w:rsidRPr="00FF266D">
        <w:rPr>
          <w:b/>
          <w:bCs/>
          <w:i/>
          <w:color w:val="000000"/>
          <w:sz w:val="22"/>
          <w:szCs w:val="22"/>
        </w:rPr>
        <w:t>. Various CPSUs and private entities working in power sector have entered into primary market to raise funds. The sector is at the take off stage at present and there is a need to ensure that the confidence evinced is sustained.</w:t>
      </w:r>
    </w:p>
    <w:p w:rsidR="00276130" w:rsidRPr="00FF266D" w:rsidRDefault="00276130" w:rsidP="00276130">
      <w:pPr>
        <w:autoSpaceDE w:val="0"/>
        <w:autoSpaceDN w:val="0"/>
        <w:adjustRightInd w:val="0"/>
        <w:ind w:left="720"/>
        <w:rPr>
          <w:b/>
          <w:bCs/>
          <w:i/>
          <w:color w:val="000000"/>
          <w:sz w:val="22"/>
          <w:szCs w:val="22"/>
        </w:rPr>
      </w:pPr>
      <w:r w:rsidRPr="00FF266D">
        <w:rPr>
          <w:b/>
          <w:bCs/>
          <w:i/>
          <w:color w:val="000000"/>
          <w:sz w:val="22"/>
          <w:szCs w:val="22"/>
        </w:rPr>
        <w:t xml:space="preserve">13.7 The rate of return on equity can be fixed by using any of the scientific model like dividend growth model, price/earning ratio, capital asset pricing model, risk premium model, etc or by linking to an appropriate benchmark with a mark up. As on date only few entities working in power sector in </w:t>
      </w:r>
      <w:smartTag w:uri="urn:schemas-microsoft-com:office:smarttags" w:element="place">
        <w:smartTag w:uri="urn:schemas-microsoft-com:office:smarttags" w:element="country-region">
          <w:r w:rsidRPr="00FF266D">
            <w:rPr>
              <w:b/>
              <w:bCs/>
              <w:i/>
              <w:color w:val="000000"/>
              <w:sz w:val="22"/>
              <w:szCs w:val="22"/>
            </w:rPr>
            <w:t>India</w:t>
          </w:r>
        </w:smartTag>
      </w:smartTag>
      <w:r w:rsidRPr="00FF266D">
        <w:rPr>
          <w:b/>
          <w:bCs/>
          <w:i/>
          <w:color w:val="000000"/>
          <w:sz w:val="22"/>
          <w:szCs w:val="22"/>
        </w:rPr>
        <w:t xml:space="preserve"> have entered into primary market and that too, very recently. To calculate the rate of return by using a scientific model, one needs sufficient volume of related data for calculation of beta value, expected rate of return, P/E ratio, </w:t>
      </w:r>
      <w:r w:rsidRPr="00FF266D">
        <w:rPr>
          <w:b/>
          <w:bCs/>
          <w:i/>
          <w:color w:val="000000"/>
          <w:sz w:val="22"/>
          <w:szCs w:val="22"/>
        </w:rPr>
        <w:lastRenderedPageBreak/>
        <w:t>etc. Except a few companies such as NTPC, Reliance Energy, PGCIL etc, not many generating companies and transmission licensees particularly in the State Sector are listed in the Stock Exchange. As sufficient data in regard to the power sector, particularly scripts traded in the secondary market, are not available, the Commission does not favour to estimate the rate of return by using any of the scientific models.</w:t>
      </w:r>
    </w:p>
    <w:p w:rsidR="00276130" w:rsidRPr="00FF266D" w:rsidRDefault="00276130" w:rsidP="00276130">
      <w:pPr>
        <w:autoSpaceDE w:val="0"/>
        <w:autoSpaceDN w:val="0"/>
        <w:adjustRightInd w:val="0"/>
        <w:ind w:left="720"/>
        <w:rPr>
          <w:b/>
          <w:bCs/>
          <w:i/>
          <w:color w:val="000000"/>
          <w:sz w:val="22"/>
          <w:szCs w:val="22"/>
        </w:rPr>
      </w:pPr>
      <w:r w:rsidRPr="00FF266D">
        <w:rPr>
          <w:b/>
          <w:bCs/>
          <w:i/>
          <w:color w:val="000000"/>
          <w:sz w:val="22"/>
          <w:szCs w:val="22"/>
        </w:rPr>
        <w:t>13.8 The Commission also discussed the option of linking rate of return on equity to an appropriate benchmark with a mark up. The rate of return on equity may be linked to an appropriate benchmark like RBI Bank Rate, SBI PLR, Average PLR, 10 yr G</w:t>
      </w:r>
      <w:r w:rsidR="00987BF9">
        <w:rPr>
          <w:b/>
          <w:bCs/>
          <w:i/>
          <w:color w:val="000000"/>
          <w:sz w:val="22"/>
          <w:szCs w:val="22"/>
        </w:rPr>
        <w:t>-</w:t>
      </w:r>
      <w:r w:rsidRPr="00FF266D">
        <w:rPr>
          <w:b/>
          <w:bCs/>
          <w:i/>
          <w:color w:val="000000"/>
          <w:sz w:val="22"/>
          <w:szCs w:val="22"/>
        </w:rPr>
        <w:t xml:space="preserve">Securities Rate, etc. However, the Commission cannot remain oblivious of the realities of the debt market, more so of the fluctuations in interest rates as witnessed in recent past. The debt market in </w:t>
      </w:r>
      <w:smartTag w:uri="urn:schemas-microsoft-com:office:smarttags" w:element="place">
        <w:smartTag w:uri="urn:schemas-microsoft-com:office:smarttags" w:element="country-region">
          <w:r w:rsidRPr="00FF266D">
            <w:rPr>
              <w:b/>
              <w:bCs/>
              <w:i/>
              <w:color w:val="000000"/>
              <w:sz w:val="22"/>
              <w:szCs w:val="22"/>
            </w:rPr>
            <w:t>India</w:t>
          </w:r>
        </w:smartTag>
      </w:smartTag>
      <w:r w:rsidRPr="00FF266D">
        <w:rPr>
          <w:b/>
          <w:bCs/>
          <w:i/>
          <w:color w:val="000000"/>
          <w:sz w:val="22"/>
          <w:szCs w:val="22"/>
        </w:rPr>
        <w:t xml:space="preserve"> is not yet stable. The Commission feels that unless the debt market stabilizes, it may not be feasible to arrive at an appropriate benchmark rate. This leads to difficulty in linking the rate of return to a benchmark with a mark up.</w:t>
      </w:r>
    </w:p>
    <w:p w:rsidR="00276130" w:rsidRPr="003C1A4C" w:rsidRDefault="00276130" w:rsidP="003C1A4C">
      <w:pPr>
        <w:autoSpaceDE w:val="0"/>
        <w:autoSpaceDN w:val="0"/>
        <w:adjustRightInd w:val="0"/>
        <w:spacing w:line="240" w:lineRule="auto"/>
        <w:rPr>
          <w:b/>
          <w:bCs/>
          <w:i/>
          <w:color w:val="000000"/>
          <w:sz w:val="16"/>
          <w:szCs w:val="22"/>
        </w:rPr>
      </w:pPr>
    </w:p>
    <w:p w:rsidR="00276130" w:rsidRPr="00FF266D" w:rsidRDefault="00276130" w:rsidP="00276130">
      <w:pPr>
        <w:autoSpaceDE w:val="0"/>
        <w:autoSpaceDN w:val="0"/>
        <w:adjustRightInd w:val="0"/>
        <w:ind w:left="720"/>
        <w:rPr>
          <w:b/>
          <w:bCs/>
          <w:i/>
          <w:color w:val="000000"/>
          <w:sz w:val="22"/>
          <w:szCs w:val="22"/>
        </w:rPr>
      </w:pPr>
      <w:r w:rsidRPr="00FF266D">
        <w:rPr>
          <w:b/>
          <w:bCs/>
          <w:i/>
          <w:color w:val="000000"/>
          <w:sz w:val="22"/>
          <w:szCs w:val="22"/>
        </w:rPr>
        <w:t>13.9 It may be noted that in the last five years there has been a rise in the interest rate. The Prime Lending Rate (PLR) of the public sector banks have increased during this period, as is seen from the table given below:</w:t>
      </w:r>
    </w:p>
    <w:p w:rsidR="00276130" w:rsidRPr="003C1A4C" w:rsidRDefault="00276130" w:rsidP="00276130">
      <w:pPr>
        <w:autoSpaceDE w:val="0"/>
        <w:autoSpaceDN w:val="0"/>
        <w:adjustRightInd w:val="0"/>
        <w:spacing w:before="19" w:line="200" w:lineRule="exact"/>
        <w:rPr>
          <w:b/>
          <w:bCs/>
          <w:i/>
          <w:color w:val="000000"/>
          <w:sz w:val="12"/>
          <w:szCs w:val="22"/>
        </w:rPr>
      </w:pPr>
      <w:r w:rsidRPr="00FF266D">
        <w:rPr>
          <w:b/>
          <w:bCs/>
          <w:i/>
          <w:color w:val="000000"/>
          <w:sz w:val="22"/>
          <w:szCs w:val="22"/>
        </w:rPr>
        <w:tab/>
      </w:r>
    </w:p>
    <w:tbl>
      <w:tblPr>
        <w:tblW w:w="8302" w:type="dxa"/>
        <w:tblInd w:w="545" w:type="dxa"/>
        <w:tblLayout w:type="fixed"/>
        <w:tblCellMar>
          <w:left w:w="0" w:type="dxa"/>
          <w:right w:w="0" w:type="dxa"/>
        </w:tblCellMar>
        <w:tblLook w:val="0000"/>
      </w:tblPr>
      <w:tblGrid>
        <w:gridCol w:w="4151"/>
        <w:gridCol w:w="4151"/>
      </w:tblGrid>
      <w:tr w:rsidR="00276130" w:rsidRPr="00FF266D">
        <w:trPr>
          <w:trHeight w:val="325"/>
        </w:trPr>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900" w:right="-20"/>
              <w:jc w:val="left"/>
              <w:rPr>
                <w:b/>
                <w:bCs/>
                <w:i/>
                <w:color w:val="000000"/>
                <w:sz w:val="22"/>
                <w:szCs w:val="22"/>
              </w:rPr>
            </w:pPr>
            <w:r w:rsidRPr="00FF266D">
              <w:rPr>
                <w:b/>
                <w:bCs/>
                <w:i/>
                <w:color w:val="000000"/>
                <w:sz w:val="22"/>
                <w:szCs w:val="22"/>
              </w:rPr>
              <w:t>Year</w:t>
            </w:r>
          </w:p>
        </w:tc>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102" w:right="-20"/>
              <w:jc w:val="center"/>
              <w:rPr>
                <w:b/>
                <w:bCs/>
                <w:i/>
                <w:color w:val="000000"/>
                <w:sz w:val="22"/>
                <w:szCs w:val="22"/>
              </w:rPr>
            </w:pPr>
            <w:r w:rsidRPr="00FF266D">
              <w:rPr>
                <w:b/>
                <w:bCs/>
                <w:i/>
                <w:color w:val="000000"/>
                <w:sz w:val="22"/>
                <w:szCs w:val="22"/>
              </w:rPr>
              <w:t>PLR    of    Public    Sector</w:t>
            </w:r>
            <w:r w:rsidR="00E27C97">
              <w:rPr>
                <w:b/>
                <w:bCs/>
                <w:i/>
                <w:color w:val="000000"/>
                <w:sz w:val="22"/>
                <w:szCs w:val="22"/>
              </w:rPr>
              <w:t xml:space="preserve"> </w:t>
            </w:r>
            <w:r w:rsidRPr="00FF266D">
              <w:rPr>
                <w:b/>
                <w:bCs/>
                <w:i/>
                <w:color w:val="000000"/>
                <w:sz w:val="22"/>
                <w:szCs w:val="22"/>
              </w:rPr>
              <w:t>Banks (%)</w:t>
            </w:r>
          </w:p>
        </w:tc>
      </w:tr>
      <w:tr w:rsidR="00276130" w:rsidRPr="00FF266D">
        <w:trPr>
          <w:trHeight w:val="326"/>
        </w:trPr>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900" w:right="-20"/>
              <w:jc w:val="left"/>
              <w:rPr>
                <w:b/>
                <w:bCs/>
                <w:i/>
                <w:color w:val="000000"/>
                <w:sz w:val="22"/>
                <w:szCs w:val="22"/>
              </w:rPr>
            </w:pPr>
            <w:r w:rsidRPr="00FF266D">
              <w:rPr>
                <w:b/>
                <w:bCs/>
                <w:i/>
                <w:color w:val="000000"/>
                <w:sz w:val="22"/>
                <w:szCs w:val="22"/>
              </w:rPr>
              <w:t>March 2004</w:t>
            </w:r>
          </w:p>
        </w:tc>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102" w:right="-20"/>
              <w:jc w:val="center"/>
              <w:rPr>
                <w:b/>
                <w:bCs/>
                <w:i/>
                <w:color w:val="000000"/>
                <w:sz w:val="22"/>
                <w:szCs w:val="22"/>
              </w:rPr>
            </w:pPr>
            <w:r w:rsidRPr="00FF266D">
              <w:rPr>
                <w:b/>
                <w:bCs/>
                <w:i/>
                <w:color w:val="000000"/>
                <w:sz w:val="22"/>
                <w:szCs w:val="22"/>
              </w:rPr>
              <w:t>10.25-11.50</w:t>
            </w:r>
          </w:p>
        </w:tc>
      </w:tr>
      <w:tr w:rsidR="00276130" w:rsidRPr="00FF266D">
        <w:trPr>
          <w:trHeight w:val="325"/>
        </w:trPr>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900" w:right="-20"/>
              <w:jc w:val="left"/>
              <w:rPr>
                <w:b/>
                <w:bCs/>
                <w:i/>
                <w:color w:val="000000"/>
                <w:sz w:val="22"/>
                <w:szCs w:val="22"/>
              </w:rPr>
            </w:pPr>
            <w:r w:rsidRPr="00FF266D">
              <w:rPr>
                <w:b/>
                <w:bCs/>
                <w:i/>
                <w:color w:val="000000"/>
                <w:sz w:val="22"/>
                <w:szCs w:val="22"/>
              </w:rPr>
              <w:t>March 2005</w:t>
            </w:r>
          </w:p>
        </w:tc>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102" w:right="-20"/>
              <w:jc w:val="center"/>
              <w:rPr>
                <w:b/>
                <w:bCs/>
                <w:i/>
                <w:color w:val="000000"/>
                <w:sz w:val="22"/>
                <w:szCs w:val="22"/>
              </w:rPr>
            </w:pPr>
            <w:r w:rsidRPr="00FF266D">
              <w:rPr>
                <w:b/>
                <w:bCs/>
                <w:i/>
                <w:color w:val="000000"/>
                <w:sz w:val="22"/>
                <w:szCs w:val="22"/>
              </w:rPr>
              <w:t>10.25-11.25</w:t>
            </w:r>
          </w:p>
        </w:tc>
      </w:tr>
      <w:tr w:rsidR="00276130" w:rsidRPr="00FF266D">
        <w:trPr>
          <w:trHeight w:val="326"/>
        </w:trPr>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900" w:right="-20"/>
              <w:jc w:val="left"/>
              <w:rPr>
                <w:b/>
                <w:bCs/>
                <w:i/>
                <w:color w:val="000000"/>
                <w:sz w:val="22"/>
                <w:szCs w:val="22"/>
              </w:rPr>
            </w:pPr>
            <w:r w:rsidRPr="00FF266D">
              <w:rPr>
                <w:b/>
                <w:bCs/>
                <w:i/>
                <w:color w:val="000000"/>
                <w:sz w:val="22"/>
                <w:szCs w:val="22"/>
              </w:rPr>
              <w:t>March 2006</w:t>
            </w:r>
          </w:p>
        </w:tc>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102" w:right="-20"/>
              <w:jc w:val="center"/>
              <w:rPr>
                <w:b/>
                <w:bCs/>
                <w:i/>
                <w:color w:val="000000"/>
                <w:sz w:val="22"/>
                <w:szCs w:val="22"/>
              </w:rPr>
            </w:pPr>
            <w:r w:rsidRPr="00FF266D">
              <w:rPr>
                <w:b/>
                <w:bCs/>
                <w:i/>
                <w:color w:val="000000"/>
                <w:sz w:val="22"/>
                <w:szCs w:val="22"/>
              </w:rPr>
              <w:t>10.25-11.25</w:t>
            </w:r>
          </w:p>
        </w:tc>
      </w:tr>
      <w:tr w:rsidR="00276130" w:rsidRPr="00FF266D">
        <w:trPr>
          <w:trHeight w:val="325"/>
        </w:trPr>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900" w:right="-20"/>
              <w:jc w:val="left"/>
              <w:rPr>
                <w:b/>
                <w:bCs/>
                <w:i/>
                <w:color w:val="000000"/>
                <w:sz w:val="22"/>
                <w:szCs w:val="22"/>
              </w:rPr>
            </w:pPr>
            <w:r w:rsidRPr="00FF266D">
              <w:rPr>
                <w:b/>
                <w:bCs/>
                <w:i/>
                <w:color w:val="000000"/>
                <w:sz w:val="22"/>
                <w:szCs w:val="22"/>
              </w:rPr>
              <w:t>March 2007</w:t>
            </w:r>
          </w:p>
        </w:tc>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102" w:right="-20"/>
              <w:jc w:val="center"/>
              <w:rPr>
                <w:b/>
                <w:bCs/>
                <w:i/>
                <w:color w:val="000000"/>
                <w:sz w:val="22"/>
                <w:szCs w:val="22"/>
              </w:rPr>
            </w:pPr>
            <w:r w:rsidRPr="00FF266D">
              <w:rPr>
                <w:b/>
                <w:bCs/>
                <w:i/>
                <w:color w:val="000000"/>
                <w:sz w:val="22"/>
                <w:szCs w:val="22"/>
              </w:rPr>
              <w:t>12.25-12.75</w:t>
            </w:r>
          </w:p>
        </w:tc>
      </w:tr>
      <w:tr w:rsidR="00276130" w:rsidRPr="00FF266D">
        <w:trPr>
          <w:trHeight w:val="326"/>
        </w:trPr>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900" w:right="-20"/>
              <w:jc w:val="left"/>
              <w:rPr>
                <w:b/>
                <w:bCs/>
                <w:i/>
                <w:color w:val="000000"/>
                <w:sz w:val="22"/>
                <w:szCs w:val="22"/>
              </w:rPr>
            </w:pPr>
            <w:r w:rsidRPr="00FF266D">
              <w:rPr>
                <w:b/>
                <w:bCs/>
                <w:i/>
                <w:color w:val="000000"/>
                <w:sz w:val="22"/>
                <w:szCs w:val="22"/>
              </w:rPr>
              <w:t>March 2008</w:t>
            </w:r>
          </w:p>
        </w:tc>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102" w:right="-20"/>
              <w:jc w:val="center"/>
              <w:rPr>
                <w:b/>
                <w:bCs/>
                <w:i/>
                <w:color w:val="000000"/>
                <w:sz w:val="22"/>
                <w:szCs w:val="22"/>
              </w:rPr>
            </w:pPr>
            <w:r w:rsidRPr="00FF266D">
              <w:rPr>
                <w:b/>
                <w:bCs/>
                <w:i/>
                <w:color w:val="000000"/>
                <w:sz w:val="22"/>
                <w:szCs w:val="22"/>
              </w:rPr>
              <w:t>12.25-13.50</w:t>
            </w:r>
          </w:p>
        </w:tc>
      </w:tr>
      <w:tr w:rsidR="00276130" w:rsidRPr="00FF266D">
        <w:trPr>
          <w:trHeight w:val="326"/>
        </w:trPr>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900" w:right="-20"/>
              <w:jc w:val="left"/>
              <w:rPr>
                <w:b/>
                <w:bCs/>
                <w:i/>
                <w:color w:val="000000"/>
                <w:sz w:val="22"/>
                <w:szCs w:val="22"/>
              </w:rPr>
            </w:pPr>
            <w:r w:rsidRPr="00FF266D">
              <w:rPr>
                <w:b/>
                <w:bCs/>
                <w:i/>
                <w:color w:val="000000"/>
                <w:sz w:val="22"/>
                <w:szCs w:val="22"/>
              </w:rPr>
              <w:t>January 2009</w:t>
            </w:r>
          </w:p>
        </w:tc>
        <w:tc>
          <w:tcPr>
            <w:tcW w:w="4151" w:type="dxa"/>
            <w:tcBorders>
              <w:top w:val="single" w:sz="4" w:space="0" w:color="000000"/>
              <w:left w:val="single" w:sz="4" w:space="0" w:color="000000"/>
              <w:bottom w:val="single" w:sz="4" w:space="0" w:color="000000"/>
              <w:right w:val="single" w:sz="4" w:space="0" w:color="000000"/>
            </w:tcBorders>
          </w:tcPr>
          <w:p w:rsidR="00276130" w:rsidRPr="00FF266D" w:rsidRDefault="00276130" w:rsidP="003C1A4C">
            <w:pPr>
              <w:autoSpaceDE w:val="0"/>
              <w:autoSpaceDN w:val="0"/>
              <w:adjustRightInd w:val="0"/>
              <w:spacing w:line="240" w:lineRule="auto"/>
              <w:ind w:left="102" w:right="-20"/>
              <w:jc w:val="center"/>
              <w:rPr>
                <w:b/>
                <w:bCs/>
                <w:i/>
                <w:color w:val="000000"/>
                <w:sz w:val="22"/>
                <w:szCs w:val="22"/>
              </w:rPr>
            </w:pPr>
            <w:r w:rsidRPr="00FF266D">
              <w:rPr>
                <w:b/>
                <w:bCs/>
                <w:i/>
                <w:color w:val="000000"/>
                <w:sz w:val="22"/>
                <w:szCs w:val="22"/>
              </w:rPr>
              <w:t>12.00-14.00</w:t>
            </w:r>
          </w:p>
        </w:tc>
      </w:tr>
    </w:tbl>
    <w:p w:rsidR="00276130" w:rsidRPr="00FF266D" w:rsidRDefault="00276130" w:rsidP="00276130">
      <w:pPr>
        <w:autoSpaceDE w:val="0"/>
        <w:autoSpaceDN w:val="0"/>
        <w:adjustRightInd w:val="0"/>
        <w:ind w:left="720" w:right="-154"/>
        <w:rPr>
          <w:b/>
          <w:bCs/>
          <w:i/>
          <w:color w:val="000000"/>
          <w:sz w:val="22"/>
          <w:szCs w:val="22"/>
        </w:rPr>
      </w:pPr>
    </w:p>
    <w:p w:rsidR="00276130" w:rsidRDefault="00276130" w:rsidP="00276130">
      <w:pPr>
        <w:autoSpaceDE w:val="0"/>
        <w:autoSpaceDN w:val="0"/>
        <w:adjustRightInd w:val="0"/>
        <w:ind w:left="1440"/>
        <w:rPr>
          <w:b/>
          <w:bCs/>
          <w:i/>
          <w:color w:val="000000"/>
          <w:sz w:val="22"/>
          <w:szCs w:val="22"/>
        </w:rPr>
      </w:pPr>
      <w:r w:rsidRPr="00FF266D">
        <w:rPr>
          <w:b/>
          <w:bCs/>
          <w:i/>
          <w:color w:val="000000"/>
          <w:sz w:val="22"/>
          <w:szCs w:val="22"/>
        </w:rPr>
        <w:t xml:space="preserve">The interest rate of 10-year Government securities has also increased from5.1461% as on March 2004 to 7.1197% as on November 2008. </w:t>
      </w:r>
    </w:p>
    <w:p w:rsidR="003C1A4C" w:rsidRPr="00FF266D" w:rsidRDefault="003C1A4C" w:rsidP="00276130">
      <w:pPr>
        <w:autoSpaceDE w:val="0"/>
        <w:autoSpaceDN w:val="0"/>
        <w:adjustRightInd w:val="0"/>
        <w:ind w:left="1440"/>
        <w:rPr>
          <w:b/>
          <w:bCs/>
          <w:i/>
          <w:color w:val="000000"/>
          <w:sz w:val="22"/>
          <w:szCs w:val="22"/>
        </w:rPr>
      </w:pPr>
    </w:p>
    <w:p w:rsidR="00276130" w:rsidRPr="00FF266D" w:rsidRDefault="00276130" w:rsidP="00276130">
      <w:pPr>
        <w:autoSpaceDE w:val="0"/>
        <w:autoSpaceDN w:val="0"/>
        <w:adjustRightInd w:val="0"/>
        <w:ind w:left="720"/>
        <w:rPr>
          <w:b/>
          <w:bCs/>
          <w:i/>
          <w:color w:val="000000"/>
          <w:sz w:val="22"/>
          <w:szCs w:val="22"/>
        </w:rPr>
      </w:pPr>
      <w:r w:rsidRPr="00FF266D">
        <w:rPr>
          <w:b/>
          <w:bCs/>
          <w:i/>
          <w:color w:val="000000"/>
          <w:sz w:val="22"/>
          <w:szCs w:val="22"/>
        </w:rPr>
        <w:t xml:space="preserve">13.10 The Commission allowed rate of return on equity of 16% and 14% for the tariff period 2001-04 and 2004-09 respectively. The PLRs of State Bank of </w:t>
      </w:r>
      <w:smartTag w:uri="urn:schemas-microsoft-com:office:smarttags" w:element="place">
        <w:smartTag w:uri="urn:schemas-microsoft-com:office:smarttags" w:element="country-region">
          <w:r w:rsidRPr="00FF266D">
            <w:rPr>
              <w:b/>
              <w:bCs/>
              <w:i/>
              <w:color w:val="000000"/>
              <w:sz w:val="22"/>
              <w:szCs w:val="22"/>
            </w:rPr>
            <w:t>India</w:t>
          </w:r>
        </w:smartTag>
      </w:smartTag>
      <w:r w:rsidRPr="00FF266D">
        <w:rPr>
          <w:b/>
          <w:bCs/>
          <w:i/>
          <w:color w:val="000000"/>
          <w:sz w:val="22"/>
          <w:szCs w:val="22"/>
        </w:rPr>
        <w:t xml:space="preserve"> during 2001 and 2004 were 11.50% and 10.25% respectively. But as on 1st January 2009, the PLR of State Bank of </w:t>
      </w:r>
      <w:smartTag w:uri="urn:schemas-microsoft-com:office:smarttags" w:element="place">
        <w:smartTag w:uri="urn:schemas-microsoft-com:office:smarttags" w:element="country-region">
          <w:r w:rsidRPr="00FF266D">
            <w:rPr>
              <w:b/>
              <w:bCs/>
              <w:i/>
              <w:color w:val="000000"/>
              <w:sz w:val="22"/>
              <w:szCs w:val="22"/>
            </w:rPr>
            <w:t>India</w:t>
          </w:r>
        </w:smartTag>
      </w:smartTag>
      <w:r w:rsidRPr="00FF266D">
        <w:rPr>
          <w:b/>
          <w:bCs/>
          <w:i/>
          <w:color w:val="000000"/>
          <w:sz w:val="22"/>
          <w:szCs w:val="22"/>
        </w:rPr>
        <w:t xml:space="preserve"> is 12.25%. After considering </w:t>
      </w:r>
      <w:r w:rsidRPr="00FF266D">
        <w:rPr>
          <w:b/>
          <w:bCs/>
          <w:i/>
          <w:color w:val="000000"/>
          <w:sz w:val="22"/>
          <w:szCs w:val="22"/>
        </w:rPr>
        <w:lastRenderedPageBreak/>
        <w:t>the rise in the PLR of the public sector banks, 10-year G-Sec, etc and also in order to help the entities to build up sufficient internal accruals for the purpose of investment in capacity addition and to ensure better cash flow, the Commission considered &amp; deliberated to restore the rate of return at 16% as was existing prior to 1.4.2004. After consultations &amp; deliberations it was decided to increase the base rate from 14% to 15.5% and an additional 0.5% for timely competition as explained below.</w:t>
      </w:r>
    </w:p>
    <w:p w:rsidR="00D017FB" w:rsidRPr="00FF266D" w:rsidRDefault="00D017FB" w:rsidP="00D017FB">
      <w:pPr>
        <w:autoSpaceDE w:val="0"/>
        <w:autoSpaceDN w:val="0"/>
        <w:adjustRightInd w:val="0"/>
        <w:ind w:left="540"/>
        <w:rPr>
          <w:b/>
          <w:bCs/>
          <w:color w:val="000000"/>
          <w:sz w:val="22"/>
          <w:szCs w:val="22"/>
        </w:rPr>
      </w:pPr>
    </w:p>
    <w:p w:rsidR="00276130" w:rsidRDefault="00D0625D" w:rsidP="00D017FB">
      <w:pPr>
        <w:autoSpaceDE w:val="0"/>
        <w:autoSpaceDN w:val="0"/>
        <w:adjustRightInd w:val="0"/>
        <w:ind w:left="540"/>
        <w:rPr>
          <w:color w:val="000000"/>
          <w:sz w:val="22"/>
          <w:szCs w:val="22"/>
        </w:rPr>
      </w:pPr>
      <w:r>
        <w:rPr>
          <w:color w:val="000000"/>
          <w:sz w:val="22"/>
          <w:szCs w:val="22"/>
        </w:rPr>
        <w:t>Further,</w:t>
      </w:r>
      <w:r w:rsidR="00276130">
        <w:rPr>
          <w:color w:val="000000"/>
          <w:sz w:val="22"/>
          <w:szCs w:val="22"/>
        </w:rPr>
        <w:t xml:space="preserve"> attention of Hon’ble Commission is drawn towards the Tariff Regulations issued by MERC on Return on Equity. The extract is as under:</w:t>
      </w:r>
    </w:p>
    <w:p w:rsidR="00276130" w:rsidRDefault="00276130" w:rsidP="00276130">
      <w:pPr>
        <w:autoSpaceDE w:val="0"/>
        <w:autoSpaceDN w:val="0"/>
        <w:adjustRightInd w:val="0"/>
        <w:spacing w:line="240" w:lineRule="auto"/>
        <w:ind w:firstLine="720"/>
        <w:rPr>
          <w:b/>
          <w:bCs/>
          <w:i/>
          <w:iCs/>
          <w:sz w:val="22"/>
          <w:szCs w:val="22"/>
        </w:rPr>
      </w:pPr>
      <w:r w:rsidRPr="00FF266D">
        <w:rPr>
          <w:b/>
          <w:bCs/>
          <w:i/>
          <w:iCs/>
          <w:sz w:val="22"/>
          <w:szCs w:val="22"/>
        </w:rPr>
        <w:t xml:space="preserve">“32 Return on Equity Capital </w:t>
      </w:r>
    </w:p>
    <w:p w:rsidR="002C1975" w:rsidRPr="00FF266D" w:rsidRDefault="002C1975" w:rsidP="00276130">
      <w:pPr>
        <w:autoSpaceDE w:val="0"/>
        <w:autoSpaceDN w:val="0"/>
        <w:adjustRightInd w:val="0"/>
        <w:spacing w:line="240" w:lineRule="auto"/>
        <w:ind w:firstLine="720"/>
        <w:rPr>
          <w:b/>
          <w:bCs/>
          <w:i/>
          <w:iCs/>
          <w:sz w:val="22"/>
          <w:szCs w:val="22"/>
        </w:rPr>
      </w:pPr>
    </w:p>
    <w:p w:rsidR="00276130" w:rsidRPr="00FF266D" w:rsidRDefault="00276130" w:rsidP="00276130">
      <w:pPr>
        <w:autoSpaceDE w:val="0"/>
        <w:autoSpaceDN w:val="0"/>
        <w:adjustRightInd w:val="0"/>
        <w:spacing w:line="240" w:lineRule="auto"/>
        <w:ind w:firstLine="720"/>
        <w:rPr>
          <w:b/>
          <w:bCs/>
          <w:i/>
          <w:iCs/>
          <w:sz w:val="22"/>
          <w:szCs w:val="22"/>
        </w:rPr>
      </w:pPr>
      <w:r w:rsidRPr="00FF266D">
        <w:rPr>
          <w:b/>
          <w:bCs/>
          <w:i/>
          <w:iCs/>
          <w:sz w:val="22"/>
          <w:szCs w:val="22"/>
        </w:rPr>
        <w:t xml:space="preserve">32.1 Generation </w:t>
      </w:r>
    </w:p>
    <w:p w:rsidR="00276130" w:rsidRPr="00FF266D" w:rsidRDefault="00276130" w:rsidP="00276130">
      <w:pPr>
        <w:autoSpaceDE w:val="0"/>
        <w:autoSpaceDN w:val="0"/>
        <w:adjustRightInd w:val="0"/>
        <w:spacing w:line="240" w:lineRule="auto"/>
        <w:rPr>
          <w:b/>
          <w:bCs/>
          <w:i/>
          <w:iCs/>
          <w:sz w:val="22"/>
          <w:szCs w:val="22"/>
        </w:rPr>
      </w:pPr>
    </w:p>
    <w:p w:rsidR="00276130" w:rsidRPr="00FF266D" w:rsidRDefault="00276130" w:rsidP="00987BF9">
      <w:pPr>
        <w:autoSpaceDE w:val="0"/>
        <w:autoSpaceDN w:val="0"/>
        <w:adjustRightInd w:val="0"/>
        <w:ind w:left="720"/>
        <w:rPr>
          <w:b/>
          <w:bCs/>
          <w:i/>
          <w:iCs/>
          <w:sz w:val="22"/>
          <w:szCs w:val="22"/>
        </w:rPr>
      </w:pPr>
      <w:r w:rsidRPr="00FF266D">
        <w:rPr>
          <w:b/>
          <w:bCs/>
          <w:i/>
          <w:iCs/>
          <w:sz w:val="22"/>
          <w:szCs w:val="22"/>
        </w:rPr>
        <w:t xml:space="preserve">32.1.1 Return on equity capital shall be computed on the equity capital determined in accordance with Regulation 30 at the rate of 15.5 per cent per annum in Indian Rupee terms: </w:t>
      </w:r>
    </w:p>
    <w:p w:rsidR="00276130" w:rsidRPr="00FF266D" w:rsidRDefault="00276130" w:rsidP="00987BF9">
      <w:pPr>
        <w:autoSpaceDE w:val="0"/>
        <w:autoSpaceDN w:val="0"/>
        <w:adjustRightInd w:val="0"/>
        <w:rPr>
          <w:b/>
          <w:bCs/>
          <w:i/>
          <w:iCs/>
          <w:sz w:val="22"/>
          <w:szCs w:val="22"/>
        </w:rPr>
      </w:pPr>
    </w:p>
    <w:p w:rsidR="00276130" w:rsidRPr="00FF266D" w:rsidRDefault="00276130" w:rsidP="00987BF9">
      <w:pPr>
        <w:autoSpaceDE w:val="0"/>
        <w:autoSpaceDN w:val="0"/>
        <w:adjustRightInd w:val="0"/>
        <w:ind w:left="720"/>
        <w:rPr>
          <w:b/>
          <w:bCs/>
          <w:i/>
          <w:iCs/>
          <w:sz w:val="22"/>
          <w:szCs w:val="22"/>
        </w:rPr>
      </w:pPr>
      <w:r w:rsidRPr="00FF266D">
        <w:rPr>
          <w:b/>
          <w:bCs/>
          <w:i/>
          <w:iCs/>
          <w:sz w:val="22"/>
          <w:szCs w:val="22"/>
        </w:rPr>
        <w:t xml:space="preserve">Provided that in case of projects commissioned on or after 1st April, 2011, an additional return of 0.5% shall be allowed if such projects are completed within the timeline specified in Annexure-III: </w:t>
      </w:r>
    </w:p>
    <w:p w:rsidR="00276130" w:rsidRPr="00FF266D" w:rsidRDefault="00276130" w:rsidP="00987BF9">
      <w:pPr>
        <w:autoSpaceDE w:val="0"/>
        <w:autoSpaceDN w:val="0"/>
        <w:adjustRightInd w:val="0"/>
        <w:rPr>
          <w:b/>
          <w:bCs/>
          <w:i/>
          <w:iCs/>
          <w:sz w:val="22"/>
          <w:szCs w:val="22"/>
        </w:rPr>
      </w:pPr>
    </w:p>
    <w:p w:rsidR="00276130" w:rsidRPr="00FF266D" w:rsidRDefault="00276130" w:rsidP="00987BF9">
      <w:pPr>
        <w:autoSpaceDE w:val="0"/>
        <w:autoSpaceDN w:val="0"/>
        <w:adjustRightInd w:val="0"/>
        <w:ind w:left="720"/>
        <w:rPr>
          <w:b/>
          <w:bCs/>
          <w:i/>
          <w:iCs/>
          <w:sz w:val="22"/>
          <w:szCs w:val="22"/>
        </w:rPr>
      </w:pPr>
      <w:r w:rsidRPr="00FF266D">
        <w:rPr>
          <w:b/>
          <w:bCs/>
          <w:i/>
          <w:iCs/>
          <w:sz w:val="22"/>
          <w:szCs w:val="22"/>
        </w:rPr>
        <w:t xml:space="preserve">Provided further that the additional return of 0.5% shall not be admissible if the project is not completed within the timeline specified above for reasons whatsoever. </w:t>
      </w:r>
    </w:p>
    <w:p w:rsidR="00276130" w:rsidRPr="00FF266D" w:rsidRDefault="00276130" w:rsidP="00987BF9">
      <w:pPr>
        <w:autoSpaceDE w:val="0"/>
        <w:autoSpaceDN w:val="0"/>
        <w:adjustRightInd w:val="0"/>
        <w:rPr>
          <w:b/>
          <w:bCs/>
          <w:i/>
          <w:iCs/>
          <w:sz w:val="22"/>
          <w:szCs w:val="22"/>
        </w:rPr>
      </w:pPr>
    </w:p>
    <w:p w:rsidR="00276130" w:rsidRPr="00FF266D" w:rsidRDefault="00276130" w:rsidP="00987BF9">
      <w:pPr>
        <w:autoSpaceDE w:val="0"/>
        <w:autoSpaceDN w:val="0"/>
        <w:adjustRightInd w:val="0"/>
        <w:ind w:firstLine="720"/>
        <w:rPr>
          <w:b/>
          <w:bCs/>
          <w:i/>
          <w:iCs/>
          <w:sz w:val="22"/>
          <w:szCs w:val="22"/>
        </w:rPr>
      </w:pPr>
      <w:r w:rsidRPr="00FF266D">
        <w:rPr>
          <w:b/>
          <w:bCs/>
          <w:i/>
          <w:iCs/>
          <w:sz w:val="22"/>
          <w:szCs w:val="22"/>
        </w:rPr>
        <w:t xml:space="preserve">32.2 Transmission Licensee and Distribution Licensee </w:t>
      </w:r>
    </w:p>
    <w:p w:rsidR="00276130" w:rsidRPr="00FF266D" w:rsidRDefault="00276130" w:rsidP="00987BF9">
      <w:pPr>
        <w:autoSpaceDE w:val="0"/>
        <w:autoSpaceDN w:val="0"/>
        <w:adjustRightInd w:val="0"/>
        <w:rPr>
          <w:b/>
          <w:bCs/>
          <w:i/>
          <w:iCs/>
          <w:sz w:val="22"/>
          <w:szCs w:val="22"/>
        </w:rPr>
      </w:pPr>
    </w:p>
    <w:p w:rsidR="00276130" w:rsidRPr="00FF266D" w:rsidRDefault="00276130" w:rsidP="00987BF9">
      <w:pPr>
        <w:autoSpaceDE w:val="0"/>
        <w:autoSpaceDN w:val="0"/>
        <w:adjustRightInd w:val="0"/>
        <w:ind w:left="720"/>
        <w:rPr>
          <w:b/>
          <w:bCs/>
          <w:i/>
          <w:iCs/>
          <w:sz w:val="22"/>
          <w:szCs w:val="22"/>
        </w:rPr>
      </w:pPr>
      <w:r w:rsidRPr="00FF266D">
        <w:rPr>
          <w:b/>
          <w:bCs/>
          <w:i/>
          <w:iCs/>
          <w:sz w:val="22"/>
          <w:szCs w:val="22"/>
        </w:rPr>
        <w:t xml:space="preserve">32.2.1 Return on equity capital for the Transmission Licensee and Wires Business of Distribution Licensee shall be computed on the equity capital determined in accordance with Regulation 30 at the rate of 15.5 % per cent per annum, and for the Retail Supply of Electricity of Distribution Licensee, Return on equity capital shall be allowed a return at the rate of 17.5 % per cent per annum, in Indian Rupee terms, on the amount of equity capital determined in accordance with Regulation 30. </w:t>
      </w:r>
    </w:p>
    <w:p w:rsidR="00276130" w:rsidRPr="00FF266D" w:rsidRDefault="00276130" w:rsidP="00987BF9">
      <w:pPr>
        <w:autoSpaceDE w:val="0"/>
        <w:autoSpaceDN w:val="0"/>
        <w:adjustRightInd w:val="0"/>
        <w:rPr>
          <w:b/>
          <w:bCs/>
          <w:i/>
          <w:iCs/>
          <w:sz w:val="22"/>
          <w:szCs w:val="22"/>
        </w:rPr>
      </w:pPr>
    </w:p>
    <w:p w:rsidR="00276130" w:rsidRPr="00FF266D" w:rsidRDefault="00276130" w:rsidP="00987BF9">
      <w:pPr>
        <w:autoSpaceDE w:val="0"/>
        <w:autoSpaceDN w:val="0"/>
        <w:adjustRightInd w:val="0"/>
        <w:ind w:left="720"/>
        <w:rPr>
          <w:b/>
          <w:bCs/>
          <w:i/>
          <w:iCs/>
          <w:sz w:val="22"/>
          <w:szCs w:val="22"/>
        </w:rPr>
      </w:pPr>
      <w:r w:rsidRPr="00FF266D">
        <w:rPr>
          <w:b/>
          <w:bCs/>
          <w:i/>
          <w:iCs/>
          <w:sz w:val="22"/>
          <w:szCs w:val="22"/>
        </w:rPr>
        <w:t xml:space="preserve">32.2.2 The return on equity capital shall be computed in the following manner: </w:t>
      </w:r>
    </w:p>
    <w:p w:rsidR="00276130" w:rsidRPr="00FF266D" w:rsidRDefault="00276130" w:rsidP="00987BF9">
      <w:pPr>
        <w:autoSpaceDE w:val="0"/>
        <w:autoSpaceDN w:val="0"/>
        <w:adjustRightInd w:val="0"/>
        <w:rPr>
          <w:b/>
          <w:bCs/>
          <w:i/>
          <w:iCs/>
          <w:sz w:val="22"/>
          <w:szCs w:val="22"/>
        </w:rPr>
      </w:pPr>
    </w:p>
    <w:p w:rsidR="00276130" w:rsidRPr="00FF266D" w:rsidRDefault="00276130" w:rsidP="00987BF9">
      <w:pPr>
        <w:autoSpaceDE w:val="0"/>
        <w:autoSpaceDN w:val="0"/>
        <w:adjustRightInd w:val="0"/>
        <w:spacing w:after="148"/>
        <w:ind w:left="720"/>
        <w:rPr>
          <w:b/>
          <w:bCs/>
          <w:i/>
          <w:iCs/>
          <w:sz w:val="22"/>
          <w:szCs w:val="22"/>
        </w:rPr>
      </w:pPr>
      <w:r w:rsidRPr="00FF266D">
        <w:rPr>
          <w:b/>
          <w:bCs/>
          <w:i/>
          <w:iCs/>
          <w:sz w:val="22"/>
          <w:szCs w:val="22"/>
        </w:rPr>
        <w:t xml:space="preserve">(a) Return at the allowable rate as per this Regulation above, applied on the amount of equity capital at the commencement of the financial year; plus </w:t>
      </w:r>
    </w:p>
    <w:p w:rsidR="00276130" w:rsidRPr="00FF266D" w:rsidRDefault="00276130" w:rsidP="00987BF9">
      <w:pPr>
        <w:autoSpaceDE w:val="0"/>
        <w:autoSpaceDN w:val="0"/>
        <w:adjustRightInd w:val="0"/>
        <w:ind w:left="720"/>
        <w:rPr>
          <w:b/>
          <w:bCs/>
          <w:i/>
          <w:iCs/>
          <w:sz w:val="22"/>
          <w:szCs w:val="22"/>
        </w:rPr>
      </w:pPr>
      <w:r w:rsidRPr="00FF266D">
        <w:rPr>
          <w:b/>
          <w:bCs/>
          <w:i/>
          <w:iCs/>
          <w:sz w:val="22"/>
          <w:szCs w:val="22"/>
        </w:rPr>
        <w:t>(b) Return at the allowable rate as per this Regulation above, applied on 50 per cent of the equity capital portion of the allowable capital cost, for the investments put to use in transmission business or distribution business, calculated in accordance with Regulation 27, Regulation 28 and Regulation 29 above, for such financial year.”</w:t>
      </w:r>
    </w:p>
    <w:p w:rsidR="00276130" w:rsidRDefault="00276130" w:rsidP="00E02F74">
      <w:pPr>
        <w:autoSpaceDE w:val="0"/>
        <w:autoSpaceDN w:val="0"/>
        <w:adjustRightInd w:val="0"/>
        <w:rPr>
          <w:sz w:val="22"/>
          <w:szCs w:val="22"/>
        </w:rPr>
      </w:pPr>
      <w:r>
        <w:rPr>
          <w:color w:val="000000"/>
          <w:sz w:val="22"/>
          <w:szCs w:val="22"/>
        </w:rPr>
        <w:t xml:space="preserve">It may be observed from above that MERC has allowed return on </w:t>
      </w:r>
      <w:hyperlink r:id="rId8" w:history="1">
        <w:r w:rsidRPr="00E95A38">
          <w:rPr>
            <w:rStyle w:val="Hyperlink"/>
            <w:color w:val="auto"/>
            <w:sz w:val="22"/>
            <w:szCs w:val="22"/>
          </w:rPr>
          <w:t>equity@15.5%</w:t>
        </w:r>
      </w:hyperlink>
      <w:r w:rsidRPr="00E95A38">
        <w:rPr>
          <w:sz w:val="22"/>
          <w:szCs w:val="22"/>
        </w:rPr>
        <w:t xml:space="preserve"> o</w:t>
      </w:r>
      <w:r>
        <w:rPr>
          <w:color w:val="000000"/>
          <w:sz w:val="22"/>
          <w:szCs w:val="22"/>
        </w:rPr>
        <w:t xml:space="preserve">n generation and 17.5% on </w:t>
      </w:r>
      <w:r w:rsidRPr="00807E0E">
        <w:rPr>
          <w:sz w:val="22"/>
          <w:szCs w:val="22"/>
        </w:rPr>
        <w:t>Retail Supply of Electricity of Distribution Licensee</w:t>
      </w:r>
      <w:r>
        <w:rPr>
          <w:sz w:val="22"/>
          <w:szCs w:val="22"/>
        </w:rPr>
        <w:t>.</w:t>
      </w:r>
    </w:p>
    <w:p w:rsidR="003C1A4C" w:rsidRDefault="003C1A4C" w:rsidP="00E02F74">
      <w:pPr>
        <w:autoSpaceDE w:val="0"/>
        <w:autoSpaceDN w:val="0"/>
        <w:adjustRightInd w:val="0"/>
        <w:spacing w:line="240" w:lineRule="auto"/>
        <w:rPr>
          <w:color w:val="000000"/>
          <w:sz w:val="22"/>
          <w:szCs w:val="22"/>
        </w:rPr>
      </w:pPr>
    </w:p>
    <w:p w:rsidR="009E0CEC" w:rsidRDefault="009E0CEC" w:rsidP="00E02F74">
      <w:pPr>
        <w:rPr>
          <w:sz w:val="22"/>
          <w:szCs w:val="22"/>
        </w:rPr>
      </w:pPr>
      <w:r w:rsidRPr="00315654">
        <w:rPr>
          <w:sz w:val="22"/>
          <w:szCs w:val="22"/>
        </w:rPr>
        <w:t xml:space="preserve">It </w:t>
      </w:r>
      <w:r w:rsidR="00DD3C4B">
        <w:rPr>
          <w:sz w:val="22"/>
          <w:szCs w:val="22"/>
        </w:rPr>
        <w:t xml:space="preserve">is submitted </w:t>
      </w:r>
      <w:r>
        <w:rPr>
          <w:sz w:val="22"/>
          <w:szCs w:val="22"/>
        </w:rPr>
        <w:t xml:space="preserve">that </w:t>
      </w:r>
      <w:r>
        <w:rPr>
          <w:sz w:val="22"/>
        </w:rPr>
        <w:t xml:space="preserve">the petitioner has made certain Capital additions. </w:t>
      </w:r>
      <w:r w:rsidR="00DD3C4B" w:rsidRPr="00315654">
        <w:rPr>
          <w:sz w:val="22"/>
          <w:szCs w:val="22"/>
        </w:rPr>
        <w:t>30% equivalent amount of the capital additions during the Control period</w:t>
      </w:r>
      <w:r w:rsidR="00D017FB">
        <w:rPr>
          <w:sz w:val="22"/>
          <w:szCs w:val="22"/>
        </w:rPr>
        <w:t xml:space="preserve"> </w:t>
      </w:r>
      <w:r w:rsidR="0085578E">
        <w:rPr>
          <w:sz w:val="22"/>
          <w:szCs w:val="22"/>
        </w:rPr>
        <w:t>FY 201</w:t>
      </w:r>
      <w:r w:rsidR="00D017FB">
        <w:rPr>
          <w:sz w:val="22"/>
          <w:szCs w:val="22"/>
        </w:rPr>
        <w:t>2-13 to FY 2014-15</w:t>
      </w:r>
      <w:r w:rsidR="00F030CC">
        <w:rPr>
          <w:sz w:val="22"/>
          <w:szCs w:val="22"/>
        </w:rPr>
        <w:t xml:space="preserve"> </w:t>
      </w:r>
      <w:r w:rsidR="00A15478">
        <w:rPr>
          <w:sz w:val="22"/>
          <w:szCs w:val="22"/>
        </w:rPr>
        <w:t xml:space="preserve">and extended period FY 2015-16 </w:t>
      </w:r>
      <w:r w:rsidR="00F030CC">
        <w:rPr>
          <w:sz w:val="22"/>
          <w:szCs w:val="22"/>
        </w:rPr>
        <w:t xml:space="preserve">has been </w:t>
      </w:r>
      <w:r w:rsidR="00BB1A77">
        <w:rPr>
          <w:sz w:val="22"/>
          <w:szCs w:val="22"/>
        </w:rPr>
        <w:t>considered</w:t>
      </w:r>
      <w:r w:rsidR="00F030CC">
        <w:rPr>
          <w:sz w:val="22"/>
          <w:szCs w:val="22"/>
        </w:rPr>
        <w:t xml:space="preserve"> for computation of ROE</w:t>
      </w:r>
      <w:r w:rsidR="00DD3C4B" w:rsidRPr="00315654">
        <w:rPr>
          <w:sz w:val="22"/>
          <w:szCs w:val="22"/>
        </w:rPr>
        <w:t>.</w:t>
      </w:r>
      <w:r w:rsidR="00615FCC">
        <w:rPr>
          <w:sz w:val="22"/>
          <w:szCs w:val="22"/>
        </w:rPr>
        <w:t xml:space="preserve"> </w:t>
      </w:r>
    </w:p>
    <w:p w:rsidR="00987BF9" w:rsidRDefault="00987BF9" w:rsidP="00E02F74">
      <w:pPr>
        <w:spacing w:line="240" w:lineRule="auto"/>
        <w:rPr>
          <w:sz w:val="22"/>
          <w:szCs w:val="22"/>
        </w:rPr>
      </w:pPr>
    </w:p>
    <w:p w:rsidR="00D017FB" w:rsidRDefault="00D017FB" w:rsidP="00E02F74">
      <w:pPr>
        <w:pStyle w:val="BodyText"/>
        <w:rPr>
          <w:rFonts w:ascii="Century Gothic" w:hAnsi="Century Gothic"/>
          <w:szCs w:val="22"/>
        </w:rPr>
      </w:pPr>
      <w:r>
        <w:rPr>
          <w:rFonts w:ascii="Century Gothic" w:hAnsi="Century Gothic"/>
          <w:szCs w:val="22"/>
        </w:rPr>
        <w:t>The petitioner has considered the Return on Equity @ 14% in the present petition as per the rate specified by Hon’ble Commission in its Generation Regulations</w:t>
      </w:r>
      <w:r w:rsidR="00873C94">
        <w:rPr>
          <w:rFonts w:ascii="Century Gothic" w:hAnsi="Century Gothic"/>
          <w:szCs w:val="22"/>
        </w:rPr>
        <w:t>-2011</w:t>
      </w:r>
      <w:r>
        <w:rPr>
          <w:rFonts w:ascii="Century Gothic" w:hAnsi="Century Gothic"/>
          <w:szCs w:val="22"/>
        </w:rPr>
        <w:t xml:space="preserve"> for the respective period. </w:t>
      </w:r>
    </w:p>
    <w:p w:rsidR="00873C94" w:rsidRDefault="00873C94" w:rsidP="00E02F74">
      <w:pPr>
        <w:pStyle w:val="Header"/>
        <w:tabs>
          <w:tab w:val="clear" w:pos="4320"/>
          <w:tab w:val="clear" w:pos="8640"/>
        </w:tabs>
        <w:rPr>
          <w:sz w:val="22"/>
          <w:szCs w:val="22"/>
        </w:rPr>
      </w:pPr>
      <w:r>
        <w:rPr>
          <w:sz w:val="22"/>
          <w:szCs w:val="22"/>
        </w:rPr>
        <w:t>Further, the Hon’ble Commission has determined the Annual aggregate Revenue Requirement for FY 2012-13 to FY 2014-15 for the stations of IPGCL vide its Order dt. 13.07.2012.  There seems to be an error on the face of record while computing the Income Tax as the part of Fixed Cost. During the previous MYT period from FY 2007-08 to FY 2011-12, income tax was not the part of Annual Fi</w:t>
      </w:r>
      <w:r w:rsidR="004710C5">
        <w:rPr>
          <w:sz w:val="22"/>
          <w:szCs w:val="22"/>
        </w:rPr>
        <w:t>xe</w:t>
      </w:r>
      <w:r>
        <w:rPr>
          <w:sz w:val="22"/>
          <w:szCs w:val="22"/>
        </w:rPr>
        <w:t xml:space="preserve">d Cost as approved by the Hon’ble Commission but was recoverable separately.  In the tariff order dt. 13.07.2012, the Hon’ble Commission has not grossed up the Income tax and simply determined the income tax by multiplying the income tax rate with return on equity component. The Hon’ble Commission in its Generation Tariff Regulations, 2011 has allowed the Return on Equity as 14% post tax.  The grossing up is done because the recovery of income tax from the beneficiary becomes the part of sales and hence further income tax is also levied on the base income tax.  </w:t>
      </w:r>
      <w:r>
        <w:rPr>
          <w:szCs w:val="22"/>
        </w:rPr>
        <w:t xml:space="preserve">  </w:t>
      </w:r>
      <w:r>
        <w:rPr>
          <w:szCs w:val="22"/>
        </w:rPr>
        <w:lastRenderedPageBreak/>
        <w:t>Central Electricity Regulatory Commission has also allowed grossing up of Income-tax in its generation tariff regulation, 2009 for the period FY 2009-10 to 2013-14 and also in its generation tariff regulation 2014 for the period FY 2014-15 to 2018-19.  The relevant extract of CERC generation tariff regulation, 2009 is reproduced as under “</w:t>
      </w:r>
      <w:r>
        <w:rPr>
          <w:sz w:val="22"/>
          <w:szCs w:val="22"/>
        </w:rPr>
        <w:t xml:space="preserve">The relevant extract is as </w:t>
      </w:r>
      <w:r w:rsidR="00B02C58">
        <w:rPr>
          <w:sz w:val="22"/>
          <w:szCs w:val="22"/>
        </w:rPr>
        <w:t>under:</w:t>
      </w:r>
    </w:p>
    <w:p w:rsidR="00873C94" w:rsidRDefault="00873C94" w:rsidP="00873C94">
      <w:pPr>
        <w:pStyle w:val="Header"/>
        <w:tabs>
          <w:tab w:val="clear" w:pos="4320"/>
          <w:tab w:val="clear" w:pos="8640"/>
        </w:tabs>
        <w:rPr>
          <w:sz w:val="22"/>
          <w:szCs w:val="22"/>
        </w:rPr>
      </w:pPr>
    </w:p>
    <w:p w:rsidR="00873C94" w:rsidRDefault="00873C94" w:rsidP="00873C94">
      <w:pPr>
        <w:pStyle w:val="Header"/>
        <w:tabs>
          <w:tab w:val="clear" w:pos="4320"/>
          <w:tab w:val="clear" w:pos="8640"/>
        </w:tabs>
        <w:rPr>
          <w:i/>
          <w:sz w:val="22"/>
          <w:szCs w:val="22"/>
        </w:rPr>
      </w:pPr>
      <w:r>
        <w:rPr>
          <w:sz w:val="22"/>
          <w:szCs w:val="22"/>
        </w:rPr>
        <w:t>“(3)</w:t>
      </w:r>
      <w:r>
        <w:rPr>
          <w:sz w:val="22"/>
          <w:szCs w:val="22"/>
        </w:rPr>
        <w:tab/>
      </w:r>
      <w:r>
        <w:rPr>
          <w:i/>
          <w:sz w:val="22"/>
          <w:szCs w:val="22"/>
        </w:rPr>
        <w:t>The rate of return on equity shall be computed by grossing up the base rate with the normal tax rate for the year 2008-09 applicable to the concerned generating company or the transmission licensee, as the case may be:</w:t>
      </w:r>
    </w:p>
    <w:p w:rsidR="00873C94" w:rsidRDefault="00873C94" w:rsidP="00873C94">
      <w:pPr>
        <w:pStyle w:val="Header"/>
        <w:tabs>
          <w:tab w:val="clear" w:pos="4320"/>
          <w:tab w:val="clear" w:pos="8640"/>
        </w:tabs>
        <w:rPr>
          <w:i/>
          <w:sz w:val="22"/>
          <w:szCs w:val="22"/>
        </w:rPr>
      </w:pPr>
    </w:p>
    <w:p w:rsidR="00873C94" w:rsidRDefault="00873C94" w:rsidP="00873C94">
      <w:pPr>
        <w:pStyle w:val="Header"/>
        <w:tabs>
          <w:tab w:val="clear" w:pos="4320"/>
          <w:tab w:val="clear" w:pos="8640"/>
        </w:tabs>
        <w:rPr>
          <w:i/>
          <w:sz w:val="22"/>
          <w:szCs w:val="22"/>
        </w:rPr>
      </w:pPr>
      <w:r>
        <w:rPr>
          <w:i/>
          <w:sz w:val="22"/>
          <w:szCs w:val="22"/>
        </w:rPr>
        <w:t>Provided that return on equity with respect to the actual tax rate applicable to the generating company or the transmission licensee, as the case may be, in line with the provisions of the relevant Finance Acts of the respective year during the tariff period shall be trued up separately for each year of the tariff period along with the tariff petition filed for the next tariff period.</w:t>
      </w:r>
    </w:p>
    <w:p w:rsidR="00873C94" w:rsidRDefault="00873C94" w:rsidP="00873C94">
      <w:pPr>
        <w:pStyle w:val="Header"/>
        <w:tabs>
          <w:tab w:val="clear" w:pos="4320"/>
          <w:tab w:val="clear" w:pos="8640"/>
        </w:tabs>
        <w:rPr>
          <w:i/>
          <w:sz w:val="22"/>
          <w:szCs w:val="22"/>
        </w:rPr>
      </w:pPr>
    </w:p>
    <w:p w:rsidR="00873C94" w:rsidRDefault="00873C94" w:rsidP="00873C94">
      <w:pPr>
        <w:pStyle w:val="Header"/>
        <w:tabs>
          <w:tab w:val="clear" w:pos="4320"/>
          <w:tab w:val="clear" w:pos="8640"/>
        </w:tabs>
        <w:rPr>
          <w:i/>
          <w:sz w:val="22"/>
          <w:szCs w:val="22"/>
        </w:rPr>
      </w:pPr>
      <w:r>
        <w:rPr>
          <w:i/>
          <w:sz w:val="22"/>
          <w:szCs w:val="22"/>
        </w:rPr>
        <w:t>(4)</w:t>
      </w:r>
      <w:r>
        <w:rPr>
          <w:i/>
          <w:sz w:val="22"/>
          <w:szCs w:val="22"/>
        </w:rPr>
        <w:tab/>
        <w:t>Rate of return on equity shall be rounded off to three decimal points and be computed as per the formula given below :</w:t>
      </w:r>
    </w:p>
    <w:p w:rsidR="00873C94" w:rsidRDefault="00873C94" w:rsidP="00873C94">
      <w:pPr>
        <w:pStyle w:val="Header"/>
        <w:tabs>
          <w:tab w:val="clear" w:pos="4320"/>
          <w:tab w:val="clear" w:pos="8640"/>
        </w:tabs>
        <w:rPr>
          <w:i/>
          <w:sz w:val="22"/>
          <w:szCs w:val="22"/>
        </w:rPr>
      </w:pPr>
    </w:p>
    <w:p w:rsidR="00873C94" w:rsidRDefault="00873C94" w:rsidP="00873C94">
      <w:pPr>
        <w:pStyle w:val="Header"/>
        <w:tabs>
          <w:tab w:val="clear" w:pos="4320"/>
          <w:tab w:val="clear" w:pos="8640"/>
        </w:tabs>
        <w:rPr>
          <w:i/>
          <w:sz w:val="22"/>
          <w:szCs w:val="22"/>
        </w:rPr>
      </w:pPr>
      <w:r>
        <w:rPr>
          <w:i/>
          <w:sz w:val="22"/>
          <w:szCs w:val="22"/>
        </w:rPr>
        <w:t>Rate of pre-tax return on equity = Base rate / (1-t)</w:t>
      </w:r>
    </w:p>
    <w:p w:rsidR="00873C94" w:rsidRDefault="00873C94" w:rsidP="00873C94">
      <w:pPr>
        <w:pStyle w:val="Header"/>
        <w:tabs>
          <w:tab w:val="clear" w:pos="4320"/>
          <w:tab w:val="clear" w:pos="8640"/>
        </w:tabs>
        <w:rPr>
          <w:i/>
          <w:sz w:val="22"/>
          <w:szCs w:val="22"/>
        </w:rPr>
      </w:pPr>
    </w:p>
    <w:p w:rsidR="00873C94" w:rsidRDefault="00873C94" w:rsidP="00873C94">
      <w:pPr>
        <w:pStyle w:val="Header"/>
        <w:tabs>
          <w:tab w:val="clear" w:pos="4320"/>
          <w:tab w:val="clear" w:pos="8640"/>
        </w:tabs>
        <w:rPr>
          <w:i/>
          <w:sz w:val="22"/>
          <w:szCs w:val="22"/>
        </w:rPr>
      </w:pPr>
      <w:r>
        <w:rPr>
          <w:i/>
          <w:sz w:val="22"/>
          <w:szCs w:val="22"/>
        </w:rPr>
        <w:t>Where it is the applicable tax rate in accordance with Clause (3) of this regulation.</w:t>
      </w:r>
    </w:p>
    <w:p w:rsidR="00873C94" w:rsidRDefault="00873C94" w:rsidP="00873C94">
      <w:pPr>
        <w:rPr>
          <w:sz w:val="22"/>
          <w:szCs w:val="22"/>
        </w:rPr>
      </w:pPr>
    </w:p>
    <w:p w:rsidR="00873C94" w:rsidRDefault="00873C94" w:rsidP="00873C94">
      <w:pPr>
        <w:rPr>
          <w:sz w:val="22"/>
          <w:szCs w:val="22"/>
        </w:rPr>
      </w:pPr>
      <w:r>
        <w:rPr>
          <w:sz w:val="22"/>
          <w:szCs w:val="22"/>
        </w:rPr>
        <w:t>Further, CERC in its generation tariff regulation, 2014 has also grossed up the rate of return of income-tax, the relevant extract of the same is reproduced as under :</w:t>
      </w:r>
    </w:p>
    <w:p w:rsidR="00873C94" w:rsidRDefault="00873C94" w:rsidP="00873C94">
      <w:pPr>
        <w:rPr>
          <w:sz w:val="22"/>
          <w:szCs w:val="22"/>
        </w:rPr>
      </w:pPr>
    </w:p>
    <w:p w:rsidR="00873C94" w:rsidRDefault="00873C94" w:rsidP="00873C94">
      <w:pPr>
        <w:rPr>
          <w:sz w:val="22"/>
          <w:szCs w:val="22"/>
        </w:rPr>
      </w:pPr>
      <w:r>
        <w:rPr>
          <w:sz w:val="22"/>
          <w:szCs w:val="22"/>
        </w:rPr>
        <w:t>“25. Tax on return on equity</w:t>
      </w:r>
    </w:p>
    <w:p w:rsidR="00873C94" w:rsidRDefault="00873C94" w:rsidP="00873C94">
      <w:pPr>
        <w:rPr>
          <w:sz w:val="22"/>
          <w:szCs w:val="22"/>
        </w:rPr>
      </w:pPr>
      <w:r>
        <w:rPr>
          <w:sz w:val="22"/>
          <w:szCs w:val="22"/>
        </w:rPr>
        <w:t xml:space="preserve">(1)The base rate of return on equity as allowed by the commission under Regulation 24 shall be grossed up with the effective tax rate of the respective financial year. For this purpose, the effective tax rate shall be considered on the basis of actual tax paid in the respect of the financial year in line with the provisions of the Financial acts by the concerned generating company or the transmission Licensee, as the case may be. The actual tax income on other </w:t>
      </w:r>
      <w:r>
        <w:rPr>
          <w:sz w:val="22"/>
          <w:szCs w:val="22"/>
        </w:rPr>
        <w:lastRenderedPageBreak/>
        <w:t>income stream (i.e., income of non generation or non transmission business, as the case may be) shall not be considered for the calculation of “effective tax rate”.</w:t>
      </w:r>
    </w:p>
    <w:p w:rsidR="00E02F74" w:rsidRDefault="00E02F74" w:rsidP="00873C94">
      <w:pPr>
        <w:rPr>
          <w:sz w:val="22"/>
          <w:szCs w:val="22"/>
        </w:rPr>
      </w:pPr>
    </w:p>
    <w:p w:rsidR="00873C94" w:rsidRDefault="00873C94" w:rsidP="00873C94">
      <w:pPr>
        <w:rPr>
          <w:sz w:val="22"/>
          <w:szCs w:val="22"/>
        </w:rPr>
      </w:pPr>
      <w:r>
        <w:rPr>
          <w:sz w:val="22"/>
          <w:szCs w:val="22"/>
        </w:rPr>
        <w:t>(2)</w:t>
      </w:r>
      <w:r>
        <w:rPr>
          <w:sz w:val="22"/>
          <w:szCs w:val="22"/>
        </w:rPr>
        <w:tab/>
        <w:t>Rate of return on equity shall be rounded off to three decimal placed and shall be computed as per the formula given below:</w:t>
      </w:r>
    </w:p>
    <w:p w:rsidR="00873C94" w:rsidRDefault="00873C94" w:rsidP="00E02F74">
      <w:pPr>
        <w:spacing w:line="240" w:lineRule="auto"/>
        <w:rPr>
          <w:sz w:val="22"/>
          <w:szCs w:val="22"/>
        </w:rPr>
      </w:pPr>
    </w:p>
    <w:p w:rsidR="00873C94" w:rsidRDefault="00873C94" w:rsidP="00873C94">
      <w:pPr>
        <w:rPr>
          <w:sz w:val="22"/>
          <w:szCs w:val="22"/>
        </w:rPr>
      </w:pPr>
      <w:r>
        <w:rPr>
          <w:sz w:val="22"/>
          <w:szCs w:val="22"/>
        </w:rPr>
        <w:t>Rate of pre-tax return on equity = Base rate / (1-t)</w:t>
      </w:r>
    </w:p>
    <w:p w:rsidR="00873C94" w:rsidRDefault="00873C94" w:rsidP="00E02F74">
      <w:pPr>
        <w:spacing w:line="240" w:lineRule="auto"/>
        <w:rPr>
          <w:sz w:val="22"/>
          <w:szCs w:val="22"/>
        </w:rPr>
      </w:pPr>
    </w:p>
    <w:p w:rsidR="00873C94" w:rsidRDefault="00873C94" w:rsidP="00873C94">
      <w:pPr>
        <w:rPr>
          <w:sz w:val="22"/>
          <w:szCs w:val="22"/>
        </w:rPr>
      </w:pPr>
      <w:r>
        <w:rPr>
          <w:sz w:val="22"/>
          <w:szCs w:val="22"/>
        </w:rPr>
        <w:t>Where “t” is the effective tax rate in accordance with Clause (1) of this regulation and shall be calculated at the beginning of every financial year based on the estimated profit and tax to be paid estimated in line with the provisions of the relevant Finance Act applicable for that financial year to the company on pro-rata basis by excluding the income of non-generation or non-transmission business, as the case may be, and the corresponding tax thereon. In case of generating company or transmission licensee paying Minimum Alternate Tax (MAT), ‘t’ shall be considered as MAT rate including surcharge and cess.</w:t>
      </w:r>
    </w:p>
    <w:p w:rsidR="00873C94" w:rsidRDefault="00873C94" w:rsidP="00E02F74">
      <w:pPr>
        <w:spacing w:line="240" w:lineRule="auto"/>
        <w:rPr>
          <w:sz w:val="22"/>
          <w:szCs w:val="22"/>
        </w:rPr>
      </w:pPr>
    </w:p>
    <w:p w:rsidR="00873C94" w:rsidRPr="003F70BD" w:rsidRDefault="003F70BD" w:rsidP="00873C94">
      <w:pPr>
        <w:rPr>
          <w:sz w:val="22"/>
          <w:szCs w:val="22"/>
        </w:rPr>
      </w:pPr>
      <w:r w:rsidRPr="003F70BD">
        <w:rPr>
          <w:b/>
          <w:sz w:val="22"/>
          <w:szCs w:val="22"/>
        </w:rPr>
        <w:t>Illustration:</w:t>
      </w:r>
      <w:r w:rsidR="00873C94" w:rsidRPr="003F70BD">
        <w:rPr>
          <w:b/>
          <w:sz w:val="22"/>
          <w:szCs w:val="22"/>
        </w:rPr>
        <w:t>-</w:t>
      </w:r>
    </w:p>
    <w:p w:rsidR="00873C94" w:rsidRPr="008E09BC" w:rsidRDefault="00873C94" w:rsidP="00E02F74">
      <w:pPr>
        <w:spacing w:line="240" w:lineRule="auto"/>
        <w:rPr>
          <w:color w:val="FF0000"/>
          <w:sz w:val="22"/>
          <w:szCs w:val="22"/>
        </w:rPr>
      </w:pPr>
    </w:p>
    <w:p w:rsidR="00873C94" w:rsidRPr="003F70BD" w:rsidRDefault="00873C94" w:rsidP="003F70BD">
      <w:pPr>
        <w:pStyle w:val="ListParagraph"/>
        <w:numPr>
          <w:ilvl w:val="0"/>
          <w:numId w:val="45"/>
        </w:numPr>
        <w:spacing w:line="360" w:lineRule="auto"/>
        <w:rPr>
          <w:rFonts w:ascii="Century Gothic" w:hAnsi="Century Gothic"/>
          <w:sz w:val="22"/>
          <w:szCs w:val="22"/>
        </w:rPr>
      </w:pPr>
      <w:r w:rsidRPr="003F70BD">
        <w:rPr>
          <w:rFonts w:ascii="Century Gothic" w:hAnsi="Century Gothic"/>
          <w:sz w:val="22"/>
          <w:szCs w:val="22"/>
        </w:rPr>
        <w:t>In case of the generating company or the transmission licensee paying Minimum Alternate Tax (MAT) @ 20.96% including surcharge and cess:</w:t>
      </w:r>
    </w:p>
    <w:p w:rsidR="00873C94" w:rsidRPr="003F70BD" w:rsidRDefault="00873C94" w:rsidP="00873C94">
      <w:pPr>
        <w:ind w:left="360" w:firstLine="720"/>
        <w:rPr>
          <w:sz w:val="22"/>
          <w:szCs w:val="22"/>
        </w:rPr>
      </w:pPr>
      <w:r w:rsidRPr="003F70BD">
        <w:rPr>
          <w:sz w:val="22"/>
          <w:szCs w:val="22"/>
        </w:rPr>
        <w:t xml:space="preserve">Rate of return on equity = 15.50 / (1-0.2096) = 19.610% </w:t>
      </w:r>
    </w:p>
    <w:p w:rsidR="00873C94" w:rsidRPr="003F70BD" w:rsidRDefault="00873C94" w:rsidP="00873C94">
      <w:pPr>
        <w:spacing w:line="240" w:lineRule="auto"/>
        <w:rPr>
          <w:sz w:val="22"/>
          <w:szCs w:val="22"/>
        </w:rPr>
      </w:pPr>
    </w:p>
    <w:p w:rsidR="00873C94" w:rsidRPr="003F70BD" w:rsidRDefault="00873C94" w:rsidP="003F70BD">
      <w:pPr>
        <w:pStyle w:val="ListParagraph"/>
        <w:numPr>
          <w:ilvl w:val="0"/>
          <w:numId w:val="45"/>
        </w:numPr>
        <w:spacing w:line="360" w:lineRule="auto"/>
        <w:rPr>
          <w:rFonts w:ascii="Century Gothic" w:hAnsi="Century Gothic"/>
          <w:sz w:val="22"/>
          <w:szCs w:val="22"/>
        </w:rPr>
      </w:pPr>
      <w:r w:rsidRPr="003F70BD">
        <w:rPr>
          <w:rFonts w:ascii="Century Gothic" w:hAnsi="Century Gothic"/>
          <w:sz w:val="22"/>
          <w:szCs w:val="22"/>
        </w:rPr>
        <w:t>In case of generating company or the transmission licensee paying normal corporate tax including surcharge and cess:</w:t>
      </w:r>
    </w:p>
    <w:p w:rsidR="00873C94" w:rsidRPr="003F70BD" w:rsidRDefault="00873C94" w:rsidP="00873C94">
      <w:pPr>
        <w:pStyle w:val="ListParagraph"/>
        <w:spacing w:line="360" w:lineRule="auto"/>
        <w:ind w:left="1080"/>
        <w:rPr>
          <w:rFonts w:ascii="Century Gothic" w:hAnsi="Century Gothic"/>
          <w:sz w:val="22"/>
          <w:szCs w:val="22"/>
        </w:rPr>
      </w:pPr>
    </w:p>
    <w:p w:rsidR="00873C94" w:rsidRDefault="00873C94" w:rsidP="003F70BD">
      <w:pPr>
        <w:pStyle w:val="ListParagraph"/>
        <w:numPr>
          <w:ilvl w:val="0"/>
          <w:numId w:val="46"/>
        </w:numPr>
        <w:spacing w:line="360" w:lineRule="auto"/>
        <w:ind w:hanging="720"/>
        <w:rPr>
          <w:rFonts w:ascii="Century Gothic" w:hAnsi="Century Gothic"/>
          <w:sz w:val="22"/>
          <w:szCs w:val="22"/>
        </w:rPr>
      </w:pPr>
      <w:r w:rsidRPr="003F70BD">
        <w:rPr>
          <w:rFonts w:ascii="Century Gothic" w:hAnsi="Century Gothic"/>
          <w:sz w:val="22"/>
          <w:szCs w:val="22"/>
        </w:rPr>
        <w:t>Estimated Gross Income from</w:t>
      </w:r>
      <w:r>
        <w:rPr>
          <w:rFonts w:ascii="Century Gothic" w:hAnsi="Century Gothic"/>
          <w:sz w:val="22"/>
          <w:szCs w:val="22"/>
        </w:rPr>
        <w:t xml:space="preserve"> generation or transmission business for FY 2014-15 is Rs.1000 Cr.</w:t>
      </w:r>
    </w:p>
    <w:p w:rsidR="00873C94" w:rsidRPr="003F70BD" w:rsidRDefault="00873C94" w:rsidP="003F70BD">
      <w:pPr>
        <w:pStyle w:val="ListParagraph"/>
        <w:numPr>
          <w:ilvl w:val="0"/>
          <w:numId w:val="46"/>
        </w:numPr>
        <w:spacing w:line="360" w:lineRule="auto"/>
        <w:ind w:hanging="720"/>
        <w:rPr>
          <w:rFonts w:ascii="Century Gothic" w:hAnsi="Century Gothic"/>
          <w:sz w:val="22"/>
          <w:szCs w:val="22"/>
        </w:rPr>
      </w:pPr>
      <w:r w:rsidRPr="003F70BD">
        <w:rPr>
          <w:rFonts w:ascii="Century Gothic" w:hAnsi="Century Gothic"/>
          <w:sz w:val="22"/>
          <w:szCs w:val="22"/>
        </w:rPr>
        <w:t>Estimated Advance Tax for the year on above is Rs. 240 Crore.</w:t>
      </w:r>
    </w:p>
    <w:p w:rsidR="003F70BD" w:rsidRDefault="00873C94" w:rsidP="003F70BD">
      <w:pPr>
        <w:pStyle w:val="ListParagraph"/>
        <w:numPr>
          <w:ilvl w:val="0"/>
          <w:numId w:val="46"/>
        </w:numPr>
        <w:spacing w:line="360" w:lineRule="auto"/>
        <w:ind w:hanging="720"/>
        <w:rPr>
          <w:rFonts w:ascii="Century Gothic" w:hAnsi="Century Gothic"/>
          <w:sz w:val="22"/>
          <w:szCs w:val="22"/>
        </w:rPr>
      </w:pPr>
      <w:r>
        <w:rPr>
          <w:rFonts w:ascii="Century Gothic" w:hAnsi="Century Gothic"/>
          <w:sz w:val="22"/>
          <w:szCs w:val="22"/>
        </w:rPr>
        <w:t>Effective Tax Rate for the year 2014-15 = Rs. 240 Crore / Rs.1000 Crore = 24%.</w:t>
      </w:r>
    </w:p>
    <w:p w:rsidR="00873C94" w:rsidRPr="003F70BD" w:rsidRDefault="00873C94" w:rsidP="003F70BD">
      <w:pPr>
        <w:pStyle w:val="ListParagraph"/>
        <w:numPr>
          <w:ilvl w:val="0"/>
          <w:numId w:val="46"/>
        </w:numPr>
        <w:spacing w:line="360" w:lineRule="auto"/>
        <w:ind w:hanging="720"/>
        <w:rPr>
          <w:rFonts w:ascii="Century Gothic" w:hAnsi="Century Gothic"/>
          <w:sz w:val="22"/>
          <w:szCs w:val="22"/>
        </w:rPr>
      </w:pPr>
      <w:r w:rsidRPr="003F70BD">
        <w:rPr>
          <w:rFonts w:ascii="Century Gothic" w:hAnsi="Century Gothic"/>
          <w:sz w:val="22"/>
          <w:szCs w:val="22"/>
        </w:rPr>
        <w:t>Rate of Return on equity = 15.50 / (1-0.24) = 20.395%.</w:t>
      </w:r>
    </w:p>
    <w:p w:rsidR="00873C94" w:rsidRDefault="00873C94" w:rsidP="00873C94">
      <w:pPr>
        <w:rPr>
          <w:sz w:val="22"/>
          <w:szCs w:val="22"/>
        </w:rPr>
      </w:pPr>
    </w:p>
    <w:p w:rsidR="00873C94" w:rsidRDefault="00873C94" w:rsidP="00873C94">
      <w:pPr>
        <w:rPr>
          <w:sz w:val="22"/>
          <w:szCs w:val="22"/>
        </w:rPr>
      </w:pPr>
      <w:r>
        <w:rPr>
          <w:sz w:val="22"/>
          <w:szCs w:val="22"/>
        </w:rPr>
        <w:t>(3)</w:t>
      </w:r>
      <w:r>
        <w:rPr>
          <w:sz w:val="22"/>
          <w:szCs w:val="22"/>
        </w:rPr>
        <w:tab/>
        <w:t xml:space="preserve">The generating company or the transmission licensee, as the case may be, shall true up the grossed up rate of return on equity at the end of every financial </w:t>
      </w:r>
      <w:r>
        <w:rPr>
          <w:sz w:val="22"/>
          <w:szCs w:val="22"/>
        </w:rPr>
        <w:lastRenderedPageBreak/>
        <w:t>year based on actual tax paid together with any additional tax demand including interest thereon, duly adjusted for any refund of tax including interest received from the income-tax authorities pertaining to the tariff period 2014-15 to 2018-19 on actual gross income of any financial year.  However, penalty, if any, arising on account of delay in deposit or short deposit of tax amount shall not be claimed by the generating company or the transmission licensee as the case may be. Any under-recovery or over-recovery of grossed up rate on return on equity after truing up, shall be recovered or refunded to beneficiaries or the long term transmission customers/DICs as the case may be on year to year basis. “</w:t>
      </w:r>
    </w:p>
    <w:p w:rsidR="00B45EEA" w:rsidRDefault="00B45EEA" w:rsidP="00B45EEA">
      <w:pPr>
        <w:autoSpaceDE w:val="0"/>
        <w:autoSpaceDN w:val="0"/>
        <w:adjustRightInd w:val="0"/>
        <w:rPr>
          <w:sz w:val="22"/>
          <w:szCs w:val="22"/>
        </w:rPr>
      </w:pPr>
    </w:p>
    <w:p w:rsidR="00185EF9" w:rsidRDefault="0035024D" w:rsidP="00185EF9">
      <w:pPr>
        <w:pStyle w:val="Header"/>
        <w:tabs>
          <w:tab w:val="clear" w:pos="4320"/>
          <w:tab w:val="clear" w:pos="8640"/>
        </w:tabs>
        <w:rPr>
          <w:sz w:val="22"/>
          <w:szCs w:val="22"/>
        </w:rPr>
      </w:pPr>
      <w:r>
        <w:rPr>
          <w:sz w:val="22"/>
          <w:szCs w:val="22"/>
        </w:rPr>
        <w:t xml:space="preserve">Accordingly revised tax rates with gross as per above provisions for GTPS will be as follows: </w:t>
      </w:r>
    </w:p>
    <w:p w:rsidR="00A82AAC" w:rsidRPr="00682818" w:rsidRDefault="00A82AAC" w:rsidP="00A82AAC">
      <w:pPr>
        <w:pStyle w:val="Caption"/>
        <w:jc w:val="center"/>
      </w:pPr>
      <w:bookmarkStart w:id="86" w:name="_Toc411604009"/>
      <w:r>
        <w:t xml:space="preserve">Table </w:t>
      </w:r>
      <w:fldSimple w:instr=" SEQ Table \* ARABIC ">
        <w:r w:rsidR="002326CE">
          <w:rPr>
            <w:noProof/>
          </w:rPr>
          <w:t>32</w:t>
        </w:r>
      </w:fldSimple>
      <w:r>
        <w:t xml:space="preserve"> : grossed up Income tax for GTPS</w:t>
      </w:r>
      <w:bookmarkEnd w:id="86"/>
    </w:p>
    <w:tbl>
      <w:tblPr>
        <w:tblStyle w:val="TableGrid"/>
        <w:tblW w:w="5296" w:type="pct"/>
        <w:tblLook w:val="04A0"/>
      </w:tblPr>
      <w:tblGrid>
        <w:gridCol w:w="3012"/>
        <w:gridCol w:w="1168"/>
        <w:gridCol w:w="1316"/>
        <w:gridCol w:w="1457"/>
        <w:gridCol w:w="1223"/>
        <w:gridCol w:w="1418"/>
      </w:tblGrid>
      <w:tr w:rsidR="00433B1A" w:rsidRPr="003035BC" w:rsidTr="00DD1F84">
        <w:tc>
          <w:tcPr>
            <w:tcW w:w="1587" w:type="pct"/>
            <w:shd w:val="clear" w:color="auto" w:fill="002060"/>
          </w:tcPr>
          <w:p w:rsidR="00433B1A" w:rsidRPr="0072164D" w:rsidRDefault="00433B1A" w:rsidP="00433B1A">
            <w:pPr>
              <w:pStyle w:val="Header"/>
              <w:tabs>
                <w:tab w:val="clear" w:pos="4320"/>
                <w:tab w:val="clear" w:pos="8640"/>
              </w:tabs>
              <w:spacing w:line="240" w:lineRule="auto"/>
              <w:rPr>
                <w:b/>
                <w:sz w:val="20"/>
                <w:szCs w:val="20"/>
              </w:rPr>
            </w:pPr>
            <w:r w:rsidRPr="0072164D">
              <w:rPr>
                <w:b/>
                <w:sz w:val="20"/>
                <w:szCs w:val="20"/>
              </w:rPr>
              <w:t>Particulars</w:t>
            </w:r>
          </w:p>
        </w:tc>
        <w:tc>
          <w:tcPr>
            <w:tcW w:w="626" w:type="pct"/>
            <w:shd w:val="clear" w:color="auto" w:fill="002060"/>
          </w:tcPr>
          <w:p w:rsidR="00433B1A" w:rsidRPr="0072164D" w:rsidRDefault="00433B1A" w:rsidP="00433B1A">
            <w:pPr>
              <w:pStyle w:val="Header"/>
              <w:tabs>
                <w:tab w:val="clear" w:pos="4320"/>
                <w:tab w:val="clear" w:pos="8640"/>
              </w:tabs>
              <w:spacing w:line="240" w:lineRule="auto"/>
              <w:rPr>
                <w:b/>
                <w:sz w:val="20"/>
                <w:szCs w:val="20"/>
              </w:rPr>
            </w:pPr>
          </w:p>
        </w:tc>
        <w:tc>
          <w:tcPr>
            <w:tcW w:w="703" w:type="pct"/>
            <w:shd w:val="clear" w:color="auto" w:fill="002060"/>
          </w:tcPr>
          <w:p w:rsidR="00433B1A" w:rsidRPr="0072164D" w:rsidRDefault="00433B1A" w:rsidP="00433B1A">
            <w:pPr>
              <w:pStyle w:val="Header"/>
              <w:tabs>
                <w:tab w:val="clear" w:pos="4320"/>
                <w:tab w:val="clear" w:pos="8640"/>
              </w:tabs>
              <w:spacing w:line="240" w:lineRule="auto"/>
              <w:rPr>
                <w:b/>
                <w:sz w:val="20"/>
                <w:szCs w:val="20"/>
              </w:rPr>
            </w:pPr>
            <w:r w:rsidRPr="0072164D">
              <w:rPr>
                <w:b/>
                <w:sz w:val="20"/>
                <w:szCs w:val="20"/>
              </w:rPr>
              <w:t>FY 2012-13</w:t>
            </w:r>
          </w:p>
        </w:tc>
        <w:tc>
          <w:tcPr>
            <w:tcW w:w="776" w:type="pct"/>
            <w:shd w:val="clear" w:color="auto" w:fill="002060"/>
          </w:tcPr>
          <w:p w:rsidR="00433B1A" w:rsidRPr="0072164D" w:rsidRDefault="00433B1A" w:rsidP="00433B1A">
            <w:pPr>
              <w:pStyle w:val="Header"/>
              <w:tabs>
                <w:tab w:val="clear" w:pos="4320"/>
                <w:tab w:val="clear" w:pos="8640"/>
              </w:tabs>
              <w:spacing w:line="240" w:lineRule="auto"/>
              <w:rPr>
                <w:b/>
                <w:sz w:val="20"/>
                <w:szCs w:val="20"/>
              </w:rPr>
            </w:pPr>
            <w:r w:rsidRPr="0072164D">
              <w:rPr>
                <w:b/>
                <w:sz w:val="20"/>
                <w:szCs w:val="20"/>
              </w:rPr>
              <w:t>FY 2013-14</w:t>
            </w:r>
          </w:p>
        </w:tc>
        <w:tc>
          <w:tcPr>
            <w:tcW w:w="654" w:type="pct"/>
            <w:shd w:val="clear" w:color="auto" w:fill="002060"/>
          </w:tcPr>
          <w:p w:rsidR="00433B1A" w:rsidRPr="0072164D" w:rsidRDefault="00433B1A" w:rsidP="00433B1A">
            <w:pPr>
              <w:pStyle w:val="Header"/>
              <w:tabs>
                <w:tab w:val="clear" w:pos="4320"/>
                <w:tab w:val="clear" w:pos="8640"/>
              </w:tabs>
              <w:spacing w:line="240" w:lineRule="auto"/>
              <w:rPr>
                <w:b/>
                <w:sz w:val="20"/>
                <w:szCs w:val="20"/>
              </w:rPr>
            </w:pPr>
            <w:r w:rsidRPr="0072164D">
              <w:rPr>
                <w:b/>
                <w:sz w:val="20"/>
                <w:szCs w:val="20"/>
              </w:rPr>
              <w:t>FY 2014-15</w:t>
            </w:r>
          </w:p>
        </w:tc>
        <w:tc>
          <w:tcPr>
            <w:tcW w:w="654" w:type="pct"/>
            <w:shd w:val="clear" w:color="auto" w:fill="002060"/>
          </w:tcPr>
          <w:p w:rsidR="00F71DD6" w:rsidRDefault="0072164D" w:rsidP="00F71DD6">
            <w:pPr>
              <w:spacing w:line="240" w:lineRule="auto"/>
              <w:jc w:val="center"/>
              <w:rPr>
                <w:b/>
                <w:sz w:val="22"/>
                <w:szCs w:val="22"/>
              </w:rPr>
            </w:pPr>
            <w:r w:rsidRPr="0072164D">
              <w:rPr>
                <w:b/>
                <w:sz w:val="20"/>
                <w:szCs w:val="20"/>
              </w:rPr>
              <w:t xml:space="preserve">FY </w:t>
            </w:r>
            <w:r w:rsidR="00F71DD6">
              <w:rPr>
                <w:b/>
                <w:sz w:val="22"/>
                <w:szCs w:val="22"/>
              </w:rPr>
              <w:t>15-16</w:t>
            </w:r>
          </w:p>
          <w:p w:rsidR="00433B1A" w:rsidRPr="0072164D" w:rsidRDefault="00F71DD6" w:rsidP="00F71DD6">
            <w:pPr>
              <w:pStyle w:val="Header"/>
              <w:tabs>
                <w:tab w:val="clear" w:pos="4320"/>
                <w:tab w:val="clear" w:pos="8640"/>
              </w:tabs>
              <w:spacing w:line="240" w:lineRule="auto"/>
              <w:rPr>
                <w:b/>
                <w:sz w:val="20"/>
                <w:szCs w:val="20"/>
              </w:rPr>
            </w:pPr>
            <w:r>
              <w:rPr>
                <w:b/>
                <w:sz w:val="22"/>
                <w:szCs w:val="22"/>
              </w:rPr>
              <w:t>(Estimated)</w:t>
            </w:r>
          </w:p>
        </w:tc>
      </w:tr>
      <w:tr w:rsidR="00905A8C" w:rsidTr="00BC6C19">
        <w:tc>
          <w:tcPr>
            <w:tcW w:w="1587" w:type="pct"/>
          </w:tcPr>
          <w:p w:rsidR="00905A8C" w:rsidRDefault="00905A8C" w:rsidP="00433B1A">
            <w:pPr>
              <w:pStyle w:val="Header"/>
              <w:tabs>
                <w:tab w:val="clear" w:pos="4320"/>
                <w:tab w:val="clear" w:pos="8640"/>
              </w:tabs>
              <w:spacing w:line="240" w:lineRule="auto"/>
              <w:rPr>
                <w:sz w:val="22"/>
                <w:szCs w:val="22"/>
              </w:rPr>
            </w:pPr>
            <w:r>
              <w:rPr>
                <w:sz w:val="22"/>
                <w:szCs w:val="22"/>
              </w:rPr>
              <w:t>Average Equity (Rs. Cr.) as approved by Hon’ble Commission</w:t>
            </w:r>
          </w:p>
        </w:tc>
        <w:tc>
          <w:tcPr>
            <w:tcW w:w="626" w:type="pct"/>
          </w:tcPr>
          <w:p w:rsidR="00905A8C" w:rsidRDefault="00905A8C" w:rsidP="00433B1A">
            <w:pPr>
              <w:pStyle w:val="Header"/>
              <w:tabs>
                <w:tab w:val="clear" w:pos="4320"/>
                <w:tab w:val="clear" w:pos="8640"/>
              </w:tabs>
              <w:spacing w:line="240" w:lineRule="auto"/>
              <w:rPr>
                <w:sz w:val="22"/>
                <w:szCs w:val="22"/>
              </w:rPr>
            </w:pPr>
            <w:r>
              <w:rPr>
                <w:sz w:val="22"/>
                <w:szCs w:val="22"/>
              </w:rPr>
              <w:t>A</w:t>
            </w:r>
          </w:p>
        </w:tc>
        <w:tc>
          <w:tcPr>
            <w:tcW w:w="703" w:type="pct"/>
            <w:vAlign w:val="center"/>
          </w:tcPr>
          <w:p w:rsidR="00905A8C" w:rsidRDefault="00905A8C" w:rsidP="00BC6C19">
            <w:pPr>
              <w:jc w:val="center"/>
              <w:rPr>
                <w:rFonts w:ascii="Arial" w:hAnsi="Arial" w:cs="Arial"/>
                <w:sz w:val="20"/>
                <w:szCs w:val="20"/>
              </w:rPr>
            </w:pPr>
            <w:r>
              <w:rPr>
                <w:rFonts w:ascii="Arial" w:hAnsi="Arial" w:cs="Arial"/>
                <w:sz w:val="20"/>
                <w:szCs w:val="20"/>
              </w:rPr>
              <w:t>130.78</w:t>
            </w:r>
          </w:p>
        </w:tc>
        <w:tc>
          <w:tcPr>
            <w:tcW w:w="776" w:type="pct"/>
            <w:vAlign w:val="center"/>
          </w:tcPr>
          <w:p w:rsidR="00905A8C" w:rsidRDefault="00905A8C" w:rsidP="00BC6C19">
            <w:pPr>
              <w:jc w:val="center"/>
              <w:rPr>
                <w:rFonts w:ascii="Arial" w:hAnsi="Arial" w:cs="Arial"/>
                <w:sz w:val="20"/>
                <w:szCs w:val="20"/>
              </w:rPr>
            </w:pPr>
            <w:r>
              <w:rPr>
                <w:rFonts w:ascii="Arial" w:hAnsi="Arial" w:cs="Arial"/>
                <w:sz w:val="20"/>
                <w:szCs w:val="20"/>
              </w:rPr>
              <w:t>135.16</w:t>
            </w:r>
          </w:p>
        </w:tc>
        <w:tc>
          <w:tcPr>
            <w:tcW w:w="654" w:type="pct"/>
            <w:vAlign w:val="center"/>
          </w:tcPr>
          <w:p w:rsidR="00905A8C" w:rsidRDefault="00905A8C" w:rsidP="00BC6C19">
            <w:pPr>
              <w:jc w:val="center"/>
              <w:rPr>
                <w:rFonts w:ascii="Arial" w:hAnsi="Arial" w:cs="Arial"/>
                <w:sz w:val="20"/>
                <w:szCs w:val="20"/>
              </w:rPr>
            </w:pPr>
            <w:r>
              <w:rPr>
                <w:rFonts w:ascii="Arial" w:hAnsi="Arial" w:cs="Arial"/>
                <w:sz w:val="20"/>
                <w:szCs w:val="20"/>
              </w:rPr>
              <w:t>135.95</w:t>
            </w:r>
          </w:p>
        </w:tc>
        <w:tc>
          <w:tcPr>
            <w:tcW w:w="654" w:type="pct"/>
            <w:vAlign w:val="center"/>
          </w:tcPr>
          <w:p w:rsidR="00905A8C" w:rsidRDefault="00905A8C" w:rsidP="00BC6C19">
            <w:pPr>
              <w:jc w:val="center"/>
              <w:rPr>
                <w:rFonts w:ascii="Arial" w:hAnsi="Arial" w:cs="Arial"/>
                <w:sz w:val="20"/>
                <w:szCs w:val="20"/>
              </w:rPr>
            </w:pPr>
            <w:r>
              <w:rPr>
                <w:rFonts w:ascii="Arial" w:hAnsi="Arial" w:cs="Arial"/>
                <w:sz w:val="20"/>
                <w:szCs w:val="20"/>
              </w:rPr>
              <w:t>136.02</w:t>
            </w:r>
          </w:p>
        </w:tc>
      </w:tr>
      <w:tr w:rsidR="00433B1A" w:rsidTr="00BC6C19">
        <w:tc>
          <w:tcPr>
            <w:tcW w:w="1587" w:type="pct"/>
          </w:tcPr>
          <w:p w:rsidR="00433B1A" w:rsidRDefault="00433B1A" w:rsidP="00433B1A">
            <w:pPr>
              <w:pStyle w:val="Header"/>
              <w:tabs>
                <w:tab w:val="clear" w:pos="4320"/>
                <w:tab w:val="clear" w:pos="8640"/>
              </w:tabs>
              <w:spacing w:line="240" w:lineRule="auto"/>
              <w:rPr>
                <w:sz w:val="22"/>
                <w:szCs w:val="22"/>
              </w:rPr>
            </w:pPr>
            <w:r>
              <w:rPr>
                <w:sz w:val="22"/>
                <w:szCs w:val="22"/>
              </w:rPr>
              <w:t>Base Rate of return on equity</w:t>
            </w:r>
          </w:p>
        </w:tc>
        <w:tc>
          <w:tcPr>
            <w:tcW w:w="626" w:type="pct"/>
          </w:tcPr>
          <w:p w:rsidR="00433B1A" w:rsidRDefault="00433B1A" w:rsidP="00433B1A">
            <w:pPr>
              <w:pStyle w:val="Header"/>
              <w:tabs>
                <w:tab w:val="clear" w:pos="4320"/>
                <w:tab w:val="clear" w:pos="8640"/>
              </w:tabs>
              <w:spacing w:line="240" w:lineRule="auto"/>
              <w:rPr>
                <w:sz w:val="22"/>
                <w:szCs w:val="22"/>
              </w:rPr>
            </w:pPr>
            <w:r>
              <w:rPr>
                <w:sz w:val="22"/>
                <w:szCs w:val="22"/>
              </w:rPr>
              <w:t>B</w:t>
            </w:r>
          </w:p>
        </w:tc>
        <w:tc>
          <w:tcPr>
            <w:tcW w:w="703" w:type="pct"/>
            <w:vAlign w:val="center"/>
          </w:tcPr>
          <w:p w:rsidR="00433B1A" w:rsidRPr="002148D3" w:rsidRDefault="00433B1A" w:rsidP="00BC6C19">
            <w:pPr>
              <w:pStyle w:val="Header"/>
              <w:tabs>
                <w:tab w:val="clear" w:pos="4320"/>
                <w:tab w:val="clear" w:pos="8640"/>
              </w:tabs>
              <w:spacing w:line="240" w:lineRule="auto"/>
              <w:jc w:val="center"/>
              <w:rPr>
                <w:sz w:val="22"/>
                <w:szCs w:val="22"/>
              </w:rPr>
            </w:pPr>
            <w:r w:rsidRPr="002148D3">
              <w:rPr>
                <w:sz w:val="22"/>
                <w:szCs w:val="22"/>
              </w:rPr>
              <w:t>14%</w:t>
            </w:r>
          </w:p>
        </w:tc>
        <w:tc>
          <w:tcPr>
            <w:tcW w:w="776" w:type="pct"/>
            <w:vAlign w:val="center"/>
          </w:tcPr>
          <w:p w:rsidR="00433B1A" w:rsidRPr="002148D3" w:rsidRDefault="00433B1A" w:rsidP="00BC6C19">
            <w:pPr>
              <w:pStyle w:val="Header"/>
              <w:tabs>
                <w:tab w:val="clear" w:pos="4320"/>
                <w:tab w:val="clear" w:pos="8640"/>
              </w:tabs>
              <w:spacing w:line="240" w:lineRule="auto"/>
              <w:jc w:val="center"/>
              <w:rPr>
                <w:sz w:val="22"/>
                <w:szCs w:val="22"/>
              </w:rPr>
            </w:pPr>
            <w:r w:rsidRPr="002148D3">
              <w:rPr>
                <w:sz w:val="22"/>
                <w:szCs w:val="22"/>
              </w:rPr>
              <w:t>14%</w:t>
            </w:r>
          </w:p>
        </w:tc>
        <w:tc>
          <w:tcPr>
            <w:tcW w:w="654" w:type="pct"/>
            <w:vAlign w:val="center"/>
          </w:tcPr>
          <w:p w:rsidR="00433B1A" w:rsidRPr="002148D3" w:rsidRDefault="00433B1A" w:rsidP="00BC6C19">
            <w:pPr>
              <w:pStyle w:val="Header"/>
              <w:tabs>
                <w:tab w:val="clear" w:pos="4320"/>
                <w:tab w:val="clear" w:pos="8640"/>
              </w:tabs>
              <w:spacing w:line="240" w:lineRule="auto"/>
              <w:jc w:val="center"/>
              <w:rPr>
                <w:sz w:val="22"/>
                <w:szCs w:val="22"/>
              </w:rPr>
            </w:pPr>
            <w:r w:rsidRPr="002148D3">
              <w:rPr>
                <w:sz w:val="22"/>
                <w:szCs w:val="22"/>
              </w:rPr>
              <w:t>14%</w:t>
            </w:r>
          </w:p>
        </w:tc>
        <w:tc>
          <w:tcPr>
            <w:tcW w:w="654" w:type="pct"/>
            <w:vAlign w:val="center"/>
          </w:tcPr>
          <w:p w:rsidR="00433B1A" w:rsidRPr="00E03E8D" w:rsidRDefault="00905A8C" w:rsidP="00BC6C19">
            <w:pPr>
              <w:pStyle w:val="Header"/>
              <w:tabs>
                <w:tab w:val="clear" w:pos="4320"/>
                <w:tab w:val="clear" w:pos="8640"/>
              </w:tabs>
              <w:spacing w:line="240" w:lineRule="auto"/>
              <w:jc w:val="center"/>
              <w:rPr>
                <w:color w:val="00B0F0"/>
                <w:sz w:val="22"/>
                <w:szCs w:val="22"/>
              </w:rPr>
            </w:pPr>
            <w:r w:rsidRPr="002148D3">
              <w:rPr>
                <w:sz w:val="22"/>
                <w:szCs w:val="22"/>
              </w:rPr>
              <w:t>14%</w:t>
            </w:r>
          </w:p>
        </w:tc>
      </w:tr>
      <w:tr w:rsidR="00E03E8D" w:rsidTr="00BC6C19">
        <w:tc>
          <w:tcPr>
            <w:tcW w:w="1587" w:type="pct"/>
          </w:tcPr>
          <w:p w:rsidR="00E03E8D" w:rsidRDefault="00E03E8D" w:rsidP="00433B1A">
            <w:pPr>
              <w:pStyle w:val="Header"/>
              <w:tabs>
                <w:tab w:val="clear" w:pos="4320"/>
                <w:tab w:val="clear" w:pos="8640"/>
              </w:tabs>
              <w:spacing w:line="240" w:lineRule="auto"/>
              <w:rPr>
                <w:sz w:val="22"/>
                <w:szCs w:val="22"/>
              </w:rPr>
            </w:pPr>
            <w:r>
              <w:rPr>
                <w:sz w:val="22"/>
                <w:szCs w:val="22"/>
              </w:rPr>
              <w:t>Normal Income tax as considered by Hon’ble Commission</w:t>
            </w:r>
          </w:p>
        </w:tc>
        <w:tc>
          <w:tcPr>
            <w:tcW w:w="626" w:type="pct"/>
          </w:tcPr>
          <w:p w:rsidR="00E03E8D" w:rsidRDefault="00E03E8D" w:rsidP="00433B1A">
            <w:pPr>
              <w:pStyle w:val="Header"/>
              <w:tabs>
                <w:tab w:val="clear" w:pos="4320"/>
                <w:tab w:val="clear" w:pos="8640"/>
              </w:tabs>
              <w:spacing w:line="240" w:lineRule="auto"/>
              <w:rPr>
                <w:sz w:val="22"/>
                <w:szCs w:val="22"/>
              </w:rPr>
            </w:pPr>
            <w:r>
              <w:rPr>
                <w:sz w:val="22"/>
                <w:szCs w:val="22"/>
              </w:rPr>
              <w:t>C</w:t>
            </w:r>
          </w:p>
        </w:tc>
        <w:tc>
          <w:tcPr>
            <w:tcW w:w="703"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32.445%</w:t>
            </w:r>
          </w:p>
        </w:tc>
        <w:tc>
          <w:tcPr>
            <w:tcW w:w="776"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33.99%</w:t>
            </w:r>
          </w:p>
        </w:tc>
        <w:tc>
          <w:tcPr>
            <w:tcW w:w="654"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33.99%</w:t>
            </w:r>
          </w:p>
        </w:tc>
        <w:tc>
          <w:tcPr>
            <w:tcW w:w="654" w:type="pct"/>
            <w:vAlign w:val="center"/>
          </w:tcPr>
          <w:p w:rsidR="00E03E8D" w:rsidRPr="00E03E8D" w:rsidRDefault="00905A8C" w:rsidP="00BC6C19">
            <w:pPr>
              <w:pStyle w:val="Header"/>
              <w:tabs>
                <w:tab w:val="clear" w:pos="4320"/>
                <w:tab w:val="clear" w:pos="8640"/>
              </w:tabs>
              <w:spacing w:line="240" w:lineRule="auto"/>
              <w:jc w:val="center"/>
              <w:rPr>
                <w:color w:val="00B0F0"/>
                <w:sz w:val="22"/>
                <w:szCs w:val="22"/>
              </w:rPr>
            </w:pPr>
            <w:r w:rsidRPr="002148D3">
              <w:rPr>
                <w:sz w:val="22"/>
                <w:szCs w:val="22"/>
              </w:rPr>
              <w:t>33.99%</w:t>
            </w:r>
          </w:p>
        </w:tc>
      </w:tr>
      <w:tr w:rsidR="00E03E8D" w:rsidTr="00BC6C19">
        <w:tc>
          <w:tcPr>
            <w:tcW w:w="1587" w:type="pct"/>
          </w:tcPr>
          <w:p w:rsidR="00E03E8D" w:rsidRDefault="00E03E8D" w:rsidP="00433B1A">
            <w:pPr>
              <w:pStyle w:val="Header"/>
              <w:tabs>
                <w:tab w:val="clear" w:pos="4320"/>
                <w:tab w:val="clear" w:pos="8640"/>
              </w:tabs>
              <w:spacing w:line="240" w:lineRule="auto"/>
              <w:rPr>
                <w:sz w:val="22"/>
                <w:szCs w:val="22"/>
              </w:rPr>
            </w:pPr>
            <w:r>
              <w:rPr>
                <w:sz w:val="22"/>
                <w:szCs w:val="22"/>
              </w:rPr>
              <w:t>Gross up return on equity</w:t>
            </w:r>
          </w:p>
        </w:tc>
        <w:tc>
          <w:tcPr>
            <w:tcW w:w="626" w:type="pct"/>
          </w:tcPr>
          <w:p w:rsidR="00E03E8D" w:rsidRDefault="00E03E8D" w:rsidP="00433B1A">
            <w:pPr>
              <w:pStyle w:val="Header"/>
              <w:tabs>
                <w:tab w:val="clear" w:pos="4320"/>
                <w:tab w:val="clear" w:pos="8640"/>
              </w:tabs>
              <w:spacing w:line="240" w:lineRule="auto"/>
              <w:rPr>
                <w:sz w:val="22"/>
                <w:szCs w:val="22"/>
              </w:rPr>
            </w:pPr>
            <w:r>
              <w:rPr>
                <w:sz w:val="22"/>
                <w:szCs w:val="22"/>
              </w:rPr>
              <w:t xml:space="preserve">D </w:t>
            </w:r>
          </w:p>
          <w:p w:rsidR="00E03E8D" w:rsidRDefault="00E03E8D" w:rsidP="00433B1A">
            <w:pPr>
              <w:pStyle w:val="Header"/>
              <w:tabs>
                <w:tab w:val="clear" w:pos="4320"/>
                <w:tab w:val="clear" w:pos="8640"/>
              </w:tabs>
              <w:spacing w:line="240" w:lineRule="auto"/>
              <w:rPr>
                <w:sz w:val="22"/>
                <w:szCs w:val="22"/>
              </w:rPr>
            </w:pPr>
            <w:r>
              <w:rPr>
                <w:sz w:val="22"/>
                <w:szCs w:val="22"/>
              </w:rPr>
              <w:t>(B/(1-C)</w:t>
            </w:r>
          </w:p>
        </w:tc>
        <w:tc>
          <w:tcPr>
            <w:tcW w:w="703"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20.72%</w:t>
            </w:r>
          </w:p>
        </w:tc>
        <w:tc>
          <w:tcPr>
            <w:tcW w:w="776"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21.21%</w:t>
            </w:r>
          </w:p>
        </w:tc>
        <w:tc>
          <w:tcPr>
            <w:tcW w:w="654"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21.21%</w:t>
            </w:r>
          </w:p>
        </w:tc>
        <w:tc>
          <w:tcPr>
            <w:tcW w:w="654" w:type="pct"/>
            <w:vAlign w:val="center"/>
          </w:tcPr>
          <w:p w:rsidR="00E03E8D" w:rsidRPr="00E03E8D" w:rsidRDefault="00905A8C" w:rsidP="00BC6C19">
            <w:pPr>
              <w:pStyle w:val="Header"/>
              <w:tabs>
                <w:tab w:val="clear" w:pos="4320"/>
                <w:tab w:val="clear" w:pos="8640"/>
              </w:tabs>
              <w:spacing w:line="240" w:lineRule="auto"/>
              <w:jc w:val="center"/>
              <w:rPr>
                <w:color w:val="00B0F0"/>
                <w:sz w:val="22"/>
                <w:szCs w:val="22"/>
              </w:rPr>
            </w:pPr>
            <w:r w:rsidRPr="002148D3">
              <w:rPr>
                <w:sz w:val="22"/>
                <w:szCs w:val="22"/>
              </w:rPr>
              <w:t>21.21%</w:t>
            </w:r>
          </w:p>
        </w:tc>
      </w:tr>
      <w:tr w:rsidR="00905A8C" w:rsidTr="00BC6C19">
        <w:tc>
          <w:tcPr>
            <w:tcW w:w="1587" w:type="pct"/>
          </w:tcPr>
          <w:p w:rsidR="00905A8C" w:rsidRDefault="00905A8C" w:rsidP="00433B1A">
            <w:pPr>
              <w:pStyle w:val="Header"/>
              <w:tabs>
                <w:tab w:val="clear" w:pos="4320"/>
                <w:tab w:val="clear" w:pos="8640"/>
              </w:tabs>
              <w:spacing w:line="240" w:lineRule="auto"/>
              <w:rPr>
                <w:sz w:val="22"/>
                <w:szCs w:val="22"/>
              </w:rPr>
            </w:pPr>
            <w:r>
              <w:rPr>
                <w:sz w:val="22"/>
                <w:szCs w:val="22"/>
              </w:rPr>
              <w:t>Return on equity (Rs. Cr.)</w:t>
            </w:r>
          </w:p>
        </w:tc>
        <w:tc>
          <w:tcPr>
            <w:tcW w:w="626" w:type="pct"/>
          </w:tcPr>
          <w:p w:rsidR="00905A8C" w:rsidRDefault="00905A8C" w:rsidP="00433B1A">
            <w:pPr>
              <w:pStyle w:val="Header"/>
              <w:tabs>
                <w:tab w:val="clear" w:pos="4320"/>
                <w:tab w:val="clear" w:pos="8640"/>
              </w:tabs>
              <w:spacing w:line="240" w:lineRule="auto"/>
              <w:rPr>
                <w:sz w:val="22"/>
                <w:szCs w:val="22"/>
              </w:rPr>
            </w:pPr>
            <w:r>
              <w:rPr>
                <w:sz w:val="22"/>
                <w:szCs w:val="22"/>
              </w:rPr>
              <w:t>E (AxD)</w:t>
            </w:r>
          </w:p>
        </w:tc>
        <w:tc>
          <w:tcPr>
            <w:tcW w:w="703" w:type="pct"/>
            <w:vAlign w:val="center"/>
          </w:tcPr>
          <w:p w:rsidR="00905A8C" w:rsidRDefault="00905A8C" w:rsidP="00BC6C19">
            <w:pPr>
              <w:jc w:val="center"/>
              <w:rPr>
                <w:rFonts w:ascii="Arial" w:hAnsi="Arial" w:cs="Arial"/>
                <w:b/>
                <w:bCs/>
                <w:sz w:val="20"/>
                <w:szCs w:val="20"/>
              </w:rPr>
            </w:pPr>
            <w:r>
              <w:rPr>
                <w:rFonts w:ascii="Arial" w:hAnsi="Arial" w:cs="Arial"/>
                <w:b/>
                <w:bCs/>
                <w:sz w:val="20"/>
                <w:szCs w:val="20"/>
              </w:rPr>
              <w:t>27.10</w:t>
            </w:r>
          </w:p>
        </w:tc>
        <w:tc>
          <w:tcPr>
            <w:tcW w:w="776" w:type="pct"/>
            <w:vAlign w:val="center"/>
          </w:tcPr>
          <w:p w:rsidR="00905A8C" w:rsidRDefault="00905A8C" w:rsidP="00BC6C19">
            <w:pPr>
              <w:jc w:val="center"/>
              <w:rPr>
                <w:rFonts w:ascii="Arial" w:hAnsi="Arial" w:cs="Arial"/>
                <w:b/>
                <w:bCs/>
                <w:sz w:val="20"/>
                <w:szCs w:val="20"/>
              </w:rPr>
            </w:pPr>
            <w:r>
              <w:rPr>
                <w:rFonts w:ascii="Arial" w:hAnsi="Arial" w:cs="Arial"/>
                <w:b/>
                <w:bCs/>
                <w:sz w:val="20"/>
                <w:szCs w:val="20"/>
              </w:rPr>
              <w:t>28.67</w:t>
            </w:r>
          </w:p>
        </w:tc>
        <w:tc>
          <w:tcPr>
            <w:tcW w:w="654" w:type="pct"/>
            <w:vAlign w:val="center"/>
          </w:tcPr>
          <w:p w:rsidR="00905A8C" w:rsidRDefault="00905A8C" w:rsidP="00BC6C19">
            <w:pPr>
              <w:jc w:val="center"/>
              <w:rPr>
                <w:rFonts w:ascii="Arial" w:hAnsi="Arial" w:cs="Arial"/>
                <w:b/>
                <w:bCs/>
                <w:sz w:val="20"/>
                <w:szCs w:val="20"/>
              </w:rPr>
            </w:pPr>
            <w:r>
              <w:rPr>
                <w:rFonts w:ascii="Arial" w:hAnsi="Arial" w:cs="Arial"/>
                <w:b/>
                <w:bCs/>
                <w:sz w:val="20"/>
                <w:szCs w:val="20"/>
              </w:rPr>
              <w:t>28.83</w:t>
            </w:r>
          </w:p>
        </w:tc>
        <w:tc>
          <w:tcPr>
            <w:tcW w:w="654" w:type="pct"/>
            <w:vAlign w:val="center"/>
          </w:tcPr>
          <w:p w:rsidR="00905A8C" w:rsidRDefault="00905A8C" w:rsidP="00BC6C19">
            <w:pPr>
              <w:jc w:val="center"/>
              <w:rPr>
                <w:rFonts w:ascii="Arial" w:hAnsi="Arial" w:cs="Arial"/>
                <w:b/>
                <w:bCs/>
                <w:sz w:val="20"/>
                <w:szCs w:val="20"/>
              </w:rPr>
            </w:pPr>
            <w:r>
              <w:rPr>
                <w:rFonts w:ascii="Arial" w:hAnsi="Arial" w:cs="Arial"/>
                <w:b/>
                <w:bCs/>
                <w:sz w:val="20"/>
                <w:szCs w:val="20"/>
              </w:rPr>
              <w:t>28.85</w:t>
            </w:r>
          </w:p>
        </w:tc>
      </w:tr>
      <w:tr w:rsidR="00E03E8D" w:rsidTr="00BC6C19">
        <w:tc>
          <w:tcPr>
            <w:tcW w:w="1587" w:type="pct"/>
          </w:tcPr>
          <w:p w:rsidR="00747065" w:rsidRDefault="00E03E8D" w:rsidP="00433B1A">
            <w:pPr>
              <w:pStyle w:val="Header"/>
              <w:tabs>
                <w:tab w:val="clear" w:pos="4320"/>
                <w:tab w:val="clear" w:pos="8640"/>
              </w:tabs>
              <w:spacing w:line="240" w:lineRule="auto"/>
              <w:rPr>
                <w:sz w:val="22"/>
                <w:szCs w:val="22"/>
              </w:rPr>
            </w:pPr>
            <w:r>
              <w:rPr>
                <w:sz w:val="22"/>
                <w:szCs w:val="22"/>
              </w:rPr>
              <w:t xml:space="preserve">Base Return on Equity </w:t>
            </w:r>
          </w:p>
          <w:p w:rsidR="00E03E8D" w:rsidRDefault="00E03E8D" w:rsidP="00433B1A">
            <w:pPr>
              <w:pStyle w:val="Header"/>
              <w:tabs>
                <w:tab w:val="clear" w:pos="4320"/>
                <w:tab w:val="clear" w:pos="8640"/>
              </w:tabs>
              <w:spacing w:line="240" w:lineRule="auto"/>
              <w:rPr>
                <w:sz w:val="22"/>
                <w:szCs w:val="22"/>
              </w:rPr>
            </w:pPr>
            <w:r>
              <w:rPr>
                <w:sz w:val="22"/>
                <w:szCs w:val="22"/>
              </w:rPr>
              <w:t>(Rs. Cr.)</w:t>
            </w:r>
          </w:p>
        </w:tc>
        <w:tc>
          <w:tcPr>
            <w:tcW w:w="626" w:type="pct"/>
          </w:tcPr>
          <w:p w:rsidR="00E03E8D" w:rsidRDefault="00E03E8D" w:rsidP="00433B1A">
            <w:pPr>
              <w:pStyle w:val="Header"/>
              <w:tabs>
                <w:tab w:val="clear" w:pos="4320"/>
                <w:tab w:val="clear" w:pos="8640"/>
              </w:tabs>
              <w:spacing w:line="240" w:lineRule="auto"/>
              <w:rPr>
                <w:sz w:val="22"/>
                <w:szCs w:val="22"/>
              </w:rPr>
            </w:pPr>
            <w:r>
              <w:rPr>
                <w:sz w:val="22"/>
                <w:szCs w:val="22"/>
              </w:rPr>
              <w:t>F (AxB)</w:t>
            </w:r>
          </w:p>
        </w:tc>
        <w:tc>
          <w:tcPr>
            <w:tcW w:w="703" w:type="pct"/>
            <w:vAlign w:val="center"/>
          </w:tcPr>
          <w:p w:rsidR="00E03E8D" w:rsidRPr="002148D3" w:rsidRDefault="00905A8C" w:rsidP="00BC6C19">
            <w:pPr>
              <w:pStyle w:val="Header"/>
              <w:tabs>
                <w:tab w:val="clear" w:pos="4320"/>
                <w:tab w:val="clear" w:pos="8640"/>
              </w:tabs>
              <w:spacing w:line="240" w:lineRule="auto"/>
              <w:jc w:val="center"/>
              <w:rPr>
                <w:sz w:val="22"/>
                <w:szCs w:val="22"/>
              </w:rPr>
            </w:pPr>
            <w:r>
              <w:rPr>
                <w:sz w:val="22"/>
                <w:szCs w:val="22"/>
              </w:rPr>
              <w:t>18.3092</w:t>
            </w:r>
          </w:p>
        </w:tc>
        <w:tc>
          <w:tcPr>
            <w:tcW w:w="776" w:type="pct"/>
            <w:vAlign w:val="center"/>
          </w:tcPr>
          <w:p w:rsidR="00E03E8D" w:rsidRPr="002148D3" w:rsidRDefault="00905A8C" w:rsidP="00BC6C19">
            <w:pPr>
              <w:pStyle w:val="Header"/>
              <w:tabs>
                <w:tab w:val="clear" w:pos="4320"/>
                <w:tab w:val="clear" w:pos="8640"/>
              </w:tabs>
              <w:spacing w:line="240" w:lineRule="auto"/>
              <w:jc w:val="center"/>
              <w:rPr>
                <w:sz w:val="22"/>
                <w:szCs w:val="22"/>
              </w:rPr>
            </w:pPr>
            <w:r>
              <w:rPr>
                <w:sz w:val="22"/>
                <w:szCs w:val="22"/>
              </w:rPr>
              <w:t>18.9224</w:t>
            </w:r>
          </w:p>
        </w:tc>
        <w:tc>
          <w:tcPr>
            <w:tcW w:w="654" w:type="pct"/>
            <w:vAlign w:val="center"/>
          </w:tcPr>
          <w:p w:rsidR="00E03E8D" w:rsidRPr="002148D3" w:rsidRDefault="00905A8C" w:rsidP="00BC6C19">
            <w:pPr>
              <w:pStyle w:val="Header"/>
              <w:tabs>
                <w:tab w:val="clear" w:pos="4320"/>
                <w:tab w:val="clear" w:pos="8640"/>
              </w:tabs>
              <w:spacing w:line="240" w:lineRule="auto"/>
              <w:jc w:val="center"/>
              <w:rPr>
                <w:sz w:val="22"/>
                <w:szCs w:val="22"/>
              </w:rPr>
            </w:pPr>
            <w:r>
              <w:rPr>
                <w:sz w:val="22"/>
                <w:szCs w:val="22"/>
              </w:rPr>
              <w:t>19.033</w:t>
            </w:r>
          </w:p>
        </w:tc>
        <w:tc>
          <w:tcPr>
            <w:tcW w:w="654" w:type="pct"/>
            <w:vAlign w:val="center"/>
          </w:tcPr>
          <w:p w:rsidR="00E03E8D" w:rsidRDefault="00BE5C19" w:rsidP="00BC6C19">
            <w:pPr>
              <w:pStyle w:val="Header"/>
              <w:tabs>
                <w:tab w:val="clear" w:pos="4320"/>
                <w:tab w:val="clear" w:pos="8640"/>
              </w:tabs>
              <w:spacing w:line="240" w:lineRule="auto"/>
              <w:jc w:val="center"/>
              <w:rPr>
                <w:sz w:val="22"/>
                <w:szCs w:val="22"/>
              </w:rPr>
            </w:pPr>
            <w:r>
              <w:rPr>
                <w:sz w:val="22"/>
                <w:szCs w:val="22"/>
              </w:rPr>
              <w:t>19.0428</w:t>
            </w:r>
          </w:p>
        </w:tc>
      </w:tr>
      <w:tr w:rsidR="00E03E8D" w:rsidTr="00BC6C19">
        <w:tc>
          <w:tcPr>
            <w:tcW w:w="1587" w:type="pct"/>
          </w:tcPr>
          <w:p w:rsidR="00E03E8D" w:rsidRDefault="00E03E8D" w:rsidP="00433B1A">
            <w:pPr>
              <w:pStyle w:val="Header"/>
              <w:tabs>
                <w:tab w:val="clear" w:pos="4320"/>
                <w:tab w:val="clear" w:pos="8640"/>
              </w:tabs>
              <w:spacing w:line="240" w:lineRule="auto"/>
              <w:rPr>
                <w:sz w:val="22"/>
                <w:szCs w:val="22"/>
              </w:rPr>
            </w:pPr>
            <w:r>
              <w:rPr>
                <w:sz w:val="22"/>
                <w:szCs w:val="22"/>
              </w:rPr>
              <w:t>Income tax component (Rs. Cr.)</w:t>
            </w:r>
          </w:p>
        </w:tc>
        <w:tc>
          <w:tcPr>
            <w:tcW w:w="626" w:type="pct"/>
          </w:tcPr>
          <w:p w:rsidR="00E03E8D" w:rsidRDefault="00E03E8D" w:rsidP="00433B1A">
            <w:pPr>
              <w:pStyle w:val="Header"/>
              <w:tabs>
                <w:tab w:val="clear" w:pos="4320"/>
                <w:tab w:val="clear" w:pos="8640"/>
              </w:tabs>
              <w:spacing w:line="240" w:lineRule="auto"/>
              <w:rPr>
                <w:sz w:val="22"/>
                <w:szCs w:val="22"/>
              </w:rPr>
            </w:pPr>
            <w:r>
              <w:rPr>
                <w:sz w:val="22"/>
                <w:szCs w:val="22"/>
              </w:rPr>
              <w:t>G (E-F)</w:t>
            </w:r>
          </w:p>
        </w:tc>
        <w:tc>
          <w:tcPr>
            <w:tcW w:w="703" w:type="pct"/>
            <w:vAlign w:val="center"/>
          </w:tcPr>
          <w:p w:rsidR="00E03E8D" w:rsidRPr="002148D3" w:rsidRDefault="00BE5C19" w:rsidP="00BC6C19">
            <w:pPr>
              <w:pStyle w:val="Header"/>
              <w:tabs>
                <w:tab w:val="clear" w:pos="4320"/>
                <w:tab w:val="clear" w:pos="8640"/>
              </w:tabs>
              <w:spacing w:line="240" w:lineRule="auto"/>
              <w:jc w:val="center"/>
              <w:rPr>
                <w:sz w:val="22"/>
                <w:szCs w:val="22"/>
              </w:rPr>
            </w:pPr>
            <w:r>
              <w:rPr>
                <w:sz w:val="22"/>
                <w:szCs w:val="22"/>
              </w:rPr>
              <w:t>8.7908</w:t>
            </w:r>
          </w:p>
        </w:tc>
        <w:tc>
          <w:tcPr>
            <w:tcW w:w="776" w:type="pct"/>
            <w:vAlign w:val="center"/>
          </w:tcPr>
          <w:p w:rsidR="00E03E8D" w:rsidRPr="002148D3" w:rsidRDefault="00BE5C19" w:rsidP="00BC6C19">
            <w:pPr>
              <w:pStyle w:val="Header"/>
              <w:tabs>
                <w:tab w:val="clear" w:pos="4320"/>
                <w:tab w:val="clear" w:pos="8640"/>
              </w:tabs>
              <w:spacing w:line="240" w:lineRule="auto"/>
              <w:jc w:val="center"/>
              <w:rPr>
                <w:sz w:val="22"/>
                <w:szCs w:val="22"/>
              </w:rPr>
            </w:pPr>
            <w:r>
              <w:rPr>
                <w:sz w:val="22"/>
                <w:szCs w:val="22"/>
              </w:rPr>
              <w:t>9.7476</w:t>
            </w:r>
          </w:p>
        </w:tc>
        <w:tc>
          <w:tcPr>
            <w:tcW w:w="654" w:type="pct"/>
            <w:vAlign w:val="center"/>
          </w:tcPr>
          <w:p w:rsidR="00E03E8D" w:rsidRPr="002148D3" w:rsidRDefault="00BE5C19" w:rsidP="00BC6C19">
            <w:pPr>
              <w:pStyle w:val="Header"/>
              <w:tabs>
                <w:tab w:val="clear" w:pos="4320"/>
                <w:tab w:val="clear" w:pos="8640"/>
              </w:tabs>
              <w:spacing w:line="240" w:lineRule="auto"/>
              <w:jc w:val="center"/>
              <w:rPr>
                <w:sz w:val="22"/>
                <w:szCs w:val="22"/>
              </w:rPr>
            </w:pPr>
            <w:r>
              <w:rPr>
                <w:sz w:val="22"/>
                <w:szCs w:val="22"/>
              </w:rPr>
              <w:t>9.797</w:t>
            </w:r>
          </w:p>
        </w:tc>
        <w:tc>
          <w:tcPr>
            <w:tcW w:w="654" w:type="pct"/>
            <w:vAlign w:val="center"/>
          </w:tcPr>
          <w:p w:rsidR="00E03E8D" w:rsidRDefault="00BE5C19" w:rsidP="00BC6C19">
            <w:pPr>
              <w:pStyle w:val="Header"/>
              <w:tabs>
                <w:tab w:val="clear" w:pos="4320"/>
                <w:tab w:val="clear" w:pos="8640"/>
              </w:tabs>
              <w:spacing w:line="240" w:lineRule="auto"/>
              <w:jc w:val="center"/>
              <w:rPr>
                <w:sz w:val="22"/>
                <w:szCs w:val="22"/>
              </w:rPr>
            </w:pPr>
            <w:r>
              <w:rPr>
                <w:sz w:val="22"/>
                <w:szCs w:val="22"/>
              </w:rPr>
              <w:t>9.8072</w:t>
            </w:r>
          </w:p>
        </w:tc>
      </w:tr>
      <w:tr w:rsidR="00E03E8D" w:rsidTr="00BC6C19">
        <w:tc>
          <w:tcPr>
            <w:tcW w:w="1587" w:type="pct"/>
          </w:tcPr>
          <w:p w:rsidR="00E03E8D" w:rsidRDefault="00E03E8D" w:rsidP="00433B1A">
            <w:pPr>
              <w:pStyle w:val="Header"/>
              <w:tabs>
                <w:tab w:val="clear" w:pos="4320"/>
                <w:tab w:val="clear" w:pos="8640"/>
              </w:tabs>
              <w:spacing w:line="240" w:lineRule="auto"/>
              <w:rPr>
                <w:sz w:val="22"/>
                <w:szCs w:val="22"/>
              </w:rPr>
            </w:pPr>
            <w:r>
              <w:rPr>
                <w:sz w:val="22"/>
                <w:szCs w:val="22"/>
              </w:rPr>
              <w:t>Approved in Tariff Order (Rs. Cr.)</w:t>
            </w:r>
          </w:p>
        </w:tc>
        <w:tc>
          <w:tcPr>
            <w:tcW w:w="626" w:type="pct"/>
          </w:tcPr>
          <w:p w:rsidR="00E03E8D" w:rsidRDefault="00E03E8D" w:rsidP="00433B1A">
            <w:pPr>
              <w:pStyle w:val="Header"/>
              <w:tabs>
                <w:tab w:val="clear" w:pos="4320"/>
                <w:tab w:val="clear" w:pos="8640"/>
              </w:tabs>
              <w:spacing w:line="240" w:lineRule="auto"/>
              <w:rPr>
                <w:sz w:val="22"/>
                <w:szCs w:val="22"/>
              </w:rPr>
            </w:pPr>
            <w:r>
              <w:rPr>
                <w:sz w:val="22"/>
                <w:szCs w:val="22"/>
              </w:rPr>
              <w:t>H (FxC)</w:t>
            </w:r>
          </w:p>
        </w:tc>
        <w:tc>
          <w:tcPr>
            <w:tcW w:w="703"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5.42</w:t>
            </w:r>
          </w:p>
        </w:tc>
        <w:tc>
          <w:tcPr>
            <w:tcW w:w="776"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5.42</w:t>
            </w:r>
          </w:p>
        </w:tc>
        <w:tc>
          <w:tcPr>
            <w:tcW w:w="654" w:type="pct"/>
            <w:vAlign w:val="center"/>
          </w:tcPr>
          <w:p w:rsidR="00E03E8D" w:rsidRPr="002148D3" w:rsidRDefault="00E03E8D" w:rsidP="00BC6C19">
            <w:pPr>
              <w:pStyle w:val="Header"/>
              <w:tabs>
                <w:tab w:val="clear" w:pos="4320"/>
                <w:tab w:val="clear" w:pos="8640"/>
              </w:tabs>
              <w:spacing w:line="240" w:lineRule="auto"/>
              <w:jc w:val="center"/>
              <w:rPr>
                <w:sz w:val="22"/>
                <w:szCs w:val="22"/>
              </w:rPr>
            </w:pPr>
            <w:r w:rsidRPr="002148D3">
              <w:rPr>
                <w:sz w:val="22"/>
                <w:szCs w:val="22"/>
              </w:rPr>
              <w:t>5.42</w:t>
            </w:r>
          </w:p>
        </w:tc>
        <w:tc>
          <w:tcPr>
            <w:tcW w:w="654" w:type="pct"/>
            <w:vAlign w:val="center"/>
          </w:tcPr>
          <w:p w:rsidR="00E03E8D" w:rsidRDefault="00BE5C19" w:rsidP="00BC6C19">
            <w:pPr>
              <w:pStyle w:val="Header"/>
              <w:tabs>
                <w:tab w:val="clear" w:pos="4320"/>
                <w:tab w:val="clear" w:pos="8640"/>
              </w:tabs>
              <w:spacing w:line="240" w:lineRule="auto"/>
              <w:jc w:val="center"/>
              <w:rPr>
                <w:sz w:val="22"/>
                <w:szCs w:val="22"/>
              </w:rPr>
            </w:pPr>
            <w:r>
              <w:rPr>
                <w:sz w:val="22"/>
                <w:szCs w:val="22"/>
              </w:rPr>
              <w:t>--</w:t>
            </w:r>
          </w:p>
        </w:tc>
      </w:tr>
      <w:tr w:rsidR="00E03E8D" w:rsidTr="00BC6C19">
        <w:tc>
          <w:tcPr>
            <w:tcW w:w="1587" w:type="pct"/>
          </w:tcPr>
          <w:p w:rsidR="00E03E8D" w:rsidRDefault="00E03E8D" w:rsidP="00433B1A">
            <w:pPr>
              <w:pStyle w:val="Header"/>
              <w:tabs>
                <w:tab w:val="clear" w:pos="4320"/>
                <w:tab w:val="clear" w:pos="8640"/>
              </w:tabs>
              <w:spacing w:line="240" w:lineRule="auto"/>
              <w:rPr>
                <w:sz w:val="22"/>
                <w:szCs w:val="22"/>
              </w:rPr>
            </w:pPr>
            <w:r>
              <w:rPr>
                <w:sz w:val="22"/>
                <w:szCs w:val="22"/>
              </w:rPr>
              <w:t>Difference (Rs. Cr.)</w:t>
            </w:r>
          </w:p>
        </w:tc>
        <w:tc>
          <w:tcPr>
            <w:tcW w:w="626" w:type="pct"/>
          </w:tcPr>
          <w:p w:rsidR="00E03E8D" w:rsidRDefault="00E03E8D" w:rsidP="00433B1A">
            <w:pPr>
              <w:pStyle w:val="Header"/>
              <w:tabs>
                <w:tab w:val="clear" w:pos="4320"/>
                <w:tab w:val="clear" w:pos="8640"/>
              </w:tabs>
              <w:spacing w:line="240" w:lineRule="auto"/>
              <w:rPr>
                <w:sz w:val="22"/>
                <w:szCs w:val="22"/>
              </w:rPr>
            </w:pPr>
            <w:r>
              <w:rPr>
                <w:sz w:val="22"/>
                <w:szCs w:val="22"/>
              </w:rPr>
              <w:t>I</w:t>
            </w:r>
          </w:p>
        </w:tc>
        <w:tc>
          <w:tcPr>
            <w:tcW w:w="703" w:type="pct"/>
            <w:vAlign w:val="center"/>
          </w:tcPr>
          <w:p w:rsidR="00E03E8D" w:rsidRPr="002148D3" w:rsidRDefault="00BE5C19" w:rsidP="00BC6C19">
            <w:pPr>
              <w:pStyle w:val="Header"/>
              <w:tabs>
                <w:tab w:val="clear" w:pos="4320"/>
                <w:tab w:val="clear" w:pos="8640"/>
              </w:tabs>
              <w:spacing w:line="240" w:lineRule="auto"/>
              <w:jc w:val="center"/>
              <w:rPr>
                <w:sz w:val="22"/>
                <w:szCs w:val="22"/>
              </w:rPr>
            </w:pPr>
            <w:r>
              <w:rPr>
                <w:sz w:val="22"/>
                <w:szCs w:val="22"/>
              </w:rPr>
              <w:t>3.3708</w:t>
            </w:r>
          </w:p>
        </w:tc>
        <w:tc>
          <w:tcPr>
            <w:tcW w:w="776" w:type="pct"/>
            <w:vAlign w:val="center"/>
          </w:tcPr>
          <w:p w:rsidR="00E03E8D" w:rsidRPr="002148D3" w:rsidRDefault="00BE5C19" w:rsidP="00BC6C19">
            <w:pPr>
              <w:pStyle w:val="Header"/>
              <w:tabs>
                <w:tab w:val="clear" w:pos="4320"/>
                <w:tab w:val="clear" w:pos="8640"/>
              </w:tabs>
              <w:spacing w:line="240" w:lineRule="auto"/>
              <w:jc w:val="center"/>
              <w:rPr>
                <w:sz w:val="22"/>
                <w:szCs w:val="22"/>
              </w:rPr>
            </w:pPr>
            <w:r>
              <w:rPr>
                <w:sz w:val="22"/>
                <w:szCs w:val="22"/>
              </w:rPr>
              <w:t>4.3276</w:t>
            </w:r>
          </w:p>
        </w:tc>
        <w:tc>
          <w:tcPr>
            <w:tcW w:w="654" w:type="pct"/>
            <w:vAlign w:val="center"/>
          </w:tcPr>
          <w:p w:rsidR="00E03E8D" w:rsidRPr="002148D3" w:rsidRDefault="00BE5C19" w:rsidP="00BC6C19">
            <w:pPr>
              <w:pStyle w:val="Header"/>
              <w:tabs>
                <w:tab w:val="clear" w:pos="4320"/>
                <w:tab w:val="clear" w:pos="8640"/>
              </w:tabs>
              <w:spacing w:line="240" w:lineRule="auto"/>
              <w:jc w:val="center"/>
              <w:rPr>
                <w:sz w:val="22"/>
                <w:szCs w:val="22"/>
              </w:rPr>
            </w:pPr>
            <w:r>
              <w:rPr>
                <w:sz w:val="22"/>
                <w:szCs w:val="22"/>
              </w:rPr>
              <w:t>4.377</w:t>
            </w:r>
          </w:p>
        </w:tc>
        <w:tc>
          <w:tcPr>
            <w:tcW w:w="654" w:type="pct"/>
            <w:vAlign w:val="center"/>
          </w:tcPr>
          <w:p w:rsidR="00E03E8D" w:rsidRDefault="00BE5C19" w:rsidP="00BC6C19">
            <w:pPr>
              <w:pStyle w:val="Header"/>
              <w:tabs>
                <w:tab w:val="clear" w:pos="4320"/>
                <w:tab w:val="clear" w:pos="8640"/>
              </w:tabs>
              <w:spacing w:line="240" w:lineRule="auto"/>
              <w:jc w:val="center"/>
              <w:rPr>
                <w:sz w:val="22"/>
                <w:szCs w:val="22"/>
              </w:rPr>
            </w:pPr>
            <w:r>
              <w:rPr>
                <w:sz w:val="22"/>
                <w:szCs w:val="22"/>
              </w:rPr>
              <w:t>9.8072</w:t>
            </w:r>
          </w:p>
        </w:tc>
      </w:tr>
    </w:tbl>
    <w:p w:rsidR="00724032" w:rsidRDefault="00724032" w:rsidP="00185EF9">
      <w:pPr>
        <w:pStyle w:val="Header"/>
        <w:tabs>
          <w:tab w:val="clear" w:pos="4320"/>
          <w:tab w:val="clear" w:pos="8640"/>
        </w:tabs>
        <w:rPr>
          <w:sz w:val="22"/>
          <w:szCs w:val="22"/>
        </w:rPr>
      </w:pPr>
    </w:p>
    <w:p w:rsidR="008E09BC" w:rsidRDefault="008E09BC" w:rsidP="00185EF9">
      <w:pPr>
        <w:pStyle w:val="Header"/>
        <w:tabs>
          <w:tab w:val="clear" w:pos="4320"/>
          <w:tab w:val="clear" w:pos="8640"/>
        </w:tabs>
        <w:rPr>
          <w:sz w:val="22"/>
          <w:szCs w:val="22"/>
        </w:rPr>
      </w:pPr>
    </w:p>
    <w:p w:rsidR="008E09BC" w:rsidRDefault="008E09BC" w:rsidP="00185EF9">
      <w:pPr>
        <w:pStyle w:val="Header"/>
        <w:tabs>
          <w:tab w:val="clear" w:pos="4320"/>
          <w:tab w:val="clear" w:pos="8640"/>
        </w:tabs>
        <w:rPr>
          <w:sz w:val="22"/>
          <w:szCs w:val="22"/>
        </w:rPr>
      </w:pPr>
    </w:p>
    <w:p w:rsidR="008E09BC" w:rsidRDefault="008E09BC" w:rsidP="00185EF9">
      <w:pPr>
        <w:pStyle w:val="Header"/>
        <w:tabs>
          <w:tab w:val="clear" w:pos="4320"/>
          <w:tab w:val="clear" w:pos="8640"/>
        </w:tabs>
        <w:rPr>
          <w:sz w:val="22"/>
          <w:szCs w:val="22"/>
        </w:rPr>
      </w:pPr>
    </w:p>
    <w:p w:rsidR="008E09BC" w:rsidRDefault="008E09BC" w:rsidP="00185EF9">
      <w:pPr>
        <w:pStyle w:val="Header"/>
        <w:tabs>
          <w:tab w:val="clear" w:pos="4320"/>
          <w:tab w:val="clear" w:pos="8640"/>
        </w:tabs>
        <w:rPr>
          <w:sz w:val="22"/>
          <w:szCs w:val="22"/>
        </w:rPr>
      </w:pPr>
    </w:p>
    <w:p w:rsidR="008E09BC" w:rsidRDefault="008E09BC" w:rsidP="00185EF9">
      <w:pPr>
        <w:pStyle w:val="Header"/>
        <w:tabs>
          <w:tab w:val="clear" w:pos="4320"/>
          <w:tab w:val="clear" w:pos="8640"/>
        </w:tabs>
        <w:rPr>
          <w:sz w:val="22"/>
          <w:szCs w:val="22"/>
        </w:rPr>
      </w:pPr>
    </w:p>
    <w:p w:rsidR="00496B2C" w:rsidRDefault="00496B2C" w:rsidP="00185EF9">
      <w:pPr>
        <w:pStyle w:val="Header"/>
        <w:tabs>
          <w:tab w:val="clear" w:pos="4320"/>
          <w:tab w:val="clear" w:pos="8640"/>
        </w:tabs>
        <w:rPr>
          <w:sz w:val="22"/>
          <w:szCs w:val="22"/>
        </w:rPr>
      </w:pPr>
    </w:p>
    <w:p w:rsidR="00185EF9" w:rsidRDefault="00185EF9" w:rsidP="00185EF9">
      <w:pPr>
        <w:pStyle w:val="Header"/>
        <w:tabs>
          <w:tab w:val="clear" w:pos="4320"/>
          <w:tab w:val="clear" w:pos="8640"/>
        </w:tabs>
        <w:rPr>
          <w:sz w:val="22"/>
          <w:szCs w:val="22"/>
        </w:rPr>
      </w:pPr>
      <w:r>
        <w:rPr>
          <w:sz w:val="22"/>
          <w:szCs w:val="22"/>
        </w:rPr>
        <w:t>Similarly for Rajghat Power House</w:t>
      </w:r>
    </w:p>
    <w:p w:rsidR="00A82AAC" w:rsidRPr="00682818" w:rsidRDefault="00A82AAC" w:rsidP="00A82AAC">
      <w:pPr>
        <w:pStyle w:val="Caption"/>
        <w:jc w:val="center"/>
      </w:pPr>
      <w:bookmarkStart w:id="87" w:name="_Toc411604010"/>
      <w:r>
        <w:t xml:space="preserve">Table </w:t>
      </w:r>
      <w:fldSimple w:instr=" SEQ Table \* ARABIC ">
        <w:r w:rsidR="002326CE">
          <w:rPr>
            <w:noProof/>
          </w:rPr>
          <w:t>33</w:t>
        </w:r>
      </w:fldSimple>
      <w:r>
        <w:t xml:space="preserve"> : grossed up Income </w:t>
      </w:r>
      <w:r w:rsidR="003D1887">
        <w:t>tax for</w:t>
      </w:r>
      <w:r>
        <w:t xml:space="preserve"> RPH</w:t>
      </w:r>
      <w:bookmarkEnd w:id="87"/>
      <w:r>
        <w:t xml:space="preserve"> </w:t>
      </w:r>
    </w:p>
    <w:tbl>
      <w:tblPr>
        <w:tblStyle w:val="TableGrid"/>
        <w:tblW w:w="5000" w:type="pct"/>
        <w:tblLook w:val="04A0"/>
      </w:tblPr>
      <w:tblGrid>
        <w:gridCol w:w="3044"/>
        <w:gridCol w:w="1035"/>
        <w:gridCol w:w="1287"/>
        <w:gridCol w:w="1182"/>
        <w:gridCol w:w="1255"/>
        <w:gridCol w:w="1255"/>
      </w:tblGrid>
      <w:tr w:rsidR="004A0281" w:rsidRPr="00F71DD6" w:rsidTr="004A0281">
        <w:tc>
          <w:tcPr>
            <w:tcW w:w="1680" w:type="pct"/>
            <w:shd w:val="clear" w:color="auto" w:fill="002060"/>
          </w:tcPr>
          <w:p w:rsidR="004A0281" w:rsidRPr="008E09BC" w:rsidRDefault="004A0281" w:rsidP="00433B1A">
            <w:pPr>
              <w:pStyle w:val="Header"/>
              <w:tabs>
                <w:tab w:val="clear" w:pos="4320"/>
                <w:tab w:val="clear" w:pos="8640"/>
              </w:tabs>
              <w:spacing w:line="240" w:lineRule="auto"/>
              <w:rPr>
                <w:b/>
                <w:sz w:val="18"/>
                <w:szCs w:val="18"/>
              </w:rPr>
            </w:pPr>
            <w:r w:rsidRPr="008E09BC">
              <w:rPr>
                <w:b/>
                <w:sz w:val="18"/>
                <w:szCs w:val="18"/>
              </w:rPr>
              <w:t>Particulars</w:t>
            </w:r>
          </w:p>
        </w:tc>
        <w:tc>
          <w:tcPr>
            <w:tcW w:w="571" w:type="pct"/>
            <w:shd w:val="clear" w:color="auto" w:fill="002060"/>
          </w:tcPr>
          <w:p w:rsidR="004A0281" w:rsidRPr="008E09BC" w:rsidRDefault="004A0281" w:rsidP="00433B1A">
            <w:pPr>
              <w:pStyle w:val="Header"/>
              <w:tabs>
                <w:tab w:val="clear" w:pos="4320"/>
                <w:tab w:val="clear" w:pos="8640"/>
              </w:tabs>
              <w:spacing w:line="240" w:lineRule="auto"/>
              <w:rPr>
                <w:b/>
                <w:sz w:val="18"/>
                <w:szCs w:val="18"/>
              </w:rPr>
            </w:pPr>
          </w:p>
        </w:tc>
        <w:tc>
          <w:tcPr>
            <w:tcW w:w="710" w:type="pct"/>
            <w:shd w:val="clear" w:color="auto" w:fill="002060"/>
          </w:tcPr>
          <w:p w:rsidR="004A0281" w:rsidRPr="008E09BC" w:rsidRDefault="004A0281" w:rsidP="00433B1A">
            <w:pPr>
              <w:pStyle w:val="Header"/>
              <w:tabs>
                <w:tab w:val="clear" w:pos="4320"/>
                <w:tab w:val="clear" w:pos="8640"/>
              </w:tabs>
              <w:spacing w:line="240" w:lineRule="auto"/>
              <w:rPr>
                <w:b/>
                <w:sz w:val="18"/>
                <w:szCs w:val="18"/>
              </w:rPr>
            </w:pPr>
            <w:r w:rsidRPr="008E09BC">
              <w:rPr>
                <w:b/>
                <w:sz w:val="18"/>
                <w:szCs w:val="18"/>
              </w:rPr>
              <w:t>FY 2012-13</w:t>
            </w:r>
          </w:p>
        </w:tc>
        <w:tc>
          <w:tcPr>
            <w:tcW w:w="652" w:type="pct"/>
            <w:shd w:val="clear" w:color="auto" w:fill="002060"/>
          </w:tcPr>
          <w:p w:rsidR="004A0281" w:rsidRPr="008E09BC" w:rsidRDefault="004A0281" w:rsidP="00433B1A">
            <w:pPr>
              <w:pStyle w:val="Header"/>
              <w:tabs>
                <w:tab w:val="clear" w:pos="4320"/>
                <w:tab w:val="clear" w:pos="8640"/>
              </w:tabs>
              <w:spacing w:line="240" w:lineRule="auto"/>
              <w:rPr>
                <w:b/>
                <w:sz w:val="18"/>
                <w:szCs w:val="18"/>
              </w:rPr>
            </w:pPr>
            <w:r w:rsidRPr="008E09BC">
              <w:rPr>
                <w:b/>
                <w:sz w:val="18"/>
                <w:szCs w:val="18"/>
              </w:rPr>
              <w:t>FY 2013-14</w:t>
            </w:r>
          </w:p>
        </w:tc>
        <w:tc>
          <w:tcPr>
            <w:tcW w:w="693" w:type="pct"/>
            <w:shd w:val="clear" w:color="auto" w:fill="002060"/>
          </w:tcPr>
          <w:p w:rsidR="004A0281" w:rsidRPr="008E09BC" w:rsidRDefault="004A0281" w:rsidP="00433B1A">
            <w:pPr>
              <w:pStyle w:val="Header"/>
              <w:tabs>
                <w:tab w:val="clear" w:pos="4320"/>
                <w:tab w:val="clear" w:pos="8640"/>
              </w:tabs>
              <w:spacing w:line="240" w:lineRule="auto"/>
              <w:rPr>
                <w:b/>
                <w:sz w:val="18"/>
                <w:szCs w:val="18"/>
              </w:rPr>
            </w:pPr>
            <w:r w:rsidRPr="008E09BC">
              <w:rPr>
                <w:b/>
                <w:sz w:val="18"/>
                <w:szCs w:val="18"/>
              </w:rPr>
              <w:t>FY 2014-15</w:t>
            </w:r>
          </w:p>
        </w:tc>
        <w:tc>
          <w:tcPr>
            <w:tcW w:w="693" w:type="pct"/>
            <w:shd w:val="clear" w:color="auto" w:fill="002060"/>
          </w:tcPr>
          <w:p w:rsidR="00F71DD6" w:rsidRPr="00F71DD6" w:rsidRDefault="004A0281" w:rsidP="00F71DD6">
            <w:pPr>
              <w:spacing w:line="240" w:lineRule="auto"/>
              <w:jc w:val="center"/>
              <w:rPr>
                <w:b/>
                <w:sz w:val="18"/>
                <w:szCs w:val="18"/>
              </w:rPr>
            </w:pPr>
            <w:r w:rsidRPr="008E09BC">
              <w:rPr>
                <w:b/>
                <w:sz w:val="18"/>
                <w:szCs w:val="18"/>
              </w:rPr>
              <w:t xml:space="preserve">FY </w:t>
            </w:r>
            <w:r w:rsidR="00F71DD6" w:rsidRPr="00F71DD6">
              <w:rPr>
                <w:b/>
                <w:sz w:val="18"/>
                <w:szCs w:val="18"/>
              </w:rPr>
              <w:t>15-16</w:t>
            </w:r>
          </w:p>
          <w:p w:rsidR="004A0281" w:rsidRPr="008E09BC" w:rsidRDefault="00F71DD6" w:rsidP="00F71DD6">
            <w:pPr>
              <w:pStyle w:val="Header"/>
              <w:tabs>
                <w:tab w:val="clear" w:pos="4320"/>
                <w:tab w:val="clear" w:pos="8640"/>
              </w:tabs>
              <w:spacing w:line="240" w:lineRule="auto"/>
              <w:rPr>
                <w:b/>
                <w:sz w:val="18"/>
                <w:szCs w:val="18"/>
              </w:rPr>
            </w:pPr>
            <w:r w:rsidRPr="00F71DD6">
              <w:rPr>
                <w:b/>
                <w:sz w:val="18"/>
                <w:szCs w:val="18"/>
              </w:rPr>
              <w:t>(Estimated)</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Average Equity (Rs. Cr.) as approved by Hon’ble Commission</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A</w:t>
            </w:r>
          </w:p>
        </w:tc>
        <w:tc>
          <w:tcPr>
            <w:tcW w:w="710" w:type="pct"/>
            <w:vAlign w:val="center"/>
          </w:tcPr>
          <w:p w:rsidR="004A0281" w:rsidRDefault="004A0281" w:rsidP="00BC6C19">
            <w:pPr>
              <w:jc w:val="center"/>
              <w:rPr>
                <w:rFonts w:ascii="Arial" w:hAnsi="Arial" w:cs="Arial"/>
                <w:sz w:val="20"/>
                <w:szCs w:val="20"/>
              </w:rPr>
            </w:pPr>
            <w:r>
              <w:rPr>
                <w:rFonts w:ascii="Arial" w:hAnsi="Arial" w:cs="Arial"/>
                <w:sz w:val="20"/>
                <w:szCs w:val="20"/>
              </w:rPr>
              <w:t>73.04</w:t>
            </w:r>
          </w:p>
        </w:tc>
        <w:tc>
          <w:tcPr>
            <w:tcW w:w="652" w:type="pct"/>
            <w:vAlign w:val="center"/>
          </w:tcPr>
          <w:p w:rsidR="004A0281" w:rsidRDefault="004A0281" w:rsidP="00BC6C19">
            <w:pPr>
              <w:jc w:val="center"/>
              <w:rPr>
                <w:rFonts w:ascii="Arial" w:hAnsi="Arial" w:cs="Arial"/>
                <w:sz w:val="20"/>
                <w:szCs w:val="20"/>
              </w:rPr>
            </w:pPr>
            <w:r>
              <w:rPr>
                <w:rFonts w:ascii="Arial" w:hAnsi="Arial" w:cs="Arial"/>
                <w:sz w:val="20"/>
                <w:szCs w:val="20"/>
              </w:rPr>
              <w:t>74.00</w:t>
            </w:r>
          </w:p>
        </w:tc>
        <w:tc>
          <w:tcPr>
            <w:tcW w:w="693" w:type="pct"/>
            <w:vAlign w:val="center"/>
          </w:tcPr>
          <w:p w:rsidR="004A0281" w:rsidRDefault="004A0281" w:rsidP="00BC6C19">
            <w:pPr>
              <w:jc w:val="center"/>
              <w:rPr>
                <w:rFonts w:ascii="Arial" w:hAnsi="Arial" w:cs="Arial"/>
                <w:sz w:val="20"/>
                <w:szCs w:val="20"/>
              </w:rPr>
            </w:pPr>
            <w:r>
              <w:rPr>
                <w:rFonts w:ascii="Arial" w:hAnsi="Arial" w:cs="Arial"/>
                <w:sz w:val="20"/>
                <w:szCs w:val="20"/>
              </w:rPr>
              <w:t>74.35</w:t>
            </w:r>
          </w:p>
        </w:tc>
        <w:tc>
          <w:tcPr>
            <w:tcW w:w="693" w:type="pct"/>
            <w:vAlign w:val="center"/>
          </w:tcPr>
          <w:p w:rsidR="004A0281" w:rsidRDefault="004A0281" w:rsidP="00BC6C19">
            <w:pPr>
              <w:jc w:val="center"/>
              <w:rPr>
                <w:rFonts w:ascii="Arial" w:hAnsi="Arial" w:cs="Arial"/>
                <w:sz w:val="20"/>
                <w:szCs w:val="20"/>
              </w:rPr>
            </w:pPr>
            <w:r>
              <w:rPr>
                <w:rFonts w:ascii="Arial" w:hAnsi="Arial" w:cs="Arial"/>
                <w:sz w:val="20"/>
                <w:szCs w:val="20"/>
              </w:rPr>
              <w:t>74.37</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Base Rate of return on equity</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B</w:t>
            </w:r>
          </w:p>
        </w:tc>
        <w:tc>
          <w:tcPr>
            <w:tcW w:w="710"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14%</w:t>
            </w:r>
          </w:p>
        </w:tc>
        <w:tc>
          <w:tcPr>
            <w:tcW w:w="652"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14%</w:t>
            </w:r>
          </w:p>
        </w:tc>
        <w:tc>
          <w:tcPr>
            <w:tcW w:w="693"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14%</w:t>
            </w:r>
          </w:p>
        </w:tc>
        <w:tc>
          <w:tcPr>
            <w:tcW w:w="693"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14%</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Normal Income tax as considered by Hon’ble Commission</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C</w:t>
            </w:r>
          </w:p>
        </w:tc>
        <w:tc>
          <w:tcPr>
            <w:tcW w:w="710"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32.445%</w:t>
            </w:r>
          </w:p>
        </w:tc>
        <w:tc>
          <w:tcPr>
            <w:tcW w:w="652"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33.99%</w:t>
            </w:r>
          </w:p>
        </w:tc>
        <w:tc>
          <w:tcPr>
            <w:tcW w:w="693"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33.99%</w:t>
            </w:r>
          </w:p>
        </w:tc>
        <w:tc>
          <w:tcPr>
            <w:tcW w:w="693"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33.99%</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Gross up return on equity</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 xml:space="preserve">D </w:t>
            </w:r>
          </w:p>
          <w:p w:rsidR="004A0281" w:rsidRDefault="004A0281" w:rsidP="00433B1A">
            <w:pPr>
              <w:pStyle w:val="Header"/>
              <w:tabs>
                <w:tab w:val="clear" w:pos="4320"/>
                <w:tab w:val="clear" w:pos="8640"/>
              </w:tabs>
              <w:spacing w:line="240" w:lineRule="auto"/>
              <w:rPr>
                <w:sz w:val="22"/>
                <w:szCs w:val="22"/>
              </w:rPr>
            </w:pPr>
            <w:r>
              <w:rPr>
                <w:sz w:val="22"/>
                <w:szCs w:val="22"/>
              </w:rPr>
              <w:t>(B/(1-C)</w:t>
            </w:r>
          </w:p>
        </w:tc>
        <w:tc>
          <w:tcPr>
            <w:tcW w:w="710"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20.72%</w:t>
            </w:r>
          </w:p>
        </w:tc>
        <w:tc>
          <w:tcPr>
            <w:tcW w:w="652"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21.21%</w:t>
            </w:r>
          </w:p>
        </w:tc>
        <w:tc>
          <w:tcPr>
            <w:tcW w:w="693"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21.21%</w:t>
            </w:r>
          </w:p>
        </w:tc>
        <w:tc>
          <w:tcPr>
            <w:tcW w:w="693"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21.21%</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Return on equity (Rs. Cr.)</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E (AxD)</w:t>
            </w:r>
          </w:p>
        </w:tc>
        <w:tc>
          <w:tcPr>
            <w:tcW w:w="710" w:type="pct"/>
            <w:vAlign w:val="center"/>
          </w:tcPr>
          <w:p w:rsidR="004A0281" w:rsidRDefault="004A0281" w:rsidP="00BC6C19">
            <w:pPr>
              <w:jc w:val="center"/>
              <w:rPr>
                <w:rFonts w:ascii="Arial" w:hAnsi="Arial" w:cs="Arial"/>
                <w:sz w:val="20"/>
                <w:szCs w:val="20"/>
              </w:rPr>
            </w:pPr>
            <w:r>
              <w:rPr>
                <w:rFonts w:ascii="Arial" w:hAnsi="Arial" w:cs="Arial"/>
                <w:sz w:val="20"/>
                <w:szCs w:val="20"/>
              </w:rPr>
              <w:t>15.14</w:t>
            </w:r>
          </w:p>
        </w:tc>
        <w:tc>
          <w:tcPr>
            <w:tcW w:w="652" w:type="pct"/>
            <w:vAlign w:val="center"/>
          </w:tcPr>
          <w:p w:rsidR="004A0281" w:rsidRDefault="004A0281" w:rsidP="00BC6C19">
            <w:pPr>
              <w:jc w:val="center"/>
              <w:rPr>
                <w:rFonts w:ascii="Arial" w:hAnsi="Arial" w:cs="Arial"/>
                <w:sz w:val="20"/>
                <w:szCs w:val="20"/>
              </w:rPr>
            </w:pPr>
            <w:r>
              <w:rPr>
                <w:rFonts w:ascii="Arial" w:hAnsi="Arial" w:cs="Arial"/>
                <w:sz w:val="20"/>
                <w:szCs w:val="20"/>
              </w:rPr>
              <w:t>15.70</w:t>
            </w:r>
          </w:p>
        </w:tc>
        <w:tc>
          <w:tcPr>
            <w:tcW w:w="693" w:type="pct"/>
            <w:vAlign w:val="center"/>
          </w:tcPr>
          <w:p w:rsidR="004A0281" w:rsidRDefault="004A0281" w:rsidP="00BC6C19">
            <w:pPr>
              <w:jc w:val="center"/>
              <w:rPr>
                <w:rFonts w:ascii="Arial" w:hAnsi="Arial" w:cs="Arial"/>
                <w:sz w:val="20"/>
                <w:szCs w:val="20"/>
              </w:rPr>
            </w:pPr>
            <w:r>
              <w:rPr>
                <w:rFonts w:ascii="Arial" w:hAnsi="Arial" w:cs="Arial"/>
                <w:sz w:val="20"/>
                <w:szCs w:val="20"/>
              </w:rPr>
              <w:t>15.77</w:t>
            </w:r>
          </w:p>
        </w:tc>
        <w:tc>
          <w:tcPr>
            <w:tcW w:w="693" w:type="pct"/>
            <w:vAlign w:val="center"/>
          </w:tcPr>
          <w:p w:rsidR="004A0281" w:rsidRDefault="004A0281" w:rsidP="00BC6C19">
            <w:pPr>
              <w:jc w:val="center"/>
              <w:rPr>
                <w:rFonts w:ascii="Arial" w:hAnsi="Arial" w:cs="Arial"/>
                <w:sz w:val="20"/>
                <w:szCs w:val="20"/>
              </w:rPr>
            </w:pPr>
            <w:r>
              <w:rPr>
                <w:rFonts w:ascii="Arial" w:hAnsi="Arial" w:cs="Arial"/>
                <w:sz w:val="20"/>
                <w:szCs w:val="20"/>
              </w:rPr>
              <w:t>15.77</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Base Return on Equity (Rs. Cr.)</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F (AxB)</w:t>
            </w:r>
          </w:p>
        </w:tc>
        <w:tc>
          <w:tcPr>
            <w:tcW w:w="710"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Pr>
                <w:sz w:val="22"/>
                <w:szCs w:val="22"/>
              </w:rPr>
              <w:t>10.2256</w:t>
            </w:r>
          </w:p>
        </w:tc>
        <w:tc>
          <w:tcPr>
            <w:tcW w:w="652" w:type="pct"/>
            <w:vAlign w:val="center"/>
          </w:tcPr>
          <w:p w:rsidR="004A0281" w:rsidRPr="00FD2AA3" w:rsidRDefault="00ED3BB8" w:rsidP="00BC6C19">
            <w:pPr>
              <w:pStyle w:val="Header"/>
              <w:tabs>
                <w:tab w:val="clear" w:pos="4320"/>
                <w:tab w:val="clear" w:pos="8640"/>
              </w:tabs>
              <w:spacing w:line="240" w:lineRule="auto"/>
              <w:jc w:val="center"/>
              <w:rPr>
                <w:sz w:val="22"/>
                <w:szCs w:val="22"/>
              </w:rPr>
            </w:pPr>
            <w:r>
              <w:rPr>
                <w:sz w:val="22"/>
                <w:szCs w:val="22"/>
              </w:rPr>
              <w:t>10.36</w:t>
            </w:r>
          </w:p>
        </w:tc>
        <w:tc>
          <w:tcPr>
            <w:tcW w:w="693" w:type="pct"/>
            <w:vAlign w:val="center"/>
          </w:tcPr>
          <w:p w:rsidR="004A0281" w:rsidRPr="00FD2AA3" w:rsidRDefault="00ED3BB8" w:rsidP="00BC6C19">
            <w:pPr>
              <w:pStyle w:val="Header"/>
              <w:tabs>
                <w:tab w:val="clear" w:pos="4320"/>
                <w:tab w:val="clear" w:pos="8640"/>
              </w:tabs>
              <w:spacing w:line="240" w:lineRule="auto"/>
              <w:jc w:val="center"/>
              <w:rPr>
                <w:sz w:val="22"/>
                <w:szCs w:val="22"/>
              </w:rPr>
            </w:pPr>
            <w:r>
              <w:rPr>
                <w:sz w:val="22"/>
                <w:szCs w:val="22"/>
              </w:rPr>
              <w:t>10.4090</w:t>
            </w:r>
          </w:p>
        </w:tc>
        <w:tc>
          <w:tcPr>
            <w:tcW w:w="693" w:type="pct"/>
            <w:vAlign w:val="center"/>
          </w:tcPr>
          <w:p w:rsidR="004A0281" w:rsidRPr="00FD2AA3" w:rsidRDefault="00ED3BB8" w:rsidP="00BC6C19">
            <w:pPr>
              <w:pStyle w:val="Header"/>
              <w:tabs>
                <w:tab w:val="clear" w:pos="4320"/>
                <w:tab w:val="clear" w:pos="8640"/>
              </w:tabs>
              <w:spacing w:line="240" w:lineRule="auto"/>
              <w:jc w:val="center"/>
              <w:rPr>
                <w:sz w:val="22"/>
                <w:szCs w:val="22"/>
              </w:rPr>
            </w:pPr>
            <w:r>
              <w:rPr>
                <w:sz w:val="22"/>
                <w:szCs w:val="22"/>
              </w:rPr>
              <w:t>10.4118</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Income tax component (Rs. Cr.)</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G (E-F)</w:t>
            </w:r>
          </w:p>
        </w:tc>
        <w:tc>
          <w:tcPr>
            <w:tcW w:w="710" w:type="pct"/>
            <w:vAlign w:val="center"/>
          </w:tcPr>
          <w:p w:rsidR="004A0281" w:rsidRPr="00FD2AA3" w:rsidRDefault="00AA4711" w:rsidP="00BC6C19">
            <w:pPr>
              <w:pStyle w:val="Header"/>
              <w:tabs>
                <w:tab w:val="clear" w:pos="4320"/>
                <w:tab w:val="clear" w:pos="8640"/>
              </w:tabs>
              <w:spacing w:line="240" w:lineRule="auto"/>
              <w:jc w:val="center"/>
              <w:rPr>
                <w:sz w:val="22"/>
                <w:szCs w:val="22"/>
              </w:rPr>
            </w:pPr>
            <w:r>
              <w:rPr>
                <w:sz w:val="22"/>
                <w:szCs w:val="22"/>
              </w:rPr>
              <w:t>4.9144</w:t>
            </w:r>
          </w:p>
        </w:tc>
        <w:tc>
          <w:tcPr>
            <w:tcW w:w="652" w:type="pct"/>
            <w:vAlign w:val="center"/>
          </w:tcPr>
          <w:p w:rsidR="004A0281" w:rsidRPr="00FD2AA3" w:rsidRDefault="00AA4711" w:rsidP="00BC6C19">
            <w:pPr>
              <w:pStyle w:val="Header"/>
              <w:tabs>
                <w:tab w:val="clear" w:pos="4320"/>
                <w:tab w:val="clear" w:pos="8640"/>
              </w:tabs>
              <w:spacing w:line="240" w:lineRule="auto"/>
              <w:jc w:val="center"/>
              <w:rPr>
                <w:sz w:val="22"/>
                <w:szCs w:val="22"/>
              </w:rPr>
            </w:pPr>
            <w:r>
              <w:rPr>
                <w:sz w:val="22"/>
                <w:szCs w:val="22"/>
              </w:rPr>
              <w:t>5.34</w:t>
            </w:r>
          </w:p>
        </w:tc>
        <w:tc>
          <w:tcPr>
            <w:tcW w:w="693" w:type="pct"/>
            <w:vAlign w:val="center"/>
          </w:tcPr>
          <w:p w:rsidR="004A0281" w:rsidRPr="00FD2AA3" w:rsidRDefault="00AA4711" w:rsidP="00BC6C19">
            <w:pPr>
              <w:pStyle w:val="Header"/>
              <w:tabs>
                <w:tab w:val="clear" w:pos="4320"/>
                <w:tab w:val="clear" w:pos="8640"/>
              </w:tabs>
              <w:spacing w:line="240" w:lineRule="auto"/>
              <w:jc w:val="center"/>
              <w:rPr>
                <w:sz w:val="22"/>
                <w:szCs w:val="22"/>
              </w:rPr>
            </w:pPr>
            <w:r>
              <w:rPr>
                <w:sz w:val="22"/>
                <w:szCs w:val="22"/>
              </w:rPr>
              <w:t>5.41</w:t>
            </w:r>
          </w:p>
        </w:tc>
        <w:tc>
          <w:tcPr>
            <w:tcW w:w="693" w:type="pct"/>
            <w:vAlign w:val="center"/>
          </w:tcPr>
          <w:p w:rsidR="004A0281" w:rsidRPr="00FD2AA3" w:rsidRDefault="00AA4711" w:rsidP="00BC6C19">
            <w:pPr>
              <w:pStyle w:val="Header"/>
              <w:tabs>
                <w:tab w:val="clear" w:pos="4320"/>
                <w:tab w:val="clear" w:pos="8640"/>
              </w:tabs>
              <w:spacing w:line="240" w:lineRule="auto"/>
              <w:jc w:val="center"/>
              <w:rPr>
                <w:sz w:val="22"/>
                <w:szCs w:val="22"/>
              </w:rPr>
            </w:pPr>
            <w:r>
              <w:rPr>
                <w:sz w:val="22"/>
                <w:szCs w:val="22"/>
              </w:rPr>
              <w:t>5.3582</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Approved in Tariff Order (Rs. Cr.)</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H (FxC)</w:t>
            </w:r>
          </w:p>
        </w:tc>
        <w:tc>
          <w:tcPr>
            <w:tcW w:w="710"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2.76</w:t>
            </w:r>
          </w:p>
        </w:tc>
        <w:tc>
          <w:tcPr>
            <w:tcW w:w="652"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2.76</w:t>
            </w:r>
          </w:p>
        </w:tc>
        <w:tc>
          <w:tcPr>
            <w:tcW w:w="693" w:type="pct"/>
            <w:vAlign w:val="center"/>
          </w:tcPr>
          <w:p w:rsidR="004A0281" w:rsidRPr="00FD2AA3" w:rsidRDefault="004A0281" w:rsidP="00BC6C19">
            <w:pPr>
              <w:pStyle w:val="Header"/>
              <w:tabs>
                <w:tab w:val="clear" w:pos="4320"/>
                <w:tab w:val="clear" w:pos="8640"/>
              </w:tabs>
              <w:spacing w:line="240" w:lineRule="auto"/>
              <w:jc w:val="center"/>
              <w:rPr>
                <w:sz w:val="22"/>
                <w:szCs w:val="22"/>
              </w:rPr>
            </w:pPr>
            <w:r w:rsidRPr="00FD2AA3">
              <w:rPr>
                <w:sz w:val="22"/>
                <w:szCs w:val="22"/>
              </w:rPr>
              <w:t>2.76</w:t>
            </w:r>
          </w:p>
        </w:tc>
        <w:tc>
          <w:tcPr>
            <w:tcW w:w="693" w:type="pct"/>
            <w:vAlign w:val="center"/>
          </w:tcPr>
          <w:p w:rsidR="004A0281" w:rsidRPr="00FD2AA3" w:rsidRDefault="00AA4711" w:rsidP="00BC6C19">
            <w:pPr>
              <w:pStyle w:val="Header"/>
              <w:tabs>
                <w:tab w:val="clear" w:pos="4320"/>
                <w:tab w:val="clear" w:pos="8640"/>
              </w:tabs>
              <w:spacing w:line="240" w:lineRule="auto"/>
              <w:jc w:val="center"/>
              <w:rPr>
                <w:sz w:val="22"/>
                <w:szCs w:val="22"/>
              </w:rPr>
            </w:pPr>
            <w:r>
              <w:rPr>
                <w:sz w:val="22"/>
                <w:szCs w:val="22"/>
              </w:rPr>
              <w:t>--</w:t>
            </w:r>
          </w:p>
        </w:tc>
      </w:tr>
      <w:tr w:rsidR="004A0281" w:rsidTr="00BC6C19">
        <w:tc>
          <w:tcPr>
            <w:tcW w:w="1680" w:type="pct"/>
          </w:tcPr>
          <w:p w:rsidR="004A0281" w:rsidRDefault="004A0281" w:rsidP="00433B1A">
            <w:pPr>
              <w:pStyle w:val="Header"/>
              <w:tabs>
                <w:tab w:val="clear" w:pos="4320"/>
                <w:tab w:val="clear" w:pos="8640"/>
              </w:tabs>
              <w:spacing w:line="240" w:lineRule="auto"/>
              <w:rPr>
                <w:sz w:val="22"/>
                <w:szCs w:val="22"/>
              </w:rPr>
            </w:pPr>
            <w:r>
              <w:rPr>
                <w:sz w:val="22"/>
                <w:szCs w:val="22"/>
              </w:rPr>
              <w:t>Difference (Rs. Cr.)</w:t>
            </w:r>
          </w:p>
        </w:tc>
        <w:tc>
          <w:tcPr>
            <w:tcW w:w="571" w:type="pct"/>
          </w:tcPr>
          <w:p w:rsidR="004A0281" w:rsidRDefault="004A0281" w:rsidP="00433B1A">
            <w:pPr>
              <w:pStyle w:val="Header"/>
              <w:tabs>
                <w:tab w:val="clear" w:pos="4320"/>
                <w:tab w:val="clear" w:pos="8640"/>
              </w:tabs>
              <w:spacing w:line="240" w:lineRule="auto"/>
              <w:rPr>
                <w:sz w:val="22"/>
                <w:szCs w:val="22"/>
              </w:rPr>
            </w:pPr>
            <w:r>
              <w:rPr>
                <w:sz w:val="22"/>
                <w:szCs w:val="22"/>
              </w:rPr>
              <w:t>I</w:t>
            </w:r>
          </w:p>
        </w:tc>
        <w:tc>
          <w:tcPr>
            <w:tcW w:w="710" w:type="pct"/>
            <w:vAlign w:val="center"/>
          </w:tcPr>
          <w:p w:rsidR="004A0281" w:rsidRPr="0013796A" w:rsidRDefault="00AA4711" w:rsidP="00BC6C19">
            <w:pPr>
              <w:pStyle w:val="Header"/>
              <w:tabs>
                <w:tab w:val="clear" w:pos="4320"/>
                <w:tab w:val="clear" w:pos="8640"/>
              </w:tabs>
              <w:spacing w:line="240" w:lineRule="auto"/>
              <w:jc w:val="center"/>
              <w:rPr>
                <w:sz w:val="22"/>
                <w:szCs w:val="22"/>
              </w:rPr>
            </w:pPr>
            <w:r>
              <w:rPr>
                <w:sz w:val="22"/>
                <w:szCs w:val="22"/>
              </w:rPr>
              <w:t>2.1544</w:t>
            </w:r>
          </w:p>
        </w:tc>
        <w:tc>
          <w:tcPr>
            <w:tcW w:w="652" w:type="pct"/>
            <w:vAlign w:val="center"/>
          </w:tcPr>
          <w:p w:rsidR="004A0281" w:rsidRPr="0013796A" w:rsidRDefault="00AA4711" w:rsidP="00BC6C19">
            <w:pPr>
              <w:pStyle w:val="Header"/>
              <w:tabs>
                <w:tab w:val="clear" w:pos="4320"/>
                <w:tab w:val="clear" w:pos="8640"/>
              </w:tabs>
              <w:spacing w:line="240" w:lineRule="auto"/>
              <w:jc w:val="center"/>
              <w:rPr>
                <w:sz w:val="22"/>
                <w:szCs w:val="22"/>
              </w:rPr>
            </w:pPr>
            <w:r>
              <w:rPr>
                <w:sz w:val="22"/>
                <w:szCs w:val="22"/>
              </w:rPr>
              <w:t>2.58</w:t>
            </w:r>
          </w:p>
        </w:tc>
        <w:tc>
          <w:tcPr>
            <w:tcW w:w="693" w:type="pct"/>
            <w:vAlign w:val="center"/>
          </w:tcPr>
          <w:p w:rsidR="004A0281" w:rsidRPr="0013796A" w:rsidRDefault="00783D80" w:rsidP="00BC6C19">
            <w:pPr>
              <w:pStyle w:val="Header"/>
              <w:tabs>
                <w:tab w:val="clear" w:pos="4320"/>
                <w:tab w:val="clear" w:pos="8640"/>
              </w:tabs>
              <w:spacing w:line="240" w:lineRule="auto"/>
              <w:jc w:val="center"/>
              <w:rPr>
                <w:sz w:val="22"/>
                <w:szCs w:val="22"/>
              </w:rPr>
            </w:pPr>
            <w:r>
              <w:rPr>
                <w:sz w:val="22"/>
                <w:szCs w:val="22"/>
              </w:rPr>
              <w:t>2.65</w:t>
            </w:r>
          </w:p>
        </w:tc>
        <w:tc>
          <w:tcPr>
            <w:tcW w:w="693" w:type="pct"/>
            <w:vAlign w:val="center"/>
          </w:tcPr>
          <w:p w:rsidR="004A0281" w:rsidRPr="0013796A" w:rsidRDefault="008C34A5" w:rsidP="00BC6C19">
            <w:pPr>
              <w:pStyle w:val="Header"/>
              <w:tabs>
                <w:tab w:val="clear" w:pos="4320"/>
                <w:tab w:val="clear" w:pos="8640"/>
              </w:tabs>
              <w:spacing w:line="240" w:lineRule="auto"/>
              <w:jc w:val="center"/>
              <w:rPr>
                <w:sz w:val="22"/>
                <w:szCs w:val="22"/>
              </w:rPr>
            </w:pPr>
            <w:r>
              <w:rPr>
                <w:sz w:val="22"/>
                <w:szCs w:val="22"/>
              </w:rPr>
              <w:t>5.3582</w:t>
            </w:r>
          </w:p>
        </w:tc>
      </w:tr>
    </w:tbl>
    <w:p w:rsidR="00185EF9" w:rsidRDefault="00185EF9" w:rsidP="00185EF9">
      <w:pPr>
        <w:pStyle w:val="Header"/>
        <w:tabs>
          <w:tab w:val="clear" w:pos="4320"/>
          <w:tab w:val="clear" w:pos="8640"/>
        </w:tabs>
        <w:rPr>
          <w:sz w:val="22"/>
          <w:szCs w:val="22"/>
        </w:rPr>
      </w:pPr>
    </w:p>
    <w:p w:rsidR="00185EF9" w:rsidRDefault="00185EF9" w:rsidP="00185EF9">
      <w:pPr>
        <w:pStyle w:val="Header"/>
        <w:tabs>
          <w:tab w:val="clear" w:pos="4320"/>
          <w:tab w:val="clear" w:pos="8640"/>
        </w:tabs>
        <w:rPr>
          <w:sz w:val="22"/>
          <w:szCs w:val="22"/>
        </w:rPr>
      </w:pPr>
      <w:r>
        <w:rPr>
          <w:sz w:val="22"/>
          <w:szCs w:val="22"/>
        </w:rPr>
        <w:t>Accordingly Hon’ble Commission is prayed to rectify the error apparent on record and allow the Income Tax as under:</w:t>
      </w:r>
    </w:p>
    <w:p w:rsidR="00495546" w:rsidRPr="00682818" w:rsidRDefault="00495546" w:rsidP="00495546">
      <w:pPr>
        <w:pStyle w:val="Caption"/>
        <w:jc w:val="center"/>
      </w:pPr>
      <w:bookmarkStart w:id="88" w:name="_Toc411604011"/>
      <w:r>
        <w:t xml:space="preserve">Table </w:t>
      </w:r>
      <w:fldSimple w:instr=" SEQ Table \* ARABIC ">
        <w:r w:rsidR="002326CE">
          <w:rPr>
            <w:noProof/>
          </w:rPr>
          <w:t>34</w:t>
        </w:r>
      </w:fldSimple>
      <w:r>
        <w:t xml:space="preserve"> : grossed up Income tax for </w:t>
      </w:r>
      <w:r w:rsidR="003D7BF5">
        <w:t>IPGCL</w:t>
      </w:r>
      <w:bookmarkEnd w:id="88"/>
    </w:p>
    <w:tbl>
      <w:tblPr>
        <w:tblStyle w:val="TableGrid"/>
        <w:tblW w:w="0" w:type="auto"/>
        <w:tblLook w:val="04A0"/>
      </w:tblPr>
      <w:tblGrid>
        <w:gridCol w:w="2264"/>
        <w:gridCol w:w="2264"/>
        <w:gridCol w:w="2265"/>
        <w:gridCol w:w="2265"/>
      </w:tblGrid>
      <w:tr w:rsidR="00185EF9" w:rsidTr="0087497F">
        <w:tc>
          <w:tcPr>
            <w:tcW w:w="2264" w:type="dxa"/>
            <w:shd w:val="clear" w:color="auto" w:fill="002060"/>
          </w:tcPr>
          <w:p w:rsidR="00185EF9" w:rsidRPr="003035BC" w:rsidRDefault="00185EF9" w:rsidP="00433B1A">
            <w:pPr>
              <w:pStyle w:val="Header"/>
              <w:tabs>
                <w:tab w:val="clear" w:pos="4320"/>
                <w:tab w:val="clear" w:pos="8640"/>
              </w:tabs>
              <w:spacing w:line="240" w:lineRule="auto"/>
              <w:rPr>
                <w:b/>
                <w:sz w:val="22"/>
                <w:szCs w:val="22"/>
              </w:rPr>
            </w:pPr>
            <w:r w:rsidRPr="003035BC">
              <w:rPr>
                <w:b/>
                <w:sz w:val="22"/>
                <w:szCs w:val="22"/>
              </w:rPr>
              <w:t>Particulars</w:t>
            </w:r>
          </w:p>
        </w:tc>
        <w:tc>
          <w:tcPr>
            <w:tcW w:w="2264" w:type="dxa"/>
            <w:shd w:val="clear" w:color="auto" w:fill="002060"/>
          </w:tcPr>
          <w:p w:rsidR="00185EF9" w:rsidRPr="003035BC" w:rsidRDefault="00185EF9" w:rsidP="00433B1A">
            <w:pPr>
              <w:pStyle w:val="Header"/>
              <w:tabs>
                <w:tab w:val="clear" w:pos="4320"/>
                <w:tab w:val="clear" w:pos="8640"/>
              </w:tabs>
              <w:spacing w:line="240" w:lineRule="auto"/>
              <w:rPr>
                <w:b/>
                <w:sz w:val="22"/>
                <w:szCs w:val="22"/>
              </w:rPr>
            </w:pPr>
            <w:r w:rsidRPr="003035BC">
              <w:rPr>
                <w:b/>
                <w:sz w:val="22"/>
                <w:szCs w:val="22"/>
              </w:rPr>
              <w:t>FY 2012-13</w:t>
            </w:r>
          </w:p>
        </w:tc>
        <w:tc>
          <w:tcPr>
            <w:tcW w:w="2265" w:type="dxa"/>
            <w:shd w:val="clear" w:color="auto" w:fill="002060"/>
          </w:tcPr>
          <w:p w:rsidR="00185EF9" w:rsidRPr="003035BC" w:rsidRDefault="00185EF9" w:rsidP="00433B1A">
            <w:pPr>
              <w:pStyle w:val="Header"/>
              <w:tabs>
                <w:tab w:val="clear" w:pos="4320"/>
                <w:tab w:val="clear" w:pos="8640"/>
              </w:tabs>
              <w:spacing w:line="240" w:lineRule="auto"/>
              <w:rPr>
                <w:b/>
                <w:sz w:val="22"/>
                <w:szCs w:val="22"/>
              </w:rPr>
            </w:pPr>
            <w:r w:rsidRPr="003035BC">
              <w:rPr>
                <w:b/>
                <w:sz w:val="22"/>
                <w:szCs w:val="22"/>
              </w:rPr>
              <w:t>FY 2013-14</w:t>
            </w:r>
          </w:p>
        </w:tc>
        <w:tc>
          <w:tcPr>
            <w:tcW w:w="2265" w:type="dxa"/>
            <w:shd w:val="clear" w:color="auto" w:fill="002060"/>
          </w:tcPr>
          <w:p w:rsidR="00185EF9" w:rsidRPr="003035BC" w:rsidRDefault="00185EF9" w:rsidP="00433B1A">
            <w:pPr>
              <w:pStyle w:val="Header"/>
              <w:tabs>
                <w:tab w:val="clear" w:pos="4320"/>
                <w:tab w:val="clear" w:pos="8640"/>
              </w:tabs>
              <w:spacing w:line="240" w:lineRule="auto"/>
              <w:rPr>
                <w:b/>
                <w:sz w:val="22"/>
                <w:szCs w:val="22"/>
              </w:rPr>
            </w:pPr>
            <w:r w:rsidRPr="003035BC">
              <w:rPr>
                <w:b/>
                <w:sz w:val="22"/>
                <w:szCs w:val="22"/>
              </w:rPr>
              <w:t>FY 2014-15</w:t>
            </w:r>
          </w:p>
        </w:tc>
      </w:tr>
      <w:tr w:rsidR="006E015A" w:rsidTr="00BC6C19">
        <w:tc>
          <w:tcPr>
            <w:tcW w:w="2264" w:type="dxa"/>
          </w:tcPr>
          <w:p w:rsidR="006E015A" w:rsidRDefault="006E015A" w:rsidP="00433B1A">
            <w:pPr>
              <w:pStyle w:val="Header"/>
              <w:tabs>
                <w:tab w:val="clear" w:pos="4320"/>
                <w:tab w:val="clear" w:pos="8640"/>
              </w:tabs>
              <w:rPr>
                <w:sz w:val="22"/>
                <w:szCs w:val="22"/>
              </w:rPr>
            </w:pPr>
            <w:r>
              <w:rPr>
                <w:sz w:val="22"/>
                <w:szCs w:val="22"/>
              </w:rPr>
              <w:t>GTPS</w:t>
            </w:r>
          </w:p>
        </w:tc>
        <w:tc>
          <w:tcPr>
            <w:tcW w:w="2264" w:type="dxa"/>
            <w:vAlign w:val="center"/>
          </w:tcPr>
          <w:p w:rsidR="006E015A" w:rsidRPr="006E015A" w:rsidRDefault="006E015A" w:rsidP="00BC6C19">
            <w:pPr>
              <w:jc w:val="center"/>
              <w:rPr>
                <w:rFonts w:ascii="Arial" w:hAnsi="Arial" w:cs="Arial"/>
                <w:bCs/>
                <w:sz w:val="20"/>
                <w:szCs w:val="20"/>
              </w:rPr>
            </w:pPr>
            <w:r w:rsidRPr="006E015A">
              <w:rPr>
                <w:rFonts w:ascii="Arial" w:hAnsi="Arial" w:cs="Arial"/>
                <w:bCs/>
                <w:sz w:val="20"/>
                <w:szCs w:val="20"/>
              </w:rPr>
              <w:t>27.10</w:t>
            </w:r>
          </w:p>
        </w:tc>
        <w:tc>
          <w:tcPr>
            <w:tcW w:w="2265" w:type="dxa"/>
            <w:vAlign w:val="center"/>
          </w:tcPr>
          <w:p w:rsidR="006E015A" w:rsidRPr="006E015A" w:rsidRDefault="006E015A" w:rsidP="00BC6C19">
            <w:pPr>
              <w:jc w:val="center"/>
              <w:rPr>
                <w:rFonts w:ascii="Arial" w:hAnsi="Arial" w:cs="Arial"/>
                <w:bCs/>
                <w:sz w:val="20"/>
                <w:szCs w:val="20"/>
              </w:rPr>
            </w:pPr>
            <w:r w:rsidRPr="006E015A">
              <w:rPr>
                <w:rFonts w:ascii="Arial" w:hAnsi="Arial" w:cs="Arial"/>
                <w:bCs/>
                <w:sz w:val="20"/>
                <w:szCs w:val="20"/>
              </w:rPr>
              <w:t>28.67</w:t>
            </w:r>
          </w:p>
        </w:tc>
        <w:tc>
          <w:tcPr>
            <w:tcW w:w="2265" w:type="dxa"/>
            <w:vAlign w:val="center"/>
          </w:tcPr>
          <w:p w:rsidR="006E015A" w:rsidRPr="006E015A" w:rsidRDefault="006E015A" w:rsidP="00BC6C19">
            <w:pPr>
              <w:jc w:val="center"/>
              <w:rPr>
                <w:rFonts w:ascii="Arial" w:hAnsi="Arial" w:cs="Arial"/>
                <w:bCs/>
                <w:sz w:val="20"/>
                <w:szCs w:val="20"/>
              </w:rPr>
            </w:pPr>
            <w:r w:rsidRPr="006E015A">
              <w:rPr>
                <w:rFonts w:ascii="Arial" w:hAnsi="Arial" w:cs="Arial"/>
                <w:bCs/>
                <w:sz w:val="20"/>
                <w:szCs w:val="20"/>
              </w:rPr>
              <w:t>28.83</w:t>
            </w:r>
          </w:p>
        </w:tc>
      </w:tr>
      <w:tr w:rsidR="006E015A" w:rsidTr="00BC6C19">
        <w:tc>
          <w:tcPr>
            <w:tcW w:w="2264" w:type="dxa"/>
          </w:tcPr>
          <w:p w:rsidR="006E015A" w:rsidRDefault="006E015A" w:rsidP="00433B1A">
            <w:pPr>
              <w:pStyle w:val="Header"/>
              <w:tabs>
                <w:tab w:val="clear" w:pos="4320"/>
                <w:tab w:val="clear" w:pos="8640"/>
              </w:tabs>
              <w:rPr>
                <w:sz w:val="22"/>
                <w:szCs w:val="22"/>
              </w:rPr>
            </w:pPr>
            <w:r>
              <w:rPr>
                <w:sz w:val="22"/>
                <w:szCs w:val="22"/>
              </w:rPr>
              <w:t>RPH</w:t>
            </w:r>
          </w:p>
        </w:tc>
        <w:tc>
          <w:tcPr>
            <w:tcW w:w="2264" w:type="dxa"/>
            <w:vAlign w:val="center"/>
          </w:tcPr>
          <w:p w:rsidR="006E015A" w:rsidRDefault="006E015A" w:rsidP="00BC6C19">
            <w:pPr>
              <w:jc w:val="center"/>
              <w:rPr>
                <w:rFonts w:ascii="Arial" w:hAnsi="Arial" w:cs="Arial"/>
                <w:sz w:val="20"/>
                <w:szCs w:val="20"/>
              </w:rPr>
            </w:pPr>
            <w:r>
              <w:rPr>
                <w:rFonts w:ascii="Arial" w:hAnsi="Arial" w:cs="Arial"/>
                <w:sz w:val="20"/>
                <w:szCs w:val="20"/>
              </w:rPr>
              <w:t>15.14</w:t>
            </w:r>
          </w:p>
        </w:tc>
        <w:tc>
          <w:tcPr>
            <w:tcW w:w="2265" w:type="dxa"/>
            <w:vAlign w:val="center"/>
          </w:tcPr>
          <w:p w:rsidR="006E015A" w:rsidRDefault="006E015A" w:rsidP="00BC6C19">
            <w:pPr>
              <w:jc w:val="center"/>
              <w:rPr>
                <w:rFonts w:ascii="Arial" w:hAnsi="Arial" w:cs="Arial"/>
                <w:sz w:val="20"/>
                <w:szCs w:val="20"/>
              </w:rPr>
            </w:pPr>
            <w:r>
              <w:rPr>
                <w:rFonts w:ascii="Arial" w:hAnsi="Arial" w:cs="Arial"/>
                <w:sz w:val="20"/>
                <w:szCs w:val="20"/>
              </w:rPr>
              <w:t>15.70</w:t>
            </w:r>
          </w:p>
        </w:tc>
        <w:tc>
          <w:tcPr>
            <w:tcW w:w="2265" w:type="dxa"/>
            <w:vAlign w:val="center"/>
          </w:tcPr>
          <w:p w:rsidR="006E015A" w:rsidRDefault="006E015A" w:rsidP="00BC6C19">
            <w:pPr>
              <w:jc w:val="center"/>
              <w:rPr>
                <w:rFonts w:ascii="Arial" w:hAnsi="Arial" w:cs="Arial"/>
                <w:sz w:val="20"/>
                <w:szCs w:val="20"/>
              </w:rPr>
            </w:pPr>
            <w:r>
              <w:rPr>
                <w:rFonts w:ascii="Arial" w:hAnsi="Arial" w:cs="Arial"/>
                <w:sz w:val="20"/>
                <w:szCs w:val="20"/>
              </w:rPr>
              <w:t>15.77</w:t>
            </w:r>
          </w:p>
        </w:tc>
      </w:tr>
      <w:tr w:rsidR="00495546" w:rsidTr="00BC6C19">
        <w:tc>
          <w:tcPr>
            <w:tcW w:w="2264" w:type="dxa"/>
          </w:tcPr>
          <w:p w:rsidR="00495546" w:rsidRDefault="00495546" w:rsidP="00433B1A">
            <w:pPr>
              <w:pStyle w:val="Header"/>
              <w:tabs>
                <w:tab w:val="clear" w:pos="4320"/>
                <w:tab w:val="clear" w:pos="8640"/>
              </w:tabs>
              <w:rPr>
                <w:sz w:val="22"/>
                <w:szCs w:val="22"/>
              </w:rPr>
            </w:pPr>
            <w:r>
              <w:rPr>
                <w:sz w:val="22"/>
                <w:szCs w:val="22"/>
              </w:rPr>
              <w:t>IPGCL total</w:t>
            </w:r>
          </w:p>
        </w:tc>
        <w:tc>
          <w:tcPr>
            <w:tcW w:w="2264" w:type="dxa"/>
            <w:vAlign w:val="center"/>
          </w:tcPr>
          <w:p w:rsidR="00495546" w:rsidRDefault="006E015A" w:rsidP="00BC6C19">
            <w:pPr>
              <w:pStyle w:val="Header"/>
              <w:tabs>
                <w:tab w:val="clear" w:pos="4320"/>
                <w:tab w:val="clear" w:pos="8640"/>
              </w:tabs>
              <w:jc w:val="center"/>
              <w:rPr>
                <w:sz w:val="22"/>
                <w:szCs w:val="22"/>
              </w:rPr>
            </w:pPr>
            <w:r>
              <w:rPr>
                <w:sz w:val="22"/>
                <w:szCs w:val="22"/>
              </w:rPr>
              <w:t>42.24</w:t>
            </w:r>
          </w:p>
        </w:tc>
        <w:tc>
          <w:tcPr>
            <w:tcW w:w="2265" w:type="dxa"/>
            <w:vAlign w:val="center"/>
          </w:tcPr>
          <w:p w:rsidR="00495546" w:rsidRDefault="006E015A" w:rsidP="00BC6C19">
            <w:pPr>
              <w:pStyle w:val="Header"/>
              <w:tabs>
                <w:tab w:val="clear" w:pos="4320"/>
                <w:tab w:val="clear" w:pos="8640"/>
              </w:tabs>
              <w:jc w:val="center"/>
              <w:rPr>
                <w:sz w:val="22"/>
                <w:szCs w:val="22"/>
              </w:rPr>
            </w:pPr>
            <w:r>
              <w:rPr>
                <w:sz w:val="22"/>
                <w:szCs w:val="22"/>
              </w:rPr>
              <w:t>44.37</w:t>
            </w:r>
          </w:p>
        </w:tc>
        <w:tc>
          <w:tcPr>
            <w:tcW w:w="2265" w:type="dxa"/>
            <w:vAlign w:val="center"/>
          </w:tcPr>
          <w:p w:rsidR="00495546" w:rsidRDefault="006E015A" w:rsidP="00BC6C19">
            <w:pPr>
              <w:pStyle w:val="Header"/>
              <w:tabs>
                <w:tab w:val="clear" w:pos="4320"/>
                <w:tab w:val="clear" w:pos="8640"/>
              </w:tabs>
              <w:jc w:val="center"/>
              <w:rPr>
                <w:sz w:val="22"/>
                <w:szCs w:val="22"/>
              </w:rPr>
            </w:pPr>
            <w:r>
              <w:rPr>
                <w:sz w:val="22"/>
                <w:szCs w:val="22"/>
              </w:rPr>
              <w:t>44.60</w:t>
            </w:r>
          </w:p>
        </w:tc>
      </w:tr>
    </w:tbl>
    <w:p w:rsidR="00C43BF7" w:rsidRDefault="00C43BF7" w:rsidP="00C43BF7">
      <w:pPr>
        <w:pStyle w:val="Heading3"/>
        <w:numPr>
          <w:ilvl w:val="2"/>
          <w:numId w:val="14"/>
        </w:numPr>
        <w:rPr>
          <w:rFonts w:ascii="Century Gothic" w:hAnsi="Century Gothic" w:cs="Times New Roman"/>
          <w:sz w:val="22"/>
          <w:szCs w:val="22"/>
        </w:rPr>
      </w:pPr>
      <w:bookmarkStart w:id="89" w:name="_Toc173941685"/>
      <w:bookmarkStart w:id="90" w:name="_Toc411605255"/>
      <w:r>
        <w:rPr>
          <w:rFonts w:ascii="Century Gothic" w:hAnsi="Century Gothic" w:cs="Times New Roman"/>
          <w:sz w:val="22"/>
          <w:szCs w:val="22"/>
        </w:rPr>
        <w:t>Interest on Working Capital</w:t>
      </w:r>
      <w:bookmarkEnd w:id="89"/>
      <w:bookmarkEnd w:id="90"/>
    </w:p>
    <w:p w:rsidR="00C43BF7" w:rsidRDefault="00C43BF7" w:rsidP="00C43BF7">
      <w:pPr>
        <w:rPr>
          <w:sz w:val="22"/>
          <w:szCs w:val="22"/>
        </w:rPr>
      </w:pPr>
      <w:r>
        <w:rPr>
          <w:sz w:val="22"/>
          <w:szCs w:val="22"/>
        </w:rPr>
        <w:t xml:space="preserve">Interest on Working Capital </w:t>
      </w:r>
      <w:r w:rsidR="00DD61E4">
        <w:rPr>
          <w:sz w:val="22"/>
          <w:szCs w:val="22"/>
        </w:rPr>
        <w:t xml:space="preserve">has been computed </w:t>
      </w:r>
      <w:r>
        <w:rPr>
          <w:sz w:val="22"/>
          <w:szCs w:val="22"/>
        </w:rPr>
        <w:t>as per the following norms:</w:t>
      </w:r>
    </w:p>
    <w:p w:rsidR="00C43BF7" w:rsidRDefault="00C43BF7" w:rsidP="00C43BF7">
      <w:pPr>
        <w:pStyle w:val="Default"/>
        <w:ind w:left="900" w:hanging="360"/>
        <w:rPr>
          <w:rFonts w:ascii="Century Gothic" w:hAnsi="Century Gothic"/>
          <w:color w:val="auto"/>
          <w:sz w:val="22"/>
          <w:szCs w:val="22"/>
        </w:rPr>
      </w:pPr>
    </w:p>
    <w:p w:rsidR="00C43BF7" w:rsidRDefault="00C43BF7" w:rsidP="00C43BF7">
      <w:pPr>
        <w:pStyle w:val="Default"/>
        <w:numPr>
          <w:ilvl w:val="0"/>
          <w:numId w:val="15"/>
        </w:numPr>
        <w:spacing w:line="360" w:lineRule="auto"/>
        <w:rPr>
          <w:rFonts w:ascii="Century Gothic" w:hAnsi="Century Gothic"/>
          <w:color w:val="auto"/>
          <w:sz w:val="22"/>
          <w:szCs w:val="22"/>
        </w:rPr>
      </w:pPr>
      <w:r>
        <w:rPr>
          <w:rFonts w:ascii="Century Gothic" w:hAnsi="Century Gothic"/>
          <w:color w:val="auto"/>
          <w:sz w:val="22"/>
          <w:szCs w:val="22"/>
        </w:rPr>
        <w:t xml:space="preserve">Cost of </w:t>
      </w:r>
      <w:r w:rsidR="005C28B7">
        <w:rPr>
          <w:rFonts w:ascii="Century Gothic" w:hAnsi="Century Gothic"/>
          <w:color w:val="auto"/>
          <w:sz w:val="22"/>
          <w:szCs w:val="22"/>
        </w:rPr>
        <w:t xml:space="preserve">coal </w:t>
      </w:r>
      <w:r w:rsidR="00C501F6">
        <w:rPr>
          <w:rFonts w:ascii="Century Gothic" w:hAnsi="Century Gothic"/>
          <w:color w:val="auto"/>
          <w:sz w:val="22"/>
          <w:szCs w:val="22"/>
        </w:rPr>
        <w:t xml:space="preserve">&amp; secondary oil </w:t>
      </w:r>
      <w:r w:rsidR="005C28B7">
        <w:rPr>
          <w:rFonts w:ascii="Century Gothic" w:hAnsi="Century Gothic"/>
          <w:color w:val="auto"/>
          <w:sz w:val="22"/>
          <w:szCs w:val="22"/>
        </w:rPr>
        <w:t xml:space="preserve">for 2 months </w:t>
      </w:r>
    </w:p>
    <w:p w:rsidR="00C43BF7" w:rsidRDefault="00C43BF7" w:rsidP="00C43BF7">
      <w:pPr>
        <w:pStyle w:val="Default"/>
        <w:numPr>
          <w:ilvl w:val="0"/>
          <w:numId w:val="15"/>
        </w:numPr>
        <w:spacing w:line="360" w:lineRule="auto"/>
        <w:rPr>
          <w:rFonts w:ascii="Century Gothic" w:hAnsi="Century Gothic"/>
          <w:color w:val="auto"/>
          <w:sz w:val="22"/>
          <w:szCs w:val="22"/>
        </w:rPr>
      </w:pPr>
      <w:r>
        <w:rPr>
          <w:rFonts w:ascii="Century Gothic" w:hAnsi="Century Gothic"/>
          <w:color w:val="auto"/>
          <w:sz w:val="22"/>
          <w:szCs w:val="22"/>
        </w:rPr>
        <w:t xml:space="preserve">Cost of </w:t>
      </w:r>
      <w:r w:rsidR="005C28B7">
        <w:rPr>
          <w:rFonts w:ascii="Century Gothic" w:hAnsi="Century Gothic"/>
          <w:color w:val="auto"/>
          <w:sz w:val="22"/>
          <w:szCs w:val="22"/>
        </w:rPr>
        <w:t>Gas</w:t>
      </w:r>
      <w:r>
        <w:rPr>
          <w:rFonts w:ascii="Century Gothic" w:hAnsi="Century Gothic"/>
          <w:color w:val="auto"/>
          <w:sz w:val="22"/>
          <w:szCs w:val="22"/>
        </w:rPr>
        <w:t xml:space="preserve"> for 1 month</w:t>
      </w:r>
    </w:p>
    <w:p w:rsidR="005C28B7" w:rsidRDefault="005C28B7" w:rsidP="00C43BF7">
      <w:pPr>
        <w:pStyle w:val="Default"/>
        <w:numPr>
          <w:ilvl w:val="0"/>
          <w:numId w:val="15"/>
        </w:numPr>
        <w:spacing w:line="360" w:lineRule="auto"/>
        <w:rPr>
          <w:rFonts w:ascii="Century Gothic" w:hAnsi="Century Gothic"/>
          <w:color w:val="auto"/>
          <w:sz w:val="22"/>
          <w:szCs w:val="22"/>
        </w:rPr>
      </w:pPr>
      <w:r>
        <w:rPr>
          <w:rFonts w:ascii="Century Gothic" w:hAnsi="Century Gothic"/>
          <w:color w:val="auto"/>
          <w:sz w:val="22"/>
          <w:szCs w:val="22"/>
        </w:rPr>
        <w:t xml:space="preserve">Cost of liquid fuel </w:t>
      </w:r>
      <w:r w:rsidR="004B15E1">
        <w:rPr>
          <w:rFonts w:ascii="Century Gothic" w:hAnsi="Century Gothic"/>
          <w:color w:val="auto"/>
          <w:sz w:val="22"/>
          <w:szCs w:val="22"/>
        </w:rPr>
        <w:t xml:space="preserve">for gas station </w:t>
      </w:r>
      <w:r>
        <w:rPr>
          <w:rFonts w:ascii="Century Gothic" w:hAnsi="Century Gothic"/>
          <w:color w:val="auto"/>
          <w:sz w:val="22"/>
          <w:szCs w:val="22"/>
        </w:rPr>
        <w:t>for 1/2 month</w:t>
      </w:r>
    </w:p>
    <w:p w:rsidR="00C43BF7" w:rsidRDefault="00C43BF7" w:rsidP="00C43BF7">
      <w:pPr>
        <w:pStyle w:val="Default"/>
        <w:numPr>
          <w:ilvl w:val="0"/>
          <w:numId w:val="15"/>
        </w:numPr>
        <w:spacing w:line="360" w:lineRule="auto"/>
        <w:rPr>
          <w:rFonts w:ascii="Century Gothic" w:hAnsi="Century Gothic"/>
          <w:color w:val="auto"/>
          <w:sz w:val="22"/>
          <w:szCs w:val="22"/>
        </w:rPr>
      </w:pPr>
      <w:r>
        <w:rPr>
          <w:rFonts w:ascii="Century Gothic" w:hAnsi="Century Gothic"/>
          <w:color w:val="auto"/>
          <w:sz w:val="22"/>
          <w:szCs w:val="22"/>
        </w:rPr>
        <w:t>O&amp;M expenses for 1 month</w:t>
      </w:r>
    </w:p>
    <w:p w:rsidR="00C43BF7" w:rsidRDefault="00C43BF7" w:rsidP="00C43BF7">
      <w:pPr>
        <w:pStyle w:val="Default"/>
        <w:numPr>
          <w:ilvl w:val="0"/>
          <w:numId w:val="15"/>
        </w:numPr>
        <w:spacing w:line="360" w:lineRule="auto"/>
        <w:rPr>
          <w:rFonts w:ascii="Century Gothic" w:hAnsi="Century Gothic"/>
          <w:color w:val="auto"/>
          <w:sz w:val="22"/>
          <w:szCs w:val="22"/>
        </w:rPr>
      </w:pPr>
      <w:r>
        <w:rPr>
          <w:rFonts w:ascii="Century Gothic" w:hAnsi="Century Gothic"/>
          <w:color w:val="auto"/>
          <w:sz w:val="22"/>
          <w:szCs w:val="22"/>
        </w:rPr>
        <w:lastRenderedPageBreak/>
        <w:t>Receivables equivalent to 2 months average billing</w:t>
      </w:r>
    </w:p>
    <w:p w:rsidR="00723051" w:rsidRDefault="00723051" w:rsidP="003C37F3">
      <w:pPr>
        <w:pStyle w:val="Default"/>
        <w:numPr>
          <w:ilvl w:val="0"/>
          <w:numId w:val="15"/>
        </w:numPr>
        <w:spacing w:line="360" w:lineRule="auto"/>
        <w:jc w:val="both"/>
        <w:rPr>
          <w:rFonts w:ascii="Century Gothic" w:hAnsi="Century Gothic"/>
          <w:color w:val="auto"/>
          <w:sz w:val="22"/>
          <w:szCs w:val="22"/>
        </w:rPr>
      </w:pPr>
      <w:r>
        <w:rPr>
          <w:rFonts w:ascii="Century Gothic" w:hAnsi="Century Gothic"/>
          <w:color w:val="auto"/>
          <w:sz w:val="22"/>
          <w:szCs w:val="22"/>
        </w:rPr>
        <w:t>Maintenance Spares  @ 30% of the O&amp;M expenses  for gas based plants and 20% for coal based plants ( for FY 2007-08 to FY 20</w:t>
      </w:r>
      <w:r w:rsidR="006E787A">
        <w:rPr>
          <w:rFonts w:ascii="Century Gothic" w:hAnsi="Century Gothic"/>
          <w:color w:val="auto"/>
          <w:sz w:val="22"/>
          <w:szCs w:val="22"/>
        </w:rPr>
        <w:t>11-12</w:t>
      </w:r>
      <w:r>
        <w:rPr>
          <w:rFonts w:ascii="Century Gothic" w:hAnsi="Century Gothic"/>
          <w:color w:val="auto"/>
          <w:sz w:val="22"/>
          <w:szCs w:val="22"/>
        </w:rPr>
        <w:t xml:space="preserve"> @1% of project cost plus escalation</w:t>
      </w:r>
      <w:r w:rsidR="006E787A">
        <w:rPr>
          <w:rFonts w:ascii="Century Gothic" w:hAnsi="Century Gothic"/>
          <w:color w:val="auto"/>
          <w:sz w:val="22"/>
          <w:szCs w:val="22"/>
        </w:rPr>
        <w:t xml:space="preserve"> as approved in Tariff Orders</w:t>
      </w:r>
      <w:r>
        <w:rPr>
          <w:rFonts w:ascii="Century Gothic" w:hAnsi="Century Gothic"/>
          <w:color w:val="auto"/>
          <w:sz w:val="22"/>
          <w:szCs w:val="22"/>
        </w:rPr>
        <w:t>)</w:t>
      </w:r>
    </w:p>
    <w:p w:rsidR="00E27C97" w:rsidRDefault="00E27C97" w:rsidP="00195E8A">
      <w:pPr>
        <w:pStyle w:val="Default"/>
        <w:spacing w:line="360" w:lineRule="auto"/>
        <w:ind w:left="900"/>
        <w:rPr>
          <w:rFonts w:ascii="Century Gothic" w:hAnsi="Century Gothic"/>
          <w:color w:val="auto"/>
          <w:sz w:val="22"/>
          <w:szCs w:val="22"/>
        </w:rPr>
      </w:pPr>
    </w:p>
    <w:p w:rsidR="00996C64" w:rsidRDefault="00996C64" w:rsidP="003F4E36">
      <w:pPr>
        <w:pStyle w:val="Default"/>
        <w:spacing w:line="360" w:lineRule="auto"/>
        <w:ind w:left="540"/>
        <w:jc w:val="both"/>
        <w:rPr>
          <w:rFonts w:ascii="Century Gothic" w:hAnsi="Century Gothic"/>
          <w:color w:val="auto"/>
          <w:sz w:val="22"/>
          <w:szCs w:val="22"/>
        </w:rPr>
      </w:pPr>
      <w:r>
        <w:rPr>
          <w:rFonts w:ascii="Century Gothic" w:hAnsi="Century Gothic"/>
          <w:color w:val="auto"/>
          <w:sz w:val="22"/>
          <w:szCs w:val="22"/>
        </w:rPr>
        <w:t>The petitioner has considered the gener</w:t>
      </w:r>
      <w:r w:rsidR="007D5164">
        <w:rPr>
          <w:rFonts w:ascii="Century Gothic" w:hAnsi="Century Gothic"/>
          <w:color w:val="auto"/>
          <w:sz w:val="22"/>
          <w:szCs w:val="22"/>
        </w:rPr>
        <w:t>ation of two Gas Turbines on liq</w:t>
      </w:r>
      <w:r>
        <w:rPr>
          <w:rFonts w:ascii="Century Gothic" w:hAnsi="Century Gothic"/>
          <w:color w:val="auto"/>
          <w:sz w:val="22"/>
          <w:szCs w:val="22"/>
        </w:rPr>
        <w:t xml:space="preserve">uid fuel </w:t>
      </w:r>
      <w:r w:rsidR="007D5164">
        <w:rPr>
          <w:rFonts w:ascii="Century Gothic" w:hAnsi="Century Gothic"/>
          <w:color w:val="auto"/>
          <w:sz w:val="22"/>
          <w:szCs w:val="22"/>
        </w:rPr>
        <w:t>and other four gas turbines on gas. Accordingly, the</w:t>
      </w:r>
      <w:r w:rsidR="007D7828">
        <w:rPr>
          <w:rFonts w:ascii="Century Gothic" w:hAnsi="Century Gothic"/>
          <w:color w:val="auto"/>
          <w:sz w:val="22"/>
          <w:szCs w:val="22"/>
        </w:rPr>
        <w:t xml:space="preserve"> requirement of 15 days liq</w:t>
      </w:r>
      <w:r w:rsidR="007D5164">
        <w:rPr>
          <w:rFonts w:ascii="Century Gothic" w:hAnsi="Century Gothic"/>
          <w:color w:val="auto"/>
          <w:sz w:val="22"/>
          <w:szCs w:val="22"/>
        </w:rPr>
        <w:t xml:space="preserve">uid fuel </w:t>
      </w:r>
      <w:r w:rsidR="007D7828">
        <w:rPr>
          <w:rFonts w:ascii="Century Gothic" w:hAnsi="Century Gothic"/>
          <w:color w:val="auto"/>
          <w:sz w:val="22"/>
          <w:szCs w:val="22"/>
        </w:rPr>
        <w:t xml:space="preserve">as per the Regulations </w:t>
      </w:r>
      <w:r w:rsidR="007D5164">
        <w:rPr>
          <w:rFonts w:ascii="Century Gothic" w:hAnsi="Century Gothic"/>
          <w:color w:val="auto"/>
          <w:sz w:val="22"/>
          <w:szCs w:val="22"/>
        </w:rPr>
        <w:t xml:space="preserve">has been considered for requirement of working capital </w:t>
      </w:r>
      <w:r w:rsidR="00B01158">
        <w:rPr>
          <w:rFonts w:ascii="Century Gothic" w:hAnsi="Century Gothic"/>
          <w:color w:val="auto"/>
          <w:sz w:val="22"/>
          <w:szCs w:val="22"/>
        </w:rPr>
        <w:t xml:space="preserve">for </w:t>
      </w:r>
      <w:r w:rsidR="00A50FCB">
        <w:rPr>
          <w:sz w:val="22"/>
          <w:szCs w:val="22"/>
        </w:rPr>
        <w:t>FY 2014-15 and extended period FY 2015-16</w:t>
      </w:r>
      <w:r w:rsidR="002A661C">
        <w:rPr>
          <w:rFonts w:ascii="Century Gothic" w:hAnsi="Century Gothic"/>
          <w:color w:val="auto"/>
          <w:sz w:val="22"/>
          <w:szCs w:val="22"/>
        </w:rPr>
        <w:t>.</w:t>
      </w:r>
    </w:p>
    <w:p w:rsidR="00195E8A" w:rsidRDefault="00195E8A" w:rsidP="00195E8A">
      <w:pPr>
        <w:pStyle w:val="Default"/>
        <w:spacing w:line="360" w:lineRule="auto"/>
        <w:ind w:left="540"/>
        <w:jc w:val="both"/>
        <w:rPr>
          <w:rFonts w:ascii="Century Gothic" w:hAnsi="Century Gothic"/>
          <w:color w:val="auto"/>
          <w:sz w:val="22"/>
          <w:szCs w:val="22"/>
        </w:rPr>
      </w:pPr>
    </w:p>
    <w:p w:rsidR="00195E8A" w:rsidRDefault="00195E8A" w:rsidP="003F4E36">
      <w:pPr>
        <w:pStyle w:val="Default"/>
        <w:spacing w:line="360" w:lineRule="auto"/>
        <w:ind w:left="540"/>
        <w:jc w:val="both"/>
        <w:rPr>
          <w:rFonts w:ascii="Century Gothic" w:hAnsi="Century Gothic"/>
          <w:color w:val="auto"/>
          <w:sz w:val="22"/>
          <w:szCs w:val="22"/>
        </w:rPr>
      </w:pPr>
      <w:r>
        <w:rPr>
          <w:rFonts w:ascii="Century Gothic" w:hAnsi="Century Gothic"/>
          <w:color w:val="auto"/>
          <w:sz w:val="22"/>
          <w:szCs w:val="22"/>
        </w:rPr>
        <w:t xml:space="preserve">The petitioner </w:t>
      </w:r>
      <w:r w:rsidR="00D42C62">
        <w:rPr>
          <w:rFonts w:ascii="Century Gothic" w:hAnsi="Century Gothic"/>
          <w:color w:val="auto"/>
          <w:sz w:val="22"/>
          <w:szCs w:val="22"/>
        </w:rPr>
        <w:t>submits</w:t>
      </w:r>
      <w:r>
        <w:rPr>
          <w:rFonts w:ascii="Century Gothic" w:hAnsi="Century Gothic"/>
          <w:color w:val="auto"/>
          <w:sz w:val="22"/>
          <w:szCs w:val="22"/>
        </w:rPr>
        <w:t xml:space="preserve"> that the fuel cost has increased </w:t>
      </w:r>
      <w:r w:rsidR="009D6C86">
        <w:rPr>
          <w:rFonts w:ascii="Century Gothic" w:hAnsi="Century Gothic"/>
          <w:color w:val="auto"/>
          <w:sz w:val="22"/>
          <w:szCs w:val="22"/>
        </w:rPr>
        <w:t>steeply</w:t>
      </w:r>
      <w:r>
        <w:rPr>
          <w:rFonts w:ascii="Century Gothic" w:hAnsi="Century Gothic"/>
          <w:color w:val="auto"/>
          <w:sz w:val="22"/>
          <w:szCs w:val="22"/>
        </w:rPr>
        <w:t xml:space="preserve"> </w:t>
      </w:r>
      <w:r w:rsidR="00E5518C">
        <w:rPr>
          <w:rFonts w:ascii="Century Gothic" w:hAnsi="Century Gothic"/>
          <w:color w:val="auto"/>
          <w:sz w:val="22"/>
          <w:szCs w:val="22"/>
        </w:rPr>
        <w:t>since November, 2014</w:t>
      </w:r>
      <w:r>
        <w:rPr>
          <w:rFonts w:ascii="Century Gothic" w:hAnsi="Century Gothic"/>
          <w:color w:val="auto"/>
          <w:sz w:val="22"/>
          <w:szCs w:val="22"/>
        </w:rPr>
        <w:t xml:space="preserve">. The Hon'ble Commission has determined the cost of fuel for 1 month and receivables equivalent of 2 months in working capital requirement based upon the initial gas price. This increase in prices of fuel </w:t>
      </w:r>
      <w:r w:rsidR="000E1141">
        <w:rPr>
          <w:rFonts w:ascii="Century Gothic" w:hAnsi="Century Gothic"/>
          <w:color w:val="auto"/>
          <w:sz w:val="22"/>
          <w:szCs w:val="22"/>
        </w:rPr>
        <w:t>had substantial</w:t>
      </w:r>
      <w:r>
        <w:rPr>
          <w:rFonts w:ascii="Century Gothic" w:hAnsi="Century Gothic"/>
          <w:color w:val="auto"/>
          <w:sz w:val="22"/>
          <w:szCs w:val="22"/>
        </w:rPr>
        <w:t xml:space="preserve"> impact on </w:t>
      </w:r>
      <w:r w:rsidR="000E1141">
        <w:rPr>
          <w:rFonts w:ascii="Century Gothic" w:hAnsi="Century Gothic"/>
          <w:color w:val="auto"/>
          <w:sz w:val="22"/>
          <w:szCs w:val="22"/>
        </w:rPr>
        <w:t>certain components considered in</w:t>
      </w:r>
      <w:r>
        <w:rPr>
          <w:rFonts w:ascii="Century Gothic" w:hAnsi="Century Gothic"/>
          <w:color w:val="auto"/>
          <w:sz w:val="22"/>
          <w:szCs w:val="22"/>
        </w:rPr>
        <w:t xml:space="preserve"> the computation of working capital and resultantly</w:t>
      </w:r>
      <w:r w:rsidR="004B15E1">
        <w:rPr>
          <w:rFonts w:ascii="Century Gothic" w:hAnsi="Century Gothic"/>
          <w:color w:val="auto"/>
          <w:sz w:val="22"/>
          <w:szCs w:val="22"/>
        </w:rPr>
        <w:t>,</w:t>
      </w:r>
      <w:r>
        <w:rPr>
          <w:rFonts w:ascii="Century Gothic" w:hAnsi="Century Gothic"/>
          <w:color w:val="auto"/>
          <w:sz w:val="22"/>
          <w:szCs w:val="22"/>
        </w:rPr>
        <w:t xml:space="preserve"> the interest on working capital has considerably increased in comparison to the </w:t>
      </w:r>
      <w:r w:rsidR="003F4E36">
        <w:rPr>
          <w:rFonts w:ascii="Century Gothic" w:hAnsi="Century Gothic"/>
          <w:color w:val="auto"/>
          <w:sz w:val="22"/>
          <w:szCs w:val="22"/>
        </w:rPr>
        <w:t>interest allowed</w:t>
      </w:r>
      <w:r>
        <w:rPr>
          <w:rFonts w:ascii="Century Gothic" w:hAnsi="Century Gothic"/>
          <w:color w:val="auto"/>
          <w:sz w:val="22"/>
          <w:szCs w:val="22"/>
        </w:rPr>
        <w:t xml:space="preserve"> by the Commission. </w:t>
      </w:r>
    </w:p>
    <w:p w:rsidR="00E27C97" w:rsidRDefault="00E27C97" w:rsidP="003F4E36">
      <w:pPr>
        <w:pStyle w:val="Default"/>
        <w:spacing w:line="360" w:lineRule="auto"/>
        <w:ind w:left="540"/>
        <w:jc w:val="both"/>
        <w:rPr>
          <w:rFonts w:ascii="Century Gothic" w:hAnsi="Century Gothic"/>
          <w:color w:val="auto"/>
          <w:sz w:val="22"/>
          <w:szCs w:val="22"/>
        </w:rPr>
      </w:pPr>
    </w:p>
    <w:p w:rsidR="00260A3E" w:rsidRDefault="00554A78" w:rsidP="003F4E36">
      <w:pPr>
        <w:pStyle w:val="Default"/>
        <w:spacing w:line="360" w:lineRule="auto"/>
        <w:ind w:left="540"/>
        <w:jc w:val="both"/>
        <w:rPr>
          <w:rFonts w:ascii="Century Gothic" w:hAnsi="Century Gothic"/>
          <w:color w:val="auto"/>
          <w:sz w:val="22"/>
          <w:szCs w:val="22"/>
        </w:rPr>
      </w:pPr>
      <w:r>
        <w:rPr>
          <w:rFonts w:ascii="Century Gothic" w:hAnsi="Century Gothic"/>
          <w:color w:val="auto"/>
          <w:sz w:val="22"/>
          <w:szCs w:val="22"/>
        </w:rPr>
        <w:t xml:space="preserve">As per the clause 6.27 of Regulations, 2011, the </w:t>
      </w:r>
      <w:r w:rsidR="005A061F">
        <w:rPr>
          <w:rFonts w:ascii="Century Gothic" w:hAnsi="Century Gothic"/>
          <w:color w:val="auto"/>
          <w:sz w:val="22"/>
          <w:szCs w:val="22"/>
        </w:rPr>
        <w:t xml:space="preserve">cost of fuel for the purpose of computation of working capital requirement, </w:t>
      </w:r>
      <w:r w:rsidR="008F1B28">
        <w:rPr>
          <w:rFonts w:ascii="Century Gothic" w:hAnsi="Century Gothic"/>
          <w:color w:val="auto"/>
          <w:sz w:val="22"/>
          <w:szCs w:val="22"/>
        </w:rPr>
        <w:t>shall</w:t>
      </w:r>
      <w:r w:rsidR="005A061F">
        <w:rPr>
          <w:rFonts w:ascii="Century Gothic" w:hAnsi="Century Gothic"/>
          <w:color w:val="auto"/>
          <w:sz w:val="22"/>
          <w:szCs w:val="22"/>
        </w:rPr>
        <w:t xml:space="preserve"> be based on the fuel prices prevailing during the three months preceding the first month for which tariff i</w:t>
      </w:r>
      <w:r w:rsidR="00A565E7">
        <w:rPr>
          <w:rFonts w:ascii="Century Gothic" w:hAnsi="Century Gothic"/>
          <w:color w:val="auto"/>
          <w:sz w:val="22"/>
          <w:szCs w:val="22"/>
        </w:rPr>
        <w:t>s</w:t>
      </w:r>
      <w:r w:rsidR="005A061F">
        <w:rPr>
          <w:rFonts w:ascii="Century Gothic" w:hAnsi="Century Gothic"/>
          <w:color w:val="auto"/>
          <w:sz w:val="22"/>
          <w:szCs w:val="22"/>
        </w:rPr>
        <w:t xml:space="preserve"> to </w:t>
      </w:r>
      <w:r w:rsidR="00720110">
        <w:rPr>
          <w:rFonts w:ascii="Century Gothic" w:hAnsi="Century Gothic"/>
          <w:color w:val="auto"/>
          <w:sz w:val="22"/>
          <w:szCs w:val="22"/>
        </w:rPr>
        <w:t xml:space="preserve">be </w:t>
      </w:r>
      <w:r w:rsidR="00A565E7">
        <w:rPr>
          <w:rFonts w:ascii="Century Gothic" w:hAnsi="Century Gothic"/>
          <w:color w:val="auto"/>
          <w:sz w:val="22"/>
          <w:szCs w:val="22"/>
        </w:rPr>
        <w:t>determined i.e</w:t>
      </w:r>
      <w:r w:rsidR="005A061F">
        <w:rPr>
          <w:rFonts w:ascii="Century Gothic" w:hAnsi="Century Gothic"/>
          <w:color w:val="auto"/>
          <w:sz w:val="22"/>
          <w:szCs w:val="22"/>
        </w:rPr>
        <w:t xml:space="preserve">. </w:t>
      </w:r>
      <w:r w:rsidR="00720110">
        <w:rPr>
          <w:rFonts w:ascii="Century Gothic" w:hAnsi="Century Gothic"/>
          <w:color w:val="auto"/>
          <w:sz w:val="22"/>
          <w:szCs w:val="22"/>
        </w:rPr>
        <w:t>January to March, 2015</w:t>
      </w:r>
      <w:r w:rsidR="005A061F">
        <w:rPr>
          <w:rFonts w:ascii="Century Gothic" w:hAnsi="Century Gothic"/>
          <w:color w:val="auto"/>
          <w:sz w:val="22"/>
          <w:szCs w:val="22"/>
        </w:rPr>
        <w:t xml:space="preserve">. </w:t>
      </w:r>
      <w:r w:rsidR="00B43C2A">
        <w:rPr>
          <w:rFonts w:ascii="Century Gothic" w:hAnsi="Century Gothic"/>
          <w:color w:val="auto"/>
          <w:sz w:val="22"/>
          <w:szCs w:val="22"/>
        </w:rPr>
        <w:t xml:space="preserve">The petitioner for the purpose of submitting this ARR has considered the fuel prices prevailing during the month of </w:t>
      </w:r>
      <w:r w:rsidR="009D1665">
        <w:rPr>
          <w:rFonts w:ascii="Century Gothic" w:hAnsi="Century Gothic"/>
          <w:color w:val="auto"/>
          <w:sz w:val="22"/>
          <w:szCs w:val="22"/>
        </w:rPr>
        <w:t>October, 2014 to December, 2014</w:t>
      </w:r>
      <w:r w:rsidR="00B43C2A">
        <w:rPr>
          <w:rFonts w:ascii="Century Gothic" w:hAnsi="Century Gothic"/>
          <w:color w:val="auto"/>
          <w:sz w:val="22"/>
          <w:szCs w:val="22"/>
        </w:rPr>
        <w:t xml:space="preserve">.  </w:t>
      </w:r>
      <w:r w:rsidR="005A061F">
        <w:rPr>
          <w:rFonts w:ascii="Century Gothic" w:hAnsi="Century Gothic"/>
          <w:color w:val="auto"/>
          <w:sz w:val="22"/>
          <w:szCs w:val="22"/>
        </w:rPr>
        <w:t xml:space="preserve">The </w:t>
      </w:r>
      <w:r w:rsidR="00B43C2A">
        <w:rPr>
          <w:rFonts w:ascii="Century Gothic" w:hAnsi="Century Gothic"/>
          <w:color w:val="auto"/>
          <w:sz w:val="22"/>
          <w:szCs w:val="22"/>
        </w:rPr>
        <w:t>petitioner will submit the desire</w:t>
      </w:r>
      <w:r w:rsidR="00074EDD">
        <w:rPr>
          <w:rFonts w:ascii="Century Gothic" w:hAnsi="Century Gothic"/>
          <w:color w:val="auto"/>
          <w:sz w:val="22"/>
          <w:szCs w:val="22"/>
        </w:rPr>
        <w:t>d</w:t>
      </w:r>
      <w:r w:rsidR="00B43C2A">
        <w:rPr>
          <w:rFonts w:ascii="Century Gothic" w:hAnsi="Century Gothic"/>
          <w:color w:val="auto"/>
          <w:sz w:val="22"/>
          <w:szCs w:val="22"/>
        </w:rPr>
        <w:t xml:space="preserve"> data of fuel prices for January to March-201</w:t>
      </w:r>
      <w:r w:rsidR="001F2567">
        <w:rPr>
          <w:rFonts w:ascii="Century Gothic" w:hAnsi="Century Gothic"/>
          <w:color w:val="auto"/>
          <w:sz w:val="22"/>
          <w:szCs w:val="22"/>
        </w:rPr>
        <w:t>4</w:t>
      </w:r>
      <w:r w:rsidR="00B43C2A">
        <w:rPr>
          <w:rFonts w:ascii="Century Gothic" w:hAnsi="Century Gothic"/>
          <w:color w:val="auto"/>
          <w:sz w:val="22"/>
          <w:szCs w:val="22"/>
        </w:rPr>
        <w:t xml:space="preserve"> in due course </w:t>
      </w:r>
      <w:r w:rsidR="00720110">
        <w:rPr>
          <w:rFonts w:ascii="Century Gothic" w:hAnsi="Century Gothic"/>
          <w:color w:val="auto"/>
          <w:sz w:val="22"/>
          <w:szCs w:val="22"/>
        </w:rPr>
        <w:t xml:space="preserve">and at the </w:t>
      </w:r>
      <w:r w:rsidR="00B43C2A">
        <w:rPr>
          <w:rFonts w:ascii="Century Gothic" w:hAnsi="Century Gothic"/>
          <w:color w:val="auto"/>
          <w:sz w:val="22"/>
          <w:szCs w:val="22"/>
        </w:rPr>
        <w:t xml:space="preserve">time </w:t>
      </w:r>
      <w:r w:rsidR="00720110">
        <w:rPr>
          <w:rFonts w:ascii="Century Gothic" w:hAnsi="Century Gothic"/>
          <w:color w:val="auto"/>
          <w:sz w:val="22"/>
          <w:szCs w:val="22"/>
        </w:rPr>
        <w:t>of</w:t>
      </w:r>
      <w:r w:rsidR="00B43C2A">
        <w:rPr>
          <w:rFonts w:ascii="Century Gothic" w:hAnsi="Century Gothic"/>
          <w:color w:val="auto"/>
          <w:sz w:val="22"/>
          <w:szCs w:val="22"/>
        </w:rPr>
        <w:t xml:space="preserve"> the purpose of determination of final tariff.</w:t>
      </w:r>
      <w:r w:rsidR="00846A1B">
        <w:rPr>
          <w:rFonts w:ascii="Century Gothic" w:hAnsi="Century Gothic"/>
          <w:color w:val="auto"/>
          <w:sz w:val="22"/>
          <w:szCs w:val="22"/>
        </w:rPr>
        <w:t xml:space="preserve"> </w:t>
      </w:r>
    </w:p>
    <w:p w:rsidR="00D74627" w:rsidRDefault="00D74627" w:rsidP="003F4E36">
      <w:pPr>
        <w:pStyle w:val="Default"/>
        <w:spacing w:line="360" w:lineRule="auto"/>
        <w:ind w:left="540"/>
        <w:jc w:val="both"/>
        <w:rPr>
          <w:rFonts w:ascii="Century Gothic" w:hAnsi="Century Gothic"/>
          <w:color w:val="auto"/>
          <w:sz w:val="22"/>
          <w:szCs w:val="22"/>
        </w:rPr>
      </w:pPr>
    </w:p>
    <w:p w:rsidR="00723051" w:rsidRDefault="00260A3E" w:rsidP="003F4E36">
      <w:pPr>
        <w:pStyle w:val="Default"/>
        <w:spacing w:line="360" w:lineRule="auto"/>
        <w:ind w:left="540"/>
        <w:jc w:val="both"/>
        <w:rPr>
          <w:rFonts w:ascii="Century Gothic" w:hAnsi="Century Gothic"/>
          <w:color w:val="auto"/>
          <w:sz w:val="20"/>
          <w:szCs w:val="20"/>
        </w:rPr>
      </w:pPr>
      <w:r>
        <w:rPr>
          <w:rFonts w:ascii="Century Gothic" w:hAnsi="Century Gothic"/>
          <w:color w:val="auto"/>
          <w:sz w:val="22"/>
          <w:szCs w:val="22"/>
        </w:rPr>
        <w:t>The rate of Interest for FY 2012-13 to FY 2014-15 has been computed in line with the Generation Tariff Regulations, 2011. The base Rate</w:t>
      </w:r>
      <w:r w:rsidR="00554A78">
        <w:rPr>
          <w:rFonts w:ascii="Century Gothic" w:hAnsi="Century Gothic"/>
          <w:color w:val="auto"/>
          <w:sz w:val="22"/>
          <w:szCs w:val="22"/>
        </w:rPr>
        <w:t xml:space="preserve"> </w:t>
      </w:r>
      <w:r>
        <w:rPr>
          <w:rFonts w:ascii="Century Gothic" w:hAnsi="Century Gothic"/>
          <w:color w:val="auto"/>
          <w:sz w:val="22"/>
          <w:szCs w:val="22"/>
        </w:rPr>
        <w:t>of State Bank of India</w:t>
      </w:r>
      <w:r w:rsidR="00E82134">
        <w:rPr>
          <w:rFonts w:ascii="Century Gothic" w:hAnsi="Century Gothic"/>
          <w:color w:val="auto"/>
          <w:sz w:val="22"/>
          <w:szCs w:val="22"/>
        </w:rPr>
        <w:t xml:space="preserve"> is 10% w.e.f 07.11.2013</w:t>
      </w:r>
      <w:r>
        <w:rPr>
          <w:rFonts w:ascii="Century Gothic" w:hAnsi="Century Gothic"/>
          <w:color w:val="auto"/>
          <w:sz w:val="22"/>
          <w:szCs w:val="22"/>
        </w:rPr>
        <w:t xml:space="preserve">. </w:t>
      </w:r>
      <w:r w:rsidRPr="009F0088">
        <w:rPr>
          <w:rFonts w:ascii="Century Gothic" w:hAnsi="Century Gothic"/>
          <w:color w:val="auto"/>
          <w:sz w:val="22"/>
          <w:szCs w:val="22"/>
        </w:rPr>
        <w:t xml:space="preserve">The rate of Interest for FY 2012-13 to FY 2014-15 is computed as 13.5% by additionally allowing 350 basis points </w:t>
      </w:r>
      <w:r w:rsidR="004C0F12" w:rsidRPr="009F0088">
        <w:rPr>
          <w:rFonts w:ascii="Century Gothic" w:hAnsi="Century Gothic"/>
          <w:color w:val="auto"/>
          <w:sz w:val="22"/>
          <w:szCs w:val="22"/>
        </w:rPr>
        <w:t>o</w:t>
      </w:r>
      <w:r w:rsidRPr="009F0088">
        <w:rPr>
          <w:rFonts w:ascii="Century Gothic" w:hAnsi="Century Gothic"/>
          <w:color w:val="auto"/>
          <w:sz w:val="22"/>
          <w:szCs w:val="22"/>
        </w:rPr>
        <w:t xml:space="preserve">n base rate of SBI.  </w:t>
      </w:r>
      <w:r w:rsidR="00723051" w:rsidRPr="00D6786E">
        <w:rPr>
          <w:rFonts w:ascii="Century Gothic" w:hAnsi="Century Gothic"/>
          <w:color w:val="auto"/>
          <w:sz w:val="22"/>
          <w:szCs w:val="22"/>
        </w:rPr>
        <w:t>The interest on working capital during the Control period from FY 201</w:t>
      </w:r>
      <w:r w:rsidR="00DA2AAD">
        <w:rPr>
          <w:rFonts w:ascii="Century Gothic" w:hAnsi="Century Gothic"/>
          <w:color w:val="auto"/>
          <w:sz w:val="22"/>
          <w:szCs w:val="22"/>
        </w:rPr>
        <w:t>2-13 to FY 2014-15</w:t>
      </w:r>
      <w:r w:rsidR="00723051">
        <w:rPr>
          <w:rFonts w:ascii="Century Gothic" w:hAnsi="Century Gothic"/>
          <w:color w:val="auto"/>
          <w:sz w:val="22"/>
          <w:szCs w:val="22"/>
        </w:rPr>
        <w:t xml:space="preserve"> </w:t>
      </w:r>
      <w:r w:rsidR="006B1AB0">
        <w:rPr>
          <w:rFonts w:ascii="Century Gothic" w:hAnsi="Century Gothic"/>
          <w:color w:val="auto"/>
          <w:sz w:val="22"/>
          <w:szCs w:val="22"/>
        </w:rPr>
        <w:t xml:space="preserve"> and extended period 2015-16 </w:t>
      </w:r>
      <w:r w:rsidR="00723051">
        <w:rPr>
          <w:rFonts w:ascii="Century Gothic" w:hAnsi="Century Gothic"/>
          <w:color w:val="auto"/>
          <w:sz w:val="22"/>
          <w:szCs w:val="22"/>
        </w:rPr>
        <w:t xml:space="preserve">is </w:t>
      </w:r>
      <w:r w:rsidR="0013482D">
        <w:rPr>
          <w:rFonts w:ascii="Century Gothic" w:hAnsi="Century Gothic"/>
          <w:color w:val="auto"/>
          <w:sz w:val="22"/>
          <w:szCs w:val="22"/>
        </w:rPr>
        <w:t xml:space="preserve">summarized </w:t>
      </w:r>
      <w:r w:rsidR="00723051">
        <w:rPr>
          <w:rFonts w:ascii="Century Gothic" w:hAnsi="Century Gothic"/>
          <w:color w:val="auto"/>
          <w:sz w:val="22"/>
          <w:szCs w:val="22"/>
        </w:rPr>
        <w:t>as under:</w:t>
      </w:r>
      <w:r w:rsidR="00723051" w:rsidRPr="00D6786E">
        <w:rPr>
          <w:rFonts w:ascii="Century Gothic" w:hAnsi="Century Gothic"/>
          <w:color w:val="auto"/>
          <w:sz w:val="22"/>
          <w:szCs w:val="22"/>
        </w:rPr>
        <w:t xml:space="preserve"> </w:t>
      </w:r>
    </w:p>
    <w:p w:rsidR="00C43BF7" w:rsidRPr="00E7223A" w:rsidRDefault="00E7223A" w:rsidP="00E7223A">
      <w:pPr>
        <w:pStyle w:val="Caption"/>
        <w:jc w:val="center"/>
      </w:pPr>
      <w:bookmarkStart w:id="91" w:name="_Toc173941717"/>
      <w:bookmarkStart w:id="92" w:name="_Toc174434530"/>
      <w:bookmarkStart w:id="93" w:name="_Toc411604012"/>
      <w:r>
        <w:lastRenderedPageBreak/>
        <w:t xml:space="preserve">Table </w:t>
      </w:r>
      <w:fldSimple w:instr=" SEQ Table \* ARABIC ">
        <w:r w:rsidR="002326CE">
          <w:rPr>
            <w:noProof/>
          </w:rPr>
          <w:t>35</w:t>
        </w:r>
      </w:fldSimple>
      <w:r>
        <w:t xml:space="preserve"> : </w:t>
      </w:r>
      <w:r w:rsidR="00C43BF7" w:rsidRPr="00E7223A">
        <w:t>Interest on Working Capital</w:t>
      </w:r>
      <w:bookmarkEnd w:id="91"/>
      <w:bookmarkEnd w:id="92"/>
      <w:bookmarkEnd w:id="93"/>
    </w:p>
    <w:tbl>
      <w:tblPr>
        <w:tblW w:w="7042" w:type="dxa"/>
        <w:jc w:val="center"/>
        <w:tblLook w:val="0000"/>
      </w:tblPr>
      <w:tblGrid>
        <w:gridCol w:w="2939"/>
        <w:gridCol w:w="929"/>
        <w:gridCol w:w="929"/>
        <w:gridCol w:w="929"/>
        <w:gridCol w:w="1316"/>
      </w:tblGrid>
      <w:tr w:rsidR="006B1AB0" w:rsidTr="0087497F">
        <w:trPr>
          <w:trHeight w:val="541"/>
          <w:jc w:val="center"/>
        </w:trPr>
        <w:tc>
          <w:tcPr>
            <w:tcW w:w="2938"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6B1AB0" w:rsidRDefault="006B1AB0" w:rsidP="002978CF">
            <w:pPr>
              <w:spacing w:line="240" w:lineRule="auto"/>
              <w:rPr>
                <w:b/>
                <w:bCs/>
                <w:color w:val="FFFFFF"/>
                <w:sz w:val="20"/>
                <w:szCs w:val="20"/>
              </w:rPr>
            </w:pPr>
            <w:r>
              <w:rPr>
                <w:b/>
                <w:bCs/>
                <w:color w:val="FFFFFF"/>
                <w:sz w:val="20"/>
                <w:szCs w:val="20"/>
              </w:rPr>
              <w:t xml:space="preserve">Particulars </w:t>
            </w:r>
          </w:p>
          <w:p w:rsidR="006B1AB0" w:rsidRDefault="006B1AB0" w:rsidP="002978CF">
            <w:pPr>
              <w:spacing w:line="240" w:lineRule="auto"/>
              <w:rPr>
                <w:b/>
                <w:bCs/>
                <w:color w:val="FFFFFF"/>
                <w:sz w:val="20"/>
                <w:szCs w:val="20"/>
              </w:rPr>
            </w:pPr>
            <w:r>
              <w:rPr>
                <w:b/>
                <w:bCs/>
                <w:color w:val="FFFFFF"/>
                <w:sz w:val="20"/>
                <w:szCs w:val="20"/>
              </w:rPr>
              <w:t>(Rs. Crores)</w:t>
            </w:r>
          </w:p>
        </w:tc>
        <w:tc>
          <w:tcPr>
            <w:tcW w:w="1026" w:type="dxa"/>
            <w:tcBorders>
              <w:top w:val="single" w:sz="4" w:space="0" w:color="auto"/>
              <w:left w:val="nil"/>
              <w:bottom w:val="single" w:sz="4" w:space="0" w:color="auto"/>
              <w:right w:val="single" w:sz="4" w:space="0" w:color="auto"/>
            </w:tcBorders>
            <w:shd w:val="clear" w:color="auto" w:fill="000080"/>
            <w:vAlign w:val="center"/>
          </w:tcPr>
          <w:p w:rsidR="006B1AB0" w:rsidRDefault="006B1AB0" w:rsidP="00437C4E">
            <w:pPr>
              <w:spacing w:line="240" w:lineRule="auto"/>
              <w:rPr>
                <w:rFonts w:cs="Arial"/>
                <w:b/>
                <w:bCs/>
                <w:sz w:val="20"/>
                <w:szCs w:val="20"/>
              </w:rPr>
            </w:pPr>
            <w:r>
              <w:rPr>
                <w:rFonts w:cs="Arial"/>
                <w:b/>
                <w:bCs/>
                <w:sz w:val="20"/>
                <w:szCs w:val="20"/>
              </w:rPr>
              <w:t>12-13</w:t>
            </w:r>
          </w:p>
        </w:tc>
        <w:tc>
          <w:tcPr>
            <w:tcW w:w="1026" w:type="dxa"/>
            <w:tcBorders>
              <w:top w:val="single" w:sz="4" w:space="0" w:color="auto"/>
              <w:left w:val="single" w:sz="4" w:space="0" w:color="auto"/>
              <w:bottom w:val="single" w:sz="4" w:space="0" w:color="auto"/>
              <w:right w:val="single" w:sz="4" w:space="0" w:color="auto"/>
            </w:tcBorders>
            <w:shd w:val="clear" w:color="auto" w:fill="000080"/>
            <w:vAlign w:val="center"/>
          </w:tcPr>
          <w:p w:rsidR="006B1AB0" w:rsidRDefault="006B1AB0" w:rsidP="00437C4E">
            <w:pPr>
              <w:spacing w:line="240" w:lineRule="auto"/>
              <w:rPr>
                <w:rFonts w:cs="Arial"/>
                <w:b/>
                <w:bCs/>
                <w:sz w:val="20"/>
                <w:szCs w:val="20"/>
              </w:rPr>
            </w:pPr>
            <w:r>
              <w:rPr>
                <w:rFonts w:cs="Arial"/>
                <w:b/>
                <w:bCs/>
                <w:sz w:val="20"/>
                <w:szCs w:val="20"/>
              </w:rPr>
              <w:t>13-14</w:t>
            </w:r>
          </w:p>
        </w:tc>
        <w:tc>
          <w:tcPr>
            <w:tcW w:w="1026" w:type="dxa"/>
            <w:tcBorders>
              <w:top w:val="single" w:sz="4" w:space="0" w:color="auto"/>
              <w:left w:val="single" w:sz="4" w:space="0" w:color="auto"/>
              <w:bottom w:val="single" w:sz="4" w:space="0" w:color="auto"/>
              <w:right w:val="single" w:sz="4" w:space="0" w:color="auto"/>
            </w:tcBorders>
            <w:shd w:val="clear" w:color="auto" w:fill="000080"/>
            <w:vAlign w:val="center"/>
          </w:tcPr>
          <w:p w:rsidR="006B1AB0" w:rsidRDefault="006B1AB0" w:rsidP="00437C4E">
            <w:pPr>
              <w:spacing w:line="240" w:lineRule="auto"/>
              <w:rPr>
                <w:rFonts w:cs="Arial"/>
                <w:b/>
                <w:bCs/>
                <w:sz w:val="20"/>
                <w:szCs w:val="20"/>
              </w:rPr>
            </w:pPr>
            <w:r>
              <w:rPr>
                <w:rFonts w:cs="Arial"/>
                <w:b/>
                <w:bCs/>
                <w:sz w:val="20"/>
                <w:szCs w:val="20"/>
              </w:rPr>
              <w:t>14-15</w:t>
            </w:r>
          </w:p>
        </w:tc>
        <w:tc>
          <w:tcPr>
            <w:tcW w:w="1026"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F71DD6" w:rsidRDefault="00F71DD6" w:rsidP="00F71DD6">
            <w:pPr>
              <w:spacing w:line="240" w:lineRule="auto"/>
              <w:jc w:val="center"/>
              <w:rPr>
                <w:b/>
                <w:sz w:val="22"/>
                <w:szCs w:val="22"/>
              </w:rPr>
            </w:pPr>
            <w:r>
              <w:rPr>
                <w:b/>
                <w:sz w:val="22"/>
                <w:szCs w:val="22"/>
              </w:rPr>
              <w:t>15-16</w:t>
            </w:r>
          </w:p>
          <w:p w:rsidR="006B1AB0" w:rsidRDefault="00F71DD6" w:rsidP="00F71DD6">
            <w:pPr>
              <w:spacing w:line="240" w:lineRule="auto"/>
              <w:rPr>
                <w:b/>
                <w:bCs/>
                <w:color w:val="FFFFFF"/>
                <w:sz w:val="20"/>
                <w:szCs w:val="20"/>
              </w:rPr>
            </w:pPr>
            <w:r>
              <w:rPr>
                <w:b/>
                <w:sz w:val="22"/>
                <w:szCs w:val="22"/>
              </w:rPr>
              <w:t>(</w:t>
            </w:r>
            <w:r w:rsidRPr="00F71DD6">
              <w:rPr>
                <w:rFonts w:cs="Arial"/>
                <w:b/>
                <w:bCs/>
                <w:sz w:val="20"/>
                <w:szCs w:val="20"/>
              </w:rPr>
              <w:t>Estimated)</w:t>
            </w:r>
          </w:p>
        </w:tc>
      </w:tr>
      <w:tr w:rsidR="006B1AB0" w:rsidTr="0087497F">
        <w:trPr>
          <w:trHeight w:val="500"/>
          <w:jc w:val="center"/>
        </w:trPr>
        <w:tc>
          <w:tcPr>
            <w:tcW w:w="2938" w:type="dxa"/>
            <w:tcBorders>
              <w:top w:val="nil"/>
              <w:left w:val="single" w:sz="4" w:space="0" w:color="auto"/>
              <w:bottom w:val="single" w:sz="4" w:space="0" w:color="auto"/>
              <w:right w:val="single" w:sz="4" w:space="0" w:color="auto"/>
            </w:tcBorders>
            <w:shd w:val="clear" w:color="auto" w:fill="auto"/>
            <w:noWrap/>
            <w:vAlign w:val="center"/>
          </w:tcPr>
          <w:p w:rsidR="006B1AB0" w:rsidRPr="006B23F2" w:rsidRDefault="006B1AB0" w:rsidP="002978CF">
            <w:pPr>
              <w:spacing w:line="240" w:lineRule="auto"/>
              <w:rPr>
                <w:sz w:val="20"/>
                <w:szCs w:val="20"/>
              </w:rPr>
            </w:pPr>
            <w:r w:rsidRPr="006B23F2">
              <w:rPr>
                <w:sz w:val="20"/>
                <w:szCs w:val="20"/>
              </w:rPr>
              <w:t>For RPH</w:t>
            </w:r>
          </w:p>
        </w:tc>
        <w:tc>
          <w:tcPr>
            <w:tcW w:w="1026" w:type="dxa"/>
            <w:tcBorders>
              <w:top w:val="single" w:sz="4" w:space="0" w:color="auto"/>
              <w:left w:val="nil"/>
              <w:bottom w:val="single" w:sz="4" w:space="0" w:color="auto"/>
              <w:right w:val="single" w:sz="4" w:space="0" w:color="auto"/>
            </w:tcBorders>
            <w:vAlign w:val="center"/>
          </w:tcPr>
          <w:p w:rsidR="006B1AB0" w:rsidRPr="00244035" w:rsidRDefault="00244035" w:rsidP="00437C4E">
            <w:pPr>
              <w:spacing w:line="240" w:lineRule="auto"/>
              <w:jc w:val="center"/>
              <w:rPr>
                <w:sz w:val="20"/>
                <w:szCs w:val="20"/>
              </w:rPr>
            </w:pPr>
            <w:r w:rsidRPr="00244035">
              <w:rPr>
                <w:sz w:val="20"/>
                <w:szCs w:val="20"/>
              </w:rPr>
              <w:t>16.33</w:t>
            </w:r>
          </w:p>
        </w:tc>
        <w:tc>
          <w:tcPr>
            <w:tcW w:w="1026" w:type="dxa"/>
            <w:tcBorders>
              <w:top w:val="single" w:sz="4" w:space="0" w:color="auto"/>
              <w:left w:val="single" w:sz="4" w:space="0" w:color="auto"/>
              <w:bottom w:val="single" w:sz="4" w:space="0" w:color="auto"/>
              <w:right w:val="single" w:sz="4" w:space="0" w:color="auto"/>
            </w:tcBorders>
            <w:vAlign w:val="center"/>
          </w:tcPr>
          <w:p w:rsidR="006B1AB0" w:rsidRPr="00244035" w:rsidRDefault="00244035" w:rsidP="00437C4E">
            <w:pPr>
              <w:spacing w:line="240" w:lineRule="auto"/>
              <w:jc w:val="center"/>
              <w:rPr>
                <w:sz w:val="20"/>
                <w:szCs w:val="20"/>
              </w:rPr>
            </w:pPr>
            <w:r w:rsidRPr="00244035">
              <w:rPr>
                <w:sz w:val="20"/>
                <w:szCs w:val="20"/>
              </w:rPr>
              <w:t>11.39</w:t>
            </w:r>
          </w:p>
        </w:tc>
        <w:tc>
          <w:tcPr>
            <w:tcW w:w="1026" w:type="dxa"/>
            <w:tcBorders>
              <w:top w:val="single" w:sz="4" w:space="0" w:color="auto"/>
              <w:left w:val="single" w:sz="4" w:space="0" w:color="auto"/>
              <w:bottom w:val="single" w:sz="4" w:space="0" w:color="auto"/>
              <w:right w:val="single" w:sz="4" w:space="0" w:color="auto"/>
            </w:tcBorders>
            <w:vAlign w:val="center"/>
          </w:tcPr>
          <w:p w:rsidR="006B1AB0" w:rsidRPr="00244035" w:rsidRDefault="00244035" w:rsidP="00437C4E">
            <w:pPr>
              <w:spacing w:line="240" w:lineRule="auto"/>
              <w:jc w:val="center"/>
              <w:rPr>
                <w:sz w:val="20"/>
                <w:szCs w:val="20"/>
              </w:rPr>
            </w:pPr>
            <w:r w:rsidRPr="00244035">
              <w:rPr>
                <w:sz w:val="20"/>
                <w:szCs w:val="20"/>
              </w:rPr>
              <w:t>19.67</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AB0" w:rsidRPr="00244035" w:rsidRDefault="00244035" w:rsidP="00815E3E">
            <w:pPr>
              <w:spacing w:line="240" w:lineRule="auto"/>
              <w:jc w:val="center"/>
              <w:rPr>
                <w:sz w:val="20"/>
                <w:szCs w:val="20"/>
              </w:rPr>
            </w:pPr>
            <w:r w:rsidRPr="00244035">
              <w:rPr>
                <w:sz w:val="20"/>
                <w:szCs w:val="20"/>
              </w:rPr>
              <w:t>20.</w:t>
            </w:r>
            <w:r w:rsidR="00815E3E">
              <w:rPr>
                <w:sz w:val="20"/>
                <w:szCs w:val="20"/>
              </w:rPr>
              <w:t>11</w:t>
            </w:r>
          </w:p>
        </w:tc>
      </w:tr>
      <w:tr w:rsidR="006B1AB0" w:rsidTr="0087497F">
        <w:trPr>
          <w:trHeight w:val="500"/>
          <w:jc w:val="center"/>
        </w:trPr>
        <w:tc>
          <w:tcPr>
            <w:tcW w:w="2938" w:type="dxa"/>
            <w:tcBorders>
              <w:top w:val="nil"/>
              <w:left w:val="single" w:sz="4" w:space="0" w:color="auto"/>
              <w:bottom w:val="single" w:sz="4" w:space="0" w:color="auto"/>
              <w:right w:val="single" w:sz="4" w:space="0" w:color="auto"/>
            </w:tcBorders>
            <w:shd w:val="clear" w:color="auto" w:fill="auto"/>
            <w:noWrap/>
            <w:vAlign w:val="center"/>
          </w:tcPr>
          <w:p w:rsidR="006B1AB0" w:rsidRPr="006B23F2" w:rsidRDefault="006B1AB0" w:rsidP="002978CF">
            <w:pPr>
              <w:spacing w:line="240" w:lineRule="auto"/>
              <w:rPr>
                <w:sz w:val="20"/>
                <w:szCs w:val="20"/>
              </w:rPr>
            </w:pPr>
            <w:r w:rsidRPr="006B23F2">
              <w:rPr>
                <w:sz w:val="20"/>
                <w:szCs w:val="20"/>
              </w:rPr>
              <w:t>For GTPS</w:t>
            </w:r>
          </w:p>
        </w:tc>
        <w:tc>
          <w:tcPr>
            <w:tcW w:w="1026" w:type="dxa"/>
            <w:tcBorders>
              <w:top w:val="single" w:sz="4" w:space="0" w:color="auto"/>
              <w:left w:val="nil"/>
              <w:bottom w:val="single" w:sz="4" w:space="0" w:color="auto"/>
              <w:right w:val="single" w:sz="4" w:space="0" w:color="auto"/>
            </w:tcBorders>
            <w:vAlign w:val="center"/>
          </w:tcPr>
          <w:p w:rsidR="006B1AB0" w:rsidRPr="00244035" w:rsidRDefault="002479BE" w:rsidP="00437C4E">
            <w:pPr>
              <w:spacing w:line="240" w:lineRule="auto"/>
              <w:jc w:val="center"/>
              <w:rPr>
                <w:sz w:val="20"/>
                <w:szCs w:val="20"/>
              </w:rPr>
            </w:pPr>
            <w:r w:rsidRPr="00244035">
              <w:rPr>
                <w:sz w:val="20"/>
                <w:szCs w:val="20"/>
              </w:rPr>
              <w:t>24.13</w:t>
            </w:r>
          </w:p>
        </w:tc>
        <w:tc>
          <w:tcPr>
            <w:tcW w:w="1026" w:type="dxa"/>
            <w:tcBorders>
              <w:top w:val="single" w:sz="4" w:space="0" w:color="auto"/>
              <w:left w:val="single" w:sz="4" w:space="0" w:color="auto"/>
              <w:bottom w:val="single" w:sz="4" w:space="0" w:color="auto"/>
              <w:right w:val="single" w:sz="4" w:space="0" w:color="auto"/>
            </w:tcBorders>
            <w:vAlign w:val="center"/>
          </w:tcPr>
          <w:p w:rsidR="006B1AB0" w:rsidRPr="00244035" w:rsidRDefault="002479BE" w:rsidP="00437C4E">
            <w:pPr>
              <w:spacing w:line="240" w:lineRule="auto"/>
              <w:jc w:val="center"/>
              <w:rPr>
                <w:sz w:val="20"/>
                <w:szCs w:val="20"/>
              </w:rPr>
            </w:pPr>
            <w:r w:rsidRPr="00244035">
              <w:rPr>
                <w:sz w:val="20"/>
                <w:szCs w:val="20"/>
              </w:rPr>
              <w:t>19.31</w:t>
            </w:r>
          </w:p>
        </w:tc>
        <w:tc>
          <w:tcPr>
            <w:tcW w:w="1026" w:type="dxa"/>
            <w:tcBorders>
              <w:top w:val="single" w:sz="4" w:space="0" w:color="auto"/>
              <w:left w:val="single" w:sz="4" w:space="0" w:color="auto"/>
              <w:bottom w:val="single" w:sz="4" w:space="0" w:color="auto"/>
              <w:right w:val="single" w:sz="4" w:space="0" w:color="auto"/>
            </w:tcBorders>
            <w:vAlign w:val="center"/>
          </w:tcPr>
          <w:p w:rsidR="006B1AB0" w:rsidRPr="00244035" w:rsidRDefault="002479BE" w:rsidP="00437C4E">
            <w:pPr>
              <w:spacing w:line="240" w:lineRule="auto"/>
              <w:jc w:val="center"/>
              <w:rPr>
                <w:sz w:val="20"/>
                <w:szCs w:val="20"/>
              </w:rPr>
            </w:pPr>
            <w:r w:rsidRPr="00244035">
              <w:rPr>
                <w:sz w:val="20"/>
                <w:szCs w:val="20"/>
              </w:rPr>
              <w:t>51.77</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AB0" w:rsidRPr="00244035" w:rsidRDefault="00815E3E" w:rsidP="002978CF">
            <w:pPr>
              <w:spacing w:line="240" w:lineRule="auto"/>
              <w:jc w:val="center"/>
              <w:rPr>
                <w:sz w:val="20"/>
                <w:szCs w:val="20"/>
              </w:rPr>
            </w:pPr>
            <w:r>
              <w:rPr>
                <w:sz w:val="20"/>
                <w:szCs w:val="20"/>
              </w:rPr>
              <w:t>52.2</w:t>
            </w:r>
            <w:r w:rsidR="002479BE" w:rsidRPr="00244035">
              <w:rPr>
                <w:sz w:val="20"/>
                <w:szCs w:val="20"/>
              </w:rPr>
              <w:t>8</w:t>
            </w:r>
          </w:p>
        </w:tc>
      </w:tr>
      <w:tr w:rsidR="006B1AB0" w:rsidTr="0087497F">
        <w:trPr>
          <w:trHeight w:val="500"/>
          <w:jc w:val="center"/>
        </w:trPr>
        <w:tc>
          <w:tcPr>
            <w:tcW w:w="2938" w:type="dxa"/>
            <w:tcBorders>
              <w:top w:val="nil"/>
              <w:left w:val="single" w:sz="4" w:space="0" w:color="auto"/>
              <w:bottom w:val="single" w:sz="4" w:space="0" w:color="auto"/>
              <w:right w:val="single" w:sz="4" w:space="0" w:color="auto"/>
            </w:tcBorders>
            <w:shd w:val="clear" w:color="auto" w:fill="auto"/>
            <w:noWrap/>
            <w:vAlign w:val="center"/>
          </w:tcPr>
          <w:p w:rsidR="006B1AB0" w:rsidRDefault="006B1AB0" w:rsidP="002978CF">
            <w:pPr>
              <w:spacing w:line="240" w:lineRule="auto"/>
              <w:rPr>
                <w:b/>
                <w:bCs/>
                <w:sz w:val="20"/>
                <w:szCs w:val="20"/>
              </w:rPr>
            </w:pPr>
            <w:r w:rsidRPr="006B23F2">
              <w:rPr>
                <w:b/>
                <w:bCs/>
                <w:sz w:val="20"/>
                <w:szCs w:val="20"/>
              </w:rPr>
              <w:t xml:space="preserve">IPGCL </w:t>
            </w:r>
          </w:p>
          <w:p w:rsidR="006B1AB0" w:rsidRPr="006B23F2" w:rsidRDefault="006B1AB0" w:rsidP="002978CF">
            <w:pPr>
              <w:spacing w:line="240" w:lineRule="auto"/>
              <w:rPr>
                <w:b/>
                <w:bCs/>
                <w:sz w:val="20"/>
                <w:szCs w:val="20"/>
              </w:rPr>
            </w:pPr>
            <w:r w:rsidRPr="006B23F2">
              <w:rPr>
                <w:b/>
                <w:bCs/>
                <w:sz w:val="20"/>
                <w:szCs w:val="20"/>
              </w:rPr>
              <w:t>(as a whole)</w:t>
            </w:r>
          </w:p>
        </w:tc>
        <w:tc>
          <w:tcPr>
            <w:tcW w:w="1026" w:type="dxa"/>
            <w:tcBorders>
              <w:top w:val="single" w:sz="4" w:space="0" w:color="auto"/>
              <w:left w:val="nil"/>
              <w:bottom w:val="single" w:sz="4" w:space="0" w:color="auto"/>
              <w:right w:val="single" w:sz="4" w:space="0" w:color="auto"/>
            </w:tcBorders>
            <w:vAlign w:val="center"/>
          </w:tcPr>
          <w:p w:rsidR="006B1AB0" w:rsidRPr="00244035" w:rsidRDefault="00244035" w:rsidP="00437C4E">
            <w:pPr>
              <w:spacing w:line="240" w:lineRule="auto"/>
              <w:jc w:val="center"/>
              <w:rPr>
                <w:b/>
                <w:bCs/>
                <w:sz w:val="20"/>
                <w:szCs w:val="20"/>
              </w:rPr>
            </w:pPr>
            <w:r w:rsidRPr="00244035">
              <w:rPr>
                <w:b/>
                <w:bCs/>
                <w:sz w:val="20"/>
                <w:szCs w:val="20"/>
              </w:rPr>
              <w:t>40.46</w:t>
            </w:r>
          </w:p>
        </w:tc>
        <w:tc>
          <w:tcPr>
            <w:tcW w:w="1026" w:type="dxa"/>
            <w:tcBorders>
              <w:top w:val="single" w:sz="4" w:space="0" w:color="auto"/>
              <w:left w:val="single" w:sz="4" w:space="0" w:color="auto"/>
              <w:bottom w:val="single" w:sz="4" w:space="0" w:color="auto"/>
              <w:right w:val="single" w:sz="4" w:space="0" w:color="auto"/>
            </w:tcBorders>
            <w:vAlign w:val="center"/>
          </w:tcPr>
          <w:p w:rsidR="006B1AB0" w:rsidRPr="00244035" w:rsidRDefault="00F44736" w:rsidP="00F44736">
            <w:pPr>
              <w:spacing w:line="240" w:lineRule="auto"/>
              <w:jc w:val="center"/>
              <w:rPr>
                <w:b/>
                <w:bCs/>
                <w:sz w:val="20"/>
                <w:szCs w:val="20"/>
              </w:rPr>
            </w:pPr>
            <w:r>
              <w:rPr>
                <w:b/>
                <w:bCs/>
                <w:sz w:val="20"/>
                <w:szCs w:val="20"/>
              </w:rPr>
              <w:t>30</w:t>
            </w:r>
            <w:r w:rsidR="00244035" w:rsidRPr="00244035">
              <w:rPr>
                <w:b/>
                <w:bCs/>
                <w:sz w:val="20"/>
                <w:szCs w:val="20"/>
              </w:rPr>
              <w:t>.70</w:t>
            </w:r>
          </w:p>
        </w:tc>
        <w:tc>
          <w:tcPr>
            <w:tcW w:w="1026" w:type="dxa"/>
            <w:tcBorders>
              <w:top w:val="single" w:sz="4" w:space="0" w:color="auto"/>
              <w:left w:val="single" w:sz="4" w:space="0" w:color="auto"/>
              <w:bottom w:val="single" w:sz="4" w:space="0" w:color="auto"/>
              <w:right w:val="single" w:sz="4" w:space="0" w:color="auto"/>
            </w:tcBorders>
            <w:vAlign w:val="center"/>
          </w:tcPr>
          <w:p w:rsidR="006B1AB0" w:rsidRPr="00244035" w:rsidRDefault="00244035" w:rsidP="00437C4E">
            <w:pPr>
              <w:spacing w:line="240" w:lineRule="auto"/>
              <w:jc w:val="center"/>
              <w:rPr>
                <w:b/>
                <w:bCs/>
                <w:sz w:val="20"/>
                <w:szCs w:val="20"/>
              </w:rPr>
            </w:pPr>
            <w:r w:rsidRPr="00244035">
              <w:rPr>
                <w:b/>
                <w:bCs/>
                <w:sz w:val="20"/>
                <w:szCs w:val="20"/>
              </w:rPr>
              <w:t>71.44</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AB0" w:rsidRPr="00244035" w:rsidRDefault="00244035" w:rsidP="00815E3E">
            <w:pPr>
              <w:spacing w:line="240" w:lineRule="auto"/>
              <w:jc w:val="center"/>
              <w:rPr>
                <w:b/>
                <w:bCs/>
                <w:sz w:val="20"/>
                <w:szCs w:val="20"/>
              </w:rPr>
            </w:pPr>
            <w:r w:rsidRPr="00244035">
              <w:rPr>
                <w:b/>
                <w:bCs/>
                <w:sz w:val="20"/>
                <w:szCs w:val="20"/>
              </w:rPr>
              <w:t>72.</w:t>
            </w:r>
            <w:r w:rsidR="00815E3E">
              <w:rPr>
                <w:b/>
                <w:bCs/>
                <w:sz w:val="20"/>
                <w:szCs w:val="20"/>
              </w:rPr>
              <w:t>39</w:t>
            </w:r>
          </w:p>
        </w:tc>
      </w:tr>
    </w:tbl>
    <w:p w:rsidR="00C43BF7" w:rsidRPr="00CD64F3" w:rsidRDefault="00C43BF7" w:rsidP="00C43BF7">
      <w:pPr>
        <w:rPr>
          <w:sz w:val="14"/>
          <w:szCs w:val="22"/>
        </w:rPr>
      </w:pPr>
    </w:p>
    <w:p w:rsidR="00C43BF7" w:rsidRDefault="00DF198A" w:rsidP="00C43BF7">
      <w:pPr>
        <w:rPr>
          <w:b/>
          <w:bCs/>
          <w:sz w:val="22"/>
          <w:szCs w:val="22"/>
        </w:rPr>
      </w:pPr>
      <w:r w:rsidRPr="00DF198A">
        <w:rPr>
          <w:b/>
          <w:bCs/>
          <w:sz w:val="22"/>
          <w:szCs w:val="22"/>
        </w:rPr>
        <w:t xml:space="preserve">Based on above, </w:t>
      </w:r>
      <w:r w:rsidR="00C43BF7" w:rsidRPr="00DF198A">
        <w:rPr>
          <w:b/>
          <w:bCs/>
          <w:sz w:val="22"/>
          <w:szCs w:val="22"/>
        </w:rPr>
        <w:t>Hon</w:t>
      </w:r>
      <w:r w:rsidR="003F4E36" w:rsidRPr="00DF198A">
        <w:rPr>
          <w:b/>
          <w:bCs/>
          <w:sz w:val="22"/>
          <w:szCs w:val="22"/>
        </w:rPr>
        <w:t>’ble</w:t>
      </w:r>
      <w:r w:rsidR="00C43BF7" w:rsidRPr="00DF198A">
        <w:rPr>
          <w:b/>
          <w:bCs/>
          <w:sz w:val="22"/>
          <w:szCs w:val="22"/>
        </w:rPr>
        <w:t xml:space="preserve"> Commission</w:t>
      </w:r>
      <w:r w:rsidR="0065548B" w:rsidRPr="00DF198A">
        <w:rPr>
          <w:b/>
          <w:bCs/>
          <w:sz w:val="22"/>
          <w:szCs w:val="22"/>
        </w:rPr>
        <w:t xml:space="preserve"> is requested </w:t>
      </w:r>
      <w:r w:rsidR="00C43BF7" w:rsidRPr="00DF198A">
        <w:rPr>
          <w:b/>
          <w:bCs/>
          <w:sz w:val="22"/>
          <w:szCs w:val="22"/>
        </w:rPr>
        <w:t xml:space="preserve">to </w:t>
      </w:r>
      <w:r w:rsidR="0075676D" w:rsidRPr="00DF198A">
        <w:rPr>
          <w:b/>
          <w:bCs/>
          <w:sz w:val="22"/>
          <w:szCs w:val="22"/>
        </w:rPr>
        <w:t xml:space="preserve">true –up the </w:t>
      </w:r>
      <w:r w:rsidR="00C43BF7" w:rsidRPr="00DF198A">
        <w:rPr>
          <w:b/>
          <w:bCs/>
          <w:sz w:val="22"/>
          <w:szCs w:val="22"/>
        </w:rPr>
        <w:t>Interest on W</w:t>
      </w:r>
      <w:r w:rsidR="00AD525E">
        <w:rPr>
          <w:b/>
          <w:bCs/>
          <w:sz w:val="22"/>
          <w:szCs w:val="22"/>
        </w:rPr>
        <w:t xml:space="preserve">orking Capital for the Control </w:t>
      </w:r>
      <w:r w:rsidR="0075676D" w:rsidRPr="00DF198A">
        <w:rPr>
          <w:b/>
          <w:bCs/>
          <w:sz w:val="22"/>
          <w:szCs w:val="22"/>
        </w:rPr>
        <w:t xml:space="preserve"> </w:t>
      </w:r>
      <w:r w:rsidR="00687132" w:rsidRPr="00DF198A">
        <w:rPr>
          <w:b/>
          <w:bCs/>
          <w:sz w:val="22"/>
          <w:szCs w:val="22"/>
        </w:rPr>
        <w:t xml:space="preserve">for FY </w:t>
      </w:r>
      <w:r w:rsidR="0075676D" w:rsidRPr="00DF198A">
        <w:rPr>
          <w:b/>
          <w:bCs/>
          <w:sz w:val="22"/>
          <w:szCs w:val="22"/>
        </w:rPr>
        <w:t>201</w:t>
      </w:r>
      <w:r w:rsidR="00DE1EBD">
        <w:rPr>
          <w:b/>
          <w:bCs/>
          <w:sz w:val="22"/>
          <w:szCs w:val="22"/>
        </w:rPr>
        <w:t>2</w:t>
      </w:r>
      <w:r w:rsidR="00687132" w:rsidRPr="00DF198A">
        <w:rPr>
          <w:b/>
          <w:bCs/>
          <w:sz w:val="22"/>
          <w:szCs w:val="22"/>
        </w:rPr>
        <w:t>-</w:t>
      </w:r>
      <w:r w:rsidR="0075676D" w:rsidRPr="00DF198A">
        <w:rPr>
          <w:b/>
          <w:bCs/>
          <w:sz w:val="22"/>
          <w:szCs w:val="22"/>
        </w:rPr>
        <w:t>1</w:t>
      </w:r>
      <w:r w:rsidR="00DE1EBD">
        <w:rPr>
          <w:b/>
          <w:bCs/>
          <w:sz w:val="22"/>
          <w:szCs w:val="22"/>
        </w:rPr>
        <w:t xml:space="preserve">3 to FY </w:t>
      </w:r>
      <w:r w:rsidR="00BD6011">
        <w:rPr>
          <w:b/>
          <w:bCs/>
          <w:sz w:val="22"/>
          <w:szCs w:val="22"/>
        </w:rPr>
        <w:t>2013-14</w:t>
      </w:r>
      <w:r w:rsidR="00AD525E">
        <w:rPr>
          <w:b/>
          <w:bCs/>
          <w:sz w:val="22"/>
          <w:szCs w:val="22"/>
        </w:rPr>
        <w:t xml:space="preserve"> and approve</w:t>
      </w:r>
      <w:r w:rsidR="00807050">
        <w:rPr>
          <w:b/>
          <w:bCs/>
          <w:sz w:val="22"/>
          <w:szCs w:val="22"/>
        </w:rPr>
        <w:t xml:space="preserve"> revised estimate for FY 14-15 and </w:t>
      </w:r>
      <w:r w:rsidR="00AD525E">
        <w:rPr>
          <w:b/>
          <w:bCs/>
          <w:sz w:val="22"/>
          <w:szCs w:val="22"/>
        </w:rPr>
        <w:t xml:space="preserve"> for extended period 2015-16 on normative basis as </w:t>
      </w:r>
      <w:r w:rsidR="004F528B">
        <w:rPr>
          <w:b/>
          <w:bCs/>
          <w:sz w:val="22"/>
          <w:szCs w:val="22"/>
        </w:rPr>
        <w:t>submitted</w:t>
      </w:r>
      <w:r w:rsidR="00C43BF7" w:rsidRPr="00DF198A">
        <w:rPr>
          <w:b/>
          <w:bCs/>
          <w:sz w:val="22"/>
          <w:szCs w:val="22"/>
        </w:rPr>
        <w:t xml:space="preserve">. </w:t>
      </w:r>
    </w:p>
    <w:p w:rsidR="00705A2C" w:rsidRPr="00CD64F3" w:rsidRDefault="00705A2C" w:rsidP="00C43BF7">
      <w:pPr>
        <w:rPr>
          <w:b/>
          <w:bCs/>
          <w:sz w:val="8"/>
          <w:szCs w:val="22"/>
        </w:rPr>
      </w:pPr>
    </w:p>
    <w:p w:rsidR="00705A2C" w:rsidRDefault="00705A2C" w:rsidP="00C43BF7">
      <w:pPr>
        <w:rPr>
          <w:sz w:val="22"/>
          <w:szCs w:val="22"/>
        </w:rPr>
      </w:pPr>
      <w:r w:rsidRPr="00705A2C">
        <w:rPr>
          <w:b/>
          <w:bCs/>
          <w:sz w:val="22"/>
          <w:szCs w:val="22"/>
        </w:rPr>
        <w:t xml:space="preserve">Special allowance in lieu of R&amp;M </w:t>
      </w:r>
      <w:r>
        <w:rPr>
          <w:b/>
          <w:bCs/>
          <w:sz w:val="22"/>
          <w:szCs w:val="22"/>
        </w:rPr>
        <w:t>for Rajghat Power House</w:t>
      </w:r>
    </w:p>
    <w:p w:rsidR="00E94745" w:rsidRDefault="00216938" w:rsidP="00C43BF7">
      <w:pPr>
        <w:rPr>
          <w:sz w:val="22"/>
          <w:szCs w:val="22"/>
        </w:rPr>
      </w:pPr>
      <w:r>
        <w:rPr>
          <w:sz w:val="22"/>
          <w:szCs w:val="22"/>
        </w:rPr>
        <w:t xml:space="preserve">The Hon’ble Commission </w:t>
      </w:r>
      <w:r w:rsidR="00E94745">
        <w:rPr>
          <w:sz w:val="22"/>
          <w:szCs w:val="22"/>
        </w:rPr>
        <w:t xml:space="preserve">in MYT Regulations, 2011 </w:t>
      </w:r>
      <w:r>
        <w:rPr>
          <w:sz w:val="22"/>
          <w:szCs w:val="22"/>
        </w:rPr>
        <w:t>has allowed</w:t>
      </w:r>
      <w:r w:rsidR="00E94745">
        <w:rPr>
          <w:sz w:val="22"/>
          <w:szCs w:val="22"/>
        </w:rPr>
        <w:t xml:space="preserve"> special Repair &amp; Maintenance allowance for coal based stations as </w:t>
      </w:r>
      <w:r w:rsidR="00F3528A">
        <w:rPr>
          <w:sz w:val="22"/>
          <w:szCs w:val="22"/>
        </w:rPr>
        <w:t>under:</w:t>
      </w:r>
    </w:p>
    <w:p w:rsidR="00E94745" w:rsidRDefault="00E94745" w:rsidP="00E94745">
      <w:pPr>
        <w:autoSpaceDE w:val="0"/>
        <w:autoSpaceDN w:val="0"/>
        <w:adjustRightInd w:val="0"/>
        <w:spacing w:before="6" w:line="100" w:lineRule="exact"/>
        <w:jc w:val="left"/>
        <w:rPr>
          <w:rFonts w:ascii="Times New Roman" w:hAnsi="Times New Roman"/>
          <w:sz w:val="10"/>
          <w:szCs w:val="10"/>
          <w:lang w:bidi="hi-IN"/>
        </w:rPr>
      </w:pPr>
    </w:p>
    <w:p w:rsidR="00E94745" w:rsidRPr="00D13C29" w:rsidRDefault="00E94745" w:rsidP="008B6F0F">
      <w:pPr>
        <w:autoSpaceDE w:val="0"/>
        <w:autoSpaceDN w:val="0"/>
        <w:adjustRightInd w:val="0"/>
        <w:spacing w:before="29"/>
        <w:ind w:right="57"/>
        <w:rPr>
          <w:rFonts w:ascii="Trebuchet MS" w:hAnsi="Trebuchet MS" w:cs="Book Antiqua"/>
          <w:b/>
          <w:bCs/>
          <w:i/>
          <w:iCs/>
          <w:sz w:val="22"/>
          <w:szCs w:val="22"/>
        </w:rPr>
      </w:pPr>
      <w:r w:rsidRPr="00D13C29">
        <w:rPr>
          <w:rFonts w:ascii="Trebuchet MS" w:hAnsi="Trebuchet MS" w:cs="Book Antiqua"/>
          <w:b/>
          <w:bCs/>
          <w:i/>
          <w:iCs/>
          <w:sz w:val="22"/>
          <w:szCs w:val="22"/>
        </w:rPr>
        <w:t>“6.14     The generating company in case of thermal generating station, may, in its discretion, avail of a special allowance either for a Unit or a group of Units as compensation for meeting  the  requirement  of  expenses  including  Renovation   and   Modernization beyond the Useful life of the generating station or a Unit thereof, and in such an event revision of the capital cost shall not be considered and the  applicable operational norms shall not be relaxed but the special allowance shall be included in the annual fixed cost.</w:t>
      </w:r>
    </w:p>
    <w:p w:rsidR="00E94745" w:rsidRPr="00D13C29" w:rsidRDefault="00E94745" w:rsidP="008B6F0F">
      <w:pPr>
        <w:autoSpaceDE w:val="0"/>
        <w:autoSpaceDN w:val="0"/>
        <w:adjustRightInd w:val="0"/>
        <w:spacing w:before="8"/>
        <w:rPr>
          <w:rFonts w:ascii="Trebuchet MS" w:hAnsi="Trebuchet MS" w:cs="Book Antiqua"/>
          <w:b/>
          <w:bCs/>
          <w:i/>
          <w:iCs/>
          <w:sz w:val="22"/>
          <w:szCs w:val="22"/>
        </w:rPr>
      </w:pPr>
    </w:p>
    <w:p w:rsidR="00E94745" w:rsidRPr="00D13C29" w:rsidRDefault="00E94745" w:rsidP="008B6F0F">
      <w:pPr>
        <w:autoSpaceDE w:val="0"/>
        <w:autoSpaceDN w:val="0"/>
        <w:adjustRightInd w:val="0"/>
        <w:ind w:right="53"/>
        <w:rPr>
          <w:rFonts w:ascii="Trebuchet MS" w:hAnsi="Trebuchet MS" w:cs="Book Antiqua"/>
          <w:b/>
          <w:bCs/>
          <w:i/>
          <w:iCs/>
          <w:sz w:val="22"/>
          <w:szCs w:val="22"/>
        </w:rPr>
      </w:pPr>
      <w:r w:rsidRPr="00D13C29">
        <w:rPr>
          <w:rFonts w:ascii="Trebuchet MS" w:hAnsi="Trebuchet MS" w:cs="Book Antiqua"/>
          <w:b/>
          <w:bCs/>
          <w:i/>
          <w:iCs/>
          <w:sz w:val="22"/>
          <w:szCs w:val="22"/>
        </w:rPr>
        <w:t>Provided also that such option shall not be available for a generating station or unit for which renovation and modernization has been undertaken and the expenditure has been admitted by the Commission before commencement of these Regulations, or for a generating station or unit which is in a depleted condition or operating under relaxed operational and performance norms.</w:t>
      </w:r>
    </w:p>
    <w:p w:rsidR="00E94745" w:rsidRDefault="00E94745" w:rsidP="008F4809">
      <w:pPr>
        <w:autoSpaceDE w:val="0"/>
        <w:autoSpaceDN w:val="0"/>
        <w:adjustRightInd w:val="0"/>
        <w:spacing w:before="8" w:line="240" w:lineRule="auto"/>
        <w:rPr>
          <w:rFonts w:ascii="Trebuchet MS" w:hAnsi="Trebuchet MS" w:cs="Book Antiqua"/>
          <w:b/>
          <w:bCs/>
          <w:i/>
          <w:iCs/>
          <w:sz w:val="22"/>
          <w:szCs w:val="22"/>
        </w:rPr>
      </w:pPr>
    </w:p>
    <w:p w:rsidR="00E94745" w:rsidRPr="00D13C29" w:rsidRDefault="00E94745" w:rsidP="008B6F0F">
      <w:pPr>
        <w:autoSpaceDE w:val="0"/>
        <w:autoSpaceDN w:val="0"/>
        <w:adjustRightInd w:val="0"/>
        <w:ind w:right="58"/>
        <w:rPr>
          <w:rFonts w:ascii="Trebuchet MS" w:hAnsi="Trebuchet MS" w:cs="Book Antiqua"/>
          <w:b/>
          <w:bCs/>
          <w:i/>
          <w:iCs/>
          <w:sz w:val="22"/>
          <w:szCs w:val="22"/>
        </w:rPr>
      </w:pPr>
      <w:r w:rsidRPr="00D13C29">
        <w:rPr>
          <w:rFonts w:ascii="Trebuchet MS" w:hAnsi="Trebuchet MS" w:cs="Book Antiqua"/>
          <w:b/>
          <w:bCs/>
          <w:i/>
          <w:iCs/>
          <w:sz w:val="22"/>
          <w:szCs w:val="22"/>
        </w:rPr>
        <w:t xml:space="preserve">6.15     A  generating  company  (coal-based  thermal  generating  station)  on  opting  for  the alternative in the clause 6.14 of these Regulations, shall be allowed special allowance@ Rs. 5.91 lakh/MW/year in 2012-13 and thereafter escalated @ 5.72% every year during the Control Period 2012-15, unit-wise from the next financial year from the respective  date  of  the  completion  of  useful  </w:t>
      </w:r>
      <w:r w:rsidRPr="00D13C29">
        <w:rPr>
          <w:rFonts w:ascii="Trebuchet MS" w:hAnsi="Trebuchet MS" w:cs="Book Antiqua"/>
          <w:b/>
          <w:bCs/>
          <w:i/>
          <w:iCs/>
          <w:sz w:val="22"/>
          <w:szCs w:val="22"/>
        </w:rPr>
        <w:lastRenderedPageBreak/>
        <w:t>life  with  reference  to  the  date  of commercial operation of the respective unit of generating station:</w:t>
      </w:r>
    </w:p>
    <w:p w:rsidR="00987BF9" w:rsidRPr="00D13C29" w:rsidRDefault="00987BF9" w:rsidP="00E94745">
      <w:pPr>
        <w:autoSpaceDE w:val="0"/>
        <w:autoSpaceDN w:val="0"/>
        <w:adjustRightInd w:val="0"/>
        <w:spacing w:before="8" w:line="280" w:lineRule="exact"/>
        <w:rPr>
          <w:rFonts w:ascii="Trebuchet MS" w:hAnsi="Trebuchet MS" w:cs="Book Antiqua"/>
          <w:b/>
          <w:bCs/>
          <w:i/>
          <w:iCs/>
          <w:sz w:val="22"/>
          <w:szCs w:val="22"/>
        </w:rPr>
      </w:pPr>
    </w:p>
    <w:p w:rsidR="00E94745" w:rsidRPr="00D13C29" w:rsidRDefault="00E94745" w:rsidP="008B6F0F">
      <w:pPr>
        <w:autoSpaceDE w:val="0"/>
        <w:autoSpaceDN w:val="0"/>
        <w:adjustRightInd w:val="0"/>
        <w:ind w:right="58"/>
        <w:rPr>
          <w:rFonts w:ascii="Trebuchet MS" w:hAnsi="Trebuchet MS" w:cs="Book Antiqua"/>
          <w:b/>
          <w:bCs/>
          <w:i/>
          <w:iCs/>
          <w:sz w:val="22"/>
          <w:szCs w:val="22"/>
        </w:rPr>
      </w:pPr>
      <w:r w:rsidRPr="00D13C29">
        <w:rPr>
          <w:rFonts w:ascii="Trebuchet MS" w:hAnsi="Trebuchet MS" w:cs="Book Antiqua"/>
          <w:b/>
          <w:bCs/>
          <w:i/>
          <w:iCs/>
          <w:sz w:val="22"/>
          <w:szCs w:val="22"/>
        </w:rPr>
        <w:t>Provided that in respect of a unit in commercial operation for more than 25 years as on 1.4.2012, this allowance shall be admissible from the year 2012-</w:t>
      </w:r>
      <w:smartTag w:uri="urn:schemas-microsoft-com:office:smarttags" w:element="metricconverter">
        <w:smartTagPr>
          <w:attr w:name="ProductID" w:val="13.”"/>
        </w:smartTagPr>
        <w:r w:rsidRPr="00D13C29">
          <w:rPr>
            <w:rFonts w:ascii="Trebuchet MS" w:hAnsi="Trebuchet MS" w:cs="Book Antiqua"/>
            <w:b/>
            <w:bCs/>
            <w:i/>
            <w:iCs/>
            <w:sz w:val="22"/>
            <w:szCs w:val="22"/>
          </w:rPr>
          <w:t>13.”</w:t>
        </w:r>
      </w:smartTag>
    </w:p>
    <w:p w:rsidR="00E94745" w:rsidRDefault="00E94745" w:rsidP="00E94745">
      <w:pPr>
        <w:rPr>
          <w:rFonts w:cs="Book Antiqua"/>
          <w:b/>
          <w:bCs/>
          <w:sz w:val="22"/>
          <w:szCs w:val="22"/>
        </w:rPr>
      </w:pPr>
    </w:p>
    <w:p w:rsidR="00777EC8" w:rsidRDefault="00D86534" w:rsidP="00777EC8">
      <w:pPr>
        <w:rPr>
          <w:sz w:val="22"/>
          <w:szCs w:val="22"/>
        </w:rPr>
      </w:pPr>
      <w:r>
        <w:rPr>
          <w:sz w:val="22"/>
          <w:szCs w:val="22"/>
        </w:rPr>
        <w:t xml:space="preserve">The Unit No. 2 and Unit no.1 of Rajghat Power House were commissioned in January, 1990 and May 1990 respectively. It is submitted that the unit No.2 </w:t>
      </w:r>
      <w:r w:rsidR="007E616C">
        <w:rPr>
          <w:sz w:val="22"/>
          <w:szCs w:val="22"/>
        </w:rPr>
        <w:t>has completed</w:t>
      </w:r>
      <w:r>
        <w:rPr>
          <w:sz w:val="22"/>
          <w:szCs w:val="22"/>
        </w:rPr>
        <w:t xml:space="preserve"> its useful life of 25 years by December, 2014. </w:t>
      </w:r>
      <w:r w:rsidR="00E61217">
        <w:rPr>
          <w:sz w:val="22"/>
          <w:szCs w:val="22"/>
        </w:rPr>
        <w:t xml:space="preserve">The petitioner </w:t>
      </w:r>
      <w:r w:rsidR="00C00F0A">
        <w:rPr>
          <w:sz w:val="22"/>
          <w:szCs w:val="22"/>
        </w:rPr>
        <w:t xml:space="preserve">in </w:t>
      </w:r>
      <w:r w:rsidR="00E61217">
        <w:rPr>
          <w:sz w:val="22"/>
          <w:szCs w:val="22"/>
        </w:rPr>
        <w:t>i</w:t>
      </w:r>
      <w:r w:rsidR="00C00F0A">
        <w:rPr>
          <w:sz w:val="22"/>
          <w:szCs w:val="22"/>
        </w:rPr>
        <w:t>t</w:t>
      </w:r>
      <w:r w:rsidR="00E61217">
        <w:rPr>
          <w:sz w:val="22"/>
          <w:szCs w:val="22"/>
        </w:rPr>
        <w:t xml:space="preserve">s </w:t>
      </w:r>
      <w:r w:rsidR="00C00F0A">
        <w:rPr>
          <w:sz w:val="22"/>
          <w:szCs w:val="22"/>
        </w:rPr>
        <w:t xml:space="preserve">earlier submission in tariff petition for FY 12-13 to 14-15 </w:t>
      </w:r>
      <w:r w:rsidR="00401AB1">
        <w:rPr>
          <w:sz w:val="22"/>
          <w:szCs w:val="22"/>
        </w:rPr>
        <w:t xml:space="preserve">has requested Hon’ble Commission </w:t>
      </w:r>
      <w:r w:rsidR="00E61217">
        <w:rPr>
          <w:sz w:val="22"/>
          <w:szCs w:val="22"/>
        </w:rPr>
        <w:t>a Special allowance @ Rs. 6.61</w:t>
      </w:r>
      <w:r w:rsidR="001C348D">
        <w:rPr>
          <w:sz w:val="22"/>
          <w:szCs w:val="22"/>
        </w:rPr>
        <w:t xml:space="preserve"> </w:t>
      </w:r>
      <w:r w:rsidR="00E61217">
        <w:rPr>
          <w:sz w:val="22"/>
          <w:szCs w:val="22"/>
        </w:rPr>
        <w:t>lakh per annum for FY 2014-15</w:t>
      </w:r>
      <w:r w:rsidR="009E33E1">
        <w:rPr>
          <w:sz w:val="22"/>
          <w:szCs w:val="22"/>
        </w:rPr>
        <w:t xml:space="preserve"> as per clause 6.15 of MYT 2011 Regulation</w:t>
      </w:r>
      <w:r w:rsidR="00E61217">
        <w:rPr>
          <w:sz w:val="22"/>
          <w:szCs w:val="22"/>
        </w:rPr>
        <w:t>.</w:t>
      </w:r>
      <w:r w:rsidR="00401AB1">
        <w:rPr>
          <w:sz w:val="22"/>
          <w:szCs w:val="22"/>
        </w:rPr>
        <w:t xml:space="preserve">  Further, petitioner </w:t>
      </w:r>
      <w:r w:rsidR="00E61217">
        <w:rPr>
          <w:sz w:val="22"/>
          <w:szCs w:val="22"/>
        </w:rPr>
        <w:t>request</w:t>
      </w:r>
      <w:r w:rsidR="00401AB1">
        <w:rPr>
          <w:sz w:val="22"/>
          <w:szCs w:val="22"/>
        </w:rPr>
        <w:t>s</w:t>
      </w:r>
      <w:r w:rsidR="00401AB1" w:rsidRPr="00401AB1">
        <w:rPr>
          <w:sz w:val="22"/>
          <w:szCs w:val="22"/>
        </w:rPr>
        <w:t xml:space="preserve"> </w:t>
      </w:r>
      <w:r w:rsidR="00401AB1">
        <w:rPr>
          <w:sz w:val="22"/>
          <w:szCs w:val="22"/>
        </w:rPr>
        <w:t>Hon’ble Commission to approve a Special allowance @ Rs. 6.98</w:t>
      </w:r>
      <w:r w:rsidR="0016403C">
        <w:rPr>
          <w:sz w:val="22"/>
          <w:szCs w:val="22"/>
        </w:rPr>
        <w:t>81</w:t>
      </w:r>
      <w:r w:rsidR="00401AB1">
        <w:rPr>
          <w:sz w:val="22"/>
          <w:szCs w:val="22"/>
        </w:rPr>
        <w:t xml:space="preserve"> lakh per annum for FY 2015-16</w:t>
      </w:r>
      <w:r w:rsidR="00E61217">
        <w:rPr>
          <w:sz w:val="22"/>
          <w:szCs w:val="22"/>
        </w:rPr>
        <w:t xml:space="preserve"> </w:t>
      </w:r>
      <w:r w:rsidR="00657E42">
        <w:rPr>
          <w:sz w:val="22"/>
          <w:szCs w:val="22"/>
        </w:rPr>
        <w:t>equivalents</w:t>
      </w:r>
      <w:r w:rsidR="00401AB1">
        <w:rPr>
          <w:sz w:val="22"/>
          <w:szCs w:val="22"/>
        </w:rPr>
        <w:t xml:space="preserve"> to </w:t>
      </w:r>
      <w:r w:rsidR="00E61217">
        <w:rPr>
          <w:sz w:val="22"/>
          <w:szCs w:val="22"/>
        </w:rPr>
        <w:t xml:space="preserve">Rs. </w:t>
      </w:r>
      <w:r w:rsidR="00401AB1">
        <w:rPr>
          <w:sz w:val="22"/>
          <w:szCs w:val="22"/>
        </w:rPr>
        <w:t>9.4</w:t>
      </w:r>
      <w:r w:rsidR="0016403C">
        <w:rPr>
          <w:sz w:val="22"/>
          <w:szCs w:val="22"/>
        </w:rPr>
        <w:t>339</w:t>
      </w:r>
      <w:r w:rsidR="00E61217">
        <w:rPr>
          <w:sz w:val="22"/>
          <w:szCs w:val="22"/>
        </w:rPr>
        <w:t xml:space="preserve"> Crore</w:t>
      </w:r>
      <w:r w:rsidR="00401AB1">
        <w:rPr>
          <w:sz w:val="22"/>
          <w:szCs w:val="22"/>
        </w:rPr>
        <w:t xml:space="preserve"> </w:t>
      </w:r>
      <w:r w:rsidR="00EE799D">
        <w:rPr>
          <w:sz w:val="22"/>
          <w:szCs w:val="22"/>
        </w:rPr>
        <w:t xml:space="preserve">on account of special allowance on Renovation &amp; </w:t>
      </w:r>
      <w:r w:rsidR="00FB662A">
        <w:rPr>
          <w:sz w:val="22"/>
          <w:szCs w:val="22"/>
        </w:rPr>
        <w:t>Modernization</w:t>
      </w:r>
      <w:r w:rsidR="00EE799D">
        <w:rPr>
          <w:sz w:val="22"/>
          <w:szCs w:val="22"/>
        </w:rPr>
        <w:t xml:space="preserve"> </w:t>
      </w:r>
      <w:r w:rsidR="00FB662A">
        <w:rPr>
          <w:sz w:val="22"/>
          <w:szCs w:val="22"/>
        </w:rPr>
        <w:t xml:space="preserve">(R&amp;M).  </w:t>
      </w:r>
      <w:r w:rsidR="00F61885">
        <w:rPr>
          <w:sz w:val="22"/>
          <w:szCs w:val="22"/>
        </w:rPr>
        <w:t>In this regard, petitioner may like to submit that RPH is anticipated to be closed down FY 16-17 or after completion of power evacuation facility near RPH being undertaken by M/s. PGCIL, therefore, petitioner is not carrying out any capital expenditure.  However, for smooth operation of the plant some plants &amp; equipments of capital nature is required</w:t>
      </w:r>
      <w:r w:rsidR="001A5B8D">
        <w:rPr>
          <w:sz w:val="22"/>
          <w:szCs w:val="26"/>
        </w:rPr>
        <w:t xml:space="preserve">. </w:t>
      </w:r>
      <w:r w:rsidR="00F61885">
        <w:rPr>
          <w:rFonts w:cs="Arial"/>
          <w:sz w:val="22"/>
          <w:szCs w:val="22"/>
        </w:rPr>
        <w:t xml:space="preserve"> Petitioner therefore requests Hon’ble Commission to allow additional Rs. 6.9833 lakh/MW/</w:t>
      </w:r>
      <w:r w:rsidR="007601D6">
        <w:rPr>
          <w:rFonts w:cs="Arial"/>
          <w:sz w:val="22"/>
          <w:szCs w:val="22"/>
        </w:rPr>
        <w:t xml:space="preserve">year separate compensation </w:t>
      </w:r>
      <w:r w:rsidR="00F61885">
        <w:rPr>
          <w:rFonts w:cs="Arial"/>
          <w:sz w:val="22"/>
          <w:szCs w:val="22"/>
        </w:rPr>
        <w:t xml:space="preserve">for FY 2015-16.  Further, </w:t>
      </w:r>
      <w:r w:rsidR="00F61885">
        <w:rPr>
          <w:sz w:val="22"/>
          <w:szCs w:val="22"/>
        </w:rPr>
        <w:t xml:space="preserve">petitioner requests Hon’ble Commission to allow separate compensation allowance of Rs. 0.65 lac /  MW / year as per Clause No.6.44 of DERC MYT Regulation, 2011 to meet out additional expenditure on procurement of new assets of capital nature including in the nature of minor assets. </w:t>
      </w:r>
      <w:r w:rsidR="001A5B8D">
        <w:rPr>
          <w:sz w:val="22"/>
          <w:szCs w:val="22"/>
        </w:rPr>
        <w:t>As</w:t>
      </w:r>
      <w:r w:rsidR="00777EC8">
        <w:rPr>
          <w:sz w:val="22"/>
          <w:szCs w:val="22"/>
        </w:rPr>
        <w:t xml:space="preserve"> DPCC/CPCB instruction is to install   </w:t>
      </w:r>
      <w:r w:rsidR="00001502">
        <w:rPr>
          <w:sz w:val="22"/>
          <w:szCs w:val="22"/>
        </w:rPr>
        <w:t>continuous stack</w:t>
      </w:r>
      <w:r w:rsidR="00777EC8">
        <w:rPr>
          <w:sz w:val="22"/>
          <w:szCs w:val="22"/>
        </w:rPr>
        <w:t xml:space="preserve"> monitoring syst</w:t>
      </w:r>
      <w:r w:rsidR="00C74F23">
        <w:rPr>
          <w:sz w:val="22"/>
          <w:szCs w:val="22"/>
        </w:rPr>
        <w:t xml:space="preserve">em (CSEM) for measurement of PM, </w:t>
      </w:r>
      <w:r w:rsidR="00777EC8">
        <w:rPr>
          <w:sz w:val="22"/>
          <w:szCs w:val="22"/>
        </w:rPr>
        <w:t>NOX, SO</w:t>
      </w:r>
      <w:r w:rsidR="00777EC8" w:rsidRPr="0045760E">
        <w:rPr>
          <w:sz w:val="22"/>
          <w:szCs w:val="22"/>
          <w:vertAlign w:val="subscript"/>
        </w:rPr>
        <w:t>2</w:t>
      </w:r>
      <w:r w:rsidR="00E2051A">
        <w:rPr>
          <w:sz w:val="22"/>
          <w:szCs w:val="22"/>
          <w:vertAlign w:val="subscript"/>
        </w:rPr>
        <w:t xml:space="preserve">. </w:t>
      </w:r>
      <w:r w:rsidR="00E2051A">
        <w:rPr>
          <w:sz w:val="22"/>
          <w:szCs w:val="22"/>
        </w:rPr>
        <w:t xml:space="preserve"> </w:t>
      </w:r>
      <w:r w:rsidR="00777EC8">
        <w:rPr>
          <w:sz w:val="22"/>
          <w:szCs w:val="22"/>
        </w:rPr>
        <w:t xml:space="preserve">The System is to be installed not </w:t>
      </w:r>
      <w:r w:rsidR="00001502">
        <w:rPr>
          <w:sz w:val="22"/>
          <w:szCs w:val="22"/>
        </w:rPr>
        <w:t>later than</w:t>
      </w:r>
      <w:r w:rsidR="00777EC8">
        <w:rPr>
          <w:sz w:val="22"/>
          <w:szCs w:val="22"/>
        </w:rPr>
        <w:t xml:space="preserve"> 31th march 2015.  No compliance of the same will lead to withdrawn of consent to operate . </w:t>
      </w:r>
      <w:r w:rsidR="00C74F23">
        <w:rPr>
          <w:sz w:val="22"/>
          <w:szCs w:val="22"/>
        </w:rPr>
        <w:t>I</w:t>
      </w:r>
      <w:r w:rsidR="00777EC8">
        <w:rPr>
          <w:sz w:val="22"/>
          <w:szCs w:val="22"/>
        </w:rPr>
        <w:t xml:space="preserve">n order to comply with the provisions IPGCL have submitted a Bank Guarantee of Rs 26.00 Lacs, failing which DPCC will forfeit the BG.  </w:t>
      </w:r>
    </w:p>
    <w:p w:rsidR="00777EC8" w:rsidRDefault="00777EC8" w:rsidP="00777EC8">
      <w:pPr>
        <w:rPr>
          <w:sz w:val="22"/>
          <w:szCs w:val="22"/>
        </w:rPr>
      </w:pPr>
    </w:p>
    <w:p w:rsidR="00777EC8" w:rsidRDefault="00777EC8" w:rsidP="00777EC8">
      <w:pPr>
        <w:rPr>
          <w:sz w:val="22"/>
          <w:szCs w:val="22"/>
        </w:rPr>
      </w:pPr>
      <w:r>
        <w:rPr>
          <w:sz w:val="22"/>
          <w:szCs w:val="22"/>
        </w:rPr>
        <w:t>To bring down the emission  from chimney below the level of 150 mg/NM</w:t>
      </w:r>
      <w:r w:rsidRPr="00515883">
        <w:rPr>
          <w:sz w:val="22"/>
          <w:szCs w:val="22"/>
          <w:vertAlign w:val="superscript"/>
        </w:rPr>
        <w:t>3</w:t>
      </w:r>
      <w:r>
        <w:rPr>
          <w:sz w:val="22"/>
          <w:szCs w:val="22"/>
        </w:rPr>
        <w:t xml:space="preserve">, BHEL have suggested various measures i.e. increase of physical size and number of ESP fields/installation of new bigger size ESP/conversion of one ESP pass as Bag filter etc., requiring unit shutdown of approx. 9-12 months with an estimated cost of </w:t>
      </w:r>
      <w:r>
        <w:rPr>
          <w:sz w:val="22"/>
          <w:szCs w:val="22"/>
        </w:rPr>
        <w:lastRenderedPageBreak/>
        <w:t>several crores.</w:t>
      </w:r>
      <w:r w:rsidR="002909A2">
        <w:rPr>
          <w:sz w:val="22"/>
          <w:szCs w:val="22"/>
        </w:rPr>
        <w:t xml:space="preserve"> </w:t>
      </w:r>
      <w:r>
        <w:rPr>
          <w:sz w:val="22"/>
          <w:szCs w:val="22"/>
        </w:rPr>
        <w:t>These options are not being exercised considering the limited life span of plant / long shutdown as well as due to the involved cost</w:t>
      </w:r>
      <w:r w:rsidR="002909A2">
        <w:rPr>
          <w:sz w:val="22"/>
          <w:szCs w:val="22"/>
        </w:rPr>
        <w:t xml:space="preserve"> ant anticipated closure</w:t>
      </w:r>
      <w:r>
        <w:rPr>
          <w:sz w:val="22"/>
          <w:szCs w:val="22"/>
        </w:rPr>
        <w:t>.</w:t>
      </w:r>
    </w:p>
    <w:p w:rsidR="00777EC8" w:rsidRDefault="00777EC8" w:rsidP="00777EC8">
      <w:pPr>
        <w:rPr>
          <w:sz w:val="22"/>
          <w:szCs w:val="22"/>
        </w:rPr>
      </w:pPr>
    </w:p>
    <w:p w:rsidR="00777EC8" w:rsidRDefault="00C74F23" w:rsidP="00777EC8">
      <w:pPr>
        <w:rPr>
          <w:sz w:val="22"/>
          <w:szCs w:val="22"/>
        </w:rPr>
      </w:pPr>
      <w:r>
        <w:rPr>
          <w:sz w:val="22"/>
          <w:szCs w:val="22"/>
        </w:rPr>
        <w:t>Therefore a</w:t>
      </w:r>
      <w:r w:rsidR="00777EC8">
        <w:rPr>
          <w:sz w:val="22"/>
          <w:szCs w:val="22"/>
        </w:rPr>
        <w:t xml:space="preserve">fter studying various schemes as given in BHEL’s feasibility report, </w:t>
      </w:r>
      <w:r w:rsidR="00201625">
        <w:rPr>
          <w:sz w:val="22"/>
          <w:szCs w:val="22"/>
        </w:rPr>
        <w:t>petitioner</w:t>
      </w:r>
      <w:r w:rsidR="00777EC8">
        <w:rPr>
          <w:sz w:val="22"/>
          <w:szCs w:val="22"/>
        </w:rPr>
        <w:t xml:space="preserve"> has decided to get overhauled the ESP system along with installation of up-graded version of ESP controllers &amp; rapping system.  This has been planned for Unit-2 and shall be implemented during</w:t>
      </w:r>
      <w:r w:rsidR="00761AA6">
        <w:rPr>
          <w:sz w:val="22"/>
          <w:szCs w:val="22"/>
        </w:rPr>
        <w:t xml:space="preserve"> fourth quarter of </w:t>
      </w:r>
      <w:r w:rsidR="00777EC8">
        <w:rPr>
          <w:sz w:val="22"/>
          <w:szCs w:val="22"/>
        </w:rPr>
        <w:t xml:space="preserve"> 2014-15 itself.</w:t>
      </w:r>
      <w:r w:rsidR="00C504E5">
        <w:rPr>
          <w:sz w:val="22"/>
          <w:szCs w:val="22"/>
        </w:rPr>
        <w:t xml:space="preserve">  </w:t>
      </w:r>
      <w:r w:rsidR="00777EC8">
        <w:rPr>
          <w:sz w:val="22"/>
          <w:szCs w:val="22"/>
        </w:rPr>
        <w:t>Up graded version of controllers (SRECA-II) is being ordered to BHEL, which along with overhauling of ESP, boiler &amp; other related works will enable to achieve &lt;150 mg/NM</w:t>
      </w:r>
      <w:r w:rsidR="00777EC8" w:rsidRPr="00067BA8">
        <w:rPr>
          <w:sz w:val="22"/>
          <w:szCs w:val="22"/>
          <w:vertAlign w:val="superscript"/>
        </w:rPr>
        <w:t>3</w:t>
      </w:r>
      <w:r w:rsidR="00777EC8">
        <w:rPr>
          <w:sz w:val="22"/>
          <w:szCs w:val="22"/>
        </w:rPr>
        <w:t>.  Cost involved is 161 lacs per Unit.</w:t>
      </w:r>
      <w:r w:rsidR="00D76763">
        <w:rPr>
          <w:sz w:val="22"/>
          <w:szCs w:val="22"/>
        </w:rPr>
        <w:t xml:space="preserve"> </w:t>
      </w:r>
      <w:r w:rsidR="00777EC8">
        <w:rPr>
          <w:sz w:val="22"/>
          <w:szCs w:val="22"/>
        </w:rPr>
        <w:t>Overhauling of Unit-2 ESP along with Boiler &amp; TG has already been commenced &amp; shall be completed by the end of March, 2015.</w:t>
      </w:r>
    </w:p>
    <w:p w:rsidR="00F61885" w:rsidRDefault="00F61885" w:rsidP="00F61885">
      <w:pPr>
        <w:ind w:firstLine="360"/>
        <w:rPr>
          <w:sz w:val="22"/>
          <w:szCs w:val="22"/>
        </w:rPr>
      </w:pPr>
      <w:r>
        <w:rPr>
          <w:sz w:val="22"/>
          <w:szCs w:val="22"/>
        </w:rPr>
        <w:t xml:space="preserve"> </w:t>
      </w:r>
      <w:r w:rsidR="00C504E5">
        <w:rPr>
          <w:sz w:val="22"/>
          <w:szCs w:val="22"/>
        </w:rPr>
        <w:t xml:space="preserve">Petitioner therefore requests hon,ble commission to allow following </w:t>
      </w:r>
      <w:r>
        <w:rPr>
          <w:sz w:val="22"/>
          <w:szCs w:val="22"/>
        </w:rPr>
        <w:t xml:space="preserve"> expenditure under Clauses 6.15 &amp; 6.44 </w:t>
      </w:r>
      <w:r w:rsidR="00C504E5">
        <w:rPr>
          <w:sz w:val="22"/>
          <w:szCs w:val="22"/>
        </w:rPr>
        <w:t>of MYT 2011 regulation</w:t>
      </w:r>
      <w:r>
        <w:rPr>
          <w:sz w:val="22"/>
          <w:szCs w:val="22"/>
        </w:rPr>
        <w:t xml:space="preserve"> :</w:t>
      </w:r>
    </w:p>
    <w:p w:rsidR="00F61885" w:rsidRDefault="00F61885" w:rsidP="00F61885">
      <w:pPr>
        <w:pStyle w:val="Caption"/>
        <w:jc w:val="center"/>
      </w:pPr>
      <w:bookmarkStart w:id="94" w:name="_Toc411604013"/>
      <w:r>
        <w:t xml:space="preserve">Table </w:t>
      </w:r>
      <w:fldSimple w:instr=" SEQ Table \* ARABIC ">
        <w:r w:rsidR="002326CE">
          <w:rPr>
            <w:noProof/>
          </w:rPr>
          <w:t>36</w:t>
        </w:r>
      </w:fldSimple>
      <w:r>
        <w:t xml:space="preserve"> : Special allowances for RPH</w:t>
      </w:r>
      <w:bookmarkEnd w:id="94"/>
    </w:p>
    <w:tbl>
      <w:tblPr>
        <w:tblW w:w="8928" w:type="dxa"/>
        <w:tblInd w:w="90" w:type="dxa"/>
        <w:tblLook w:val="0000"/>
      </w:tblPr>
      <w:tblGrid>
        <w:gridCol w:w="4158"/>
        <w:gridCol w:w="1144"/>
        <w:gridCol w:w="1282"/>
        <w:gridCol w:w="999"/>
        <w:gridCol w:w="1345"/>
      </w:tblGrid>
      <w:tr w:rsidR="00F61885" w:rsidRPr="00F71DD6" w:rsidTr="0087497F">
        <w:trPr>
          <w:trHeight w:val="582"/>
        </w:trPr>
        <w:tc>
          <w:tcPr>
            <w:tcW w:w="4158"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F61885" w:rsidRDefault="00F61885" w:rsidP="00433B1A">
            <w:pPr>
              <w:spacing w:line="240" w:lineRule="auto"/>
              <w:rPr>
                <w:b/>
                <w:bCs/>
                <w:color w:val="FFFFFF"/>
                <w:sz w:val="20"/>
                <w:szCs w:val="20"/>
              </w:rPr>
            </w:pPr>
            <w:r>
              <w:rPr>
                <w:b/>
                <w:bCs/>
                <w:color w:val="FFFFFF"/>
                <w:sz w:val="20"/>
                <w:szCs w:val="20"/>
              </w:rPr>
              <w:t xml:space="preserve">Particulars </w:t>
            </w:r>
          </w:p>
          <w:p w:rsidR="00F61885" w:rsidRDefault="00F61885" w:rsidP="00433B1A">
            <w:pPr>
              <w:spacing w:line="240" w:lineRule="auto"/>
              <w:rPr>
                <w:b/>
                <w:bCs/>
                <w:color w:val="FFFFFF"/>
                <w:sz w:val="20"/>
                <w:szCs w:val="20"/>
              </w:rPr>
            </w:pPr>
            <w:r>
              <w:rPr>
                <w:b/>
                <w:bCs/>
                <w:color w:val="FFFFFF"/>
                <w:sz w:val="20"/>
                <w:szCs w:val="20"/>
              </w:rPr>
              <w:t>(Rs. Crores)</w:t>
            </w:r>
          </w:p>
        </w:tc>
        <w:tc>
          <w:tcPr>
            <w:tcW w:w="1144" w:type="dxa"/>
            <w:tcBorders>
              <w:top w:val="single" w:sz="4" w:space="0" w:color="auto"/>
              <w:left w:val="nil"/>
              <w:bottom w:val="single" w:sz="4" w:space="0" w:color="auto"/>
              <w:right w:val="single" w:sz="4" w:space="0" w:color="auto"/>
            </w:tcBorders>
            <w:shd w:val="clear" w:color="auto" w:fill="000080"/>
            <w:vAlign w:val="center"/>
          </w:tcPr>
          <w:p w:rsidR="00F61885" w:rsidRPr="005A7CA3" w:rsidRDefault="00F61885" w:rsidP="00433B1A">
            <w:pPr>
              <w:spacing w:line="240" w:lineRule="auto"/>
              <w:ind w:left="-108" w:right="-108"/>
              <w:jc w:val="center"/>
              <w:rPr>
                <w:rFonts w:cs="Arial"/>
                <w:b/>
                <w:sz w:val="20"/>
                <w:szCs w:val="20"/>
              </w:rPr>
            </w:pPr>
            <w:r w:rsidRPr="005A7CA3">
              <w:rPr>
                <w:rFonts w:cs="Arial"/>
                <w:b/>
                <w:sz w:val="20"/>
                <w:szCs w:val="20"/>
              </w:rPr>
              <w:t>12-13</w:t>
            </w:r>
          </w:p>
        </w:tc>
        <w:tc>
          <w:tcPr>
            <w:tcW w:w="1282" w:type="dxa"/>
            <w:tcBorders>
              <w:top w:val="single" w:sz="4" w:space="0" w:color="auto"/>
              <w:left w:val="nil"/>
              <w:bottom w:val="single" w:sz="4" w:space="0" w:color="auto"/>
              <w:right w:val="single" w:sz="4" w:space="0" w:color="auto"/>
            </w:tcBorders>
            <w:shd w:val="clear" w:color="auto" w:fill="000080"/>
            <w:vAlign w:val="center"/>
          </w:tcPr>
          <w:p w:rsidR="00F61885" w:rsidRDefault="00F61885" w:rsidP="00433B1A">
            <w:pPr>
              <w:spacing w:line="240" w:lineRule="auto"/>
              <w:ind w:left="-108" w:right="-108"/>
              <w:jc w:val="center"/>
              <w:rPr>
                <w:rFonts w:cs="Arial"/>
                <w:b/>
                <w:bCs/>
                <w:sz w:val="20"/>
                <w:szCs w:val="20"/>
              </w:rPr>
            </w:pPr>
            <w:r>
              <w:rPr>
                <w:rFonts w:cs="Arial"/>
                <w:b/>
                <w:bCs/>
                <w:sz w:val="20"/>
                <w:szCs w:val="20"/>
              </w:rPr>
              <w:t>13-14</w:t>
            </w:r>
          </w:p>
        </w:tc>
        <w:tc>
          <w:tcPr>
            <w:tcW w:w="999" w:type="dxa"/>
            <w:tcBorders>
              <w:top w:val="single" w:sz="4" w:space="0" w:color="auto"/>
              <w:left w:val="nil"/>
              <w:bottom w:val="single" w:sz="4" w:space="0" w:color="auto"/>
              <w:right w:val="single" w:sz="4" w:space="0" w:color="auto"/>
            </w:tcBorders>
            <w:shd w:val="clear" w:color="auto" w:fill="000080"/>
            <w:vAlign w:val="center"/>
          </w:tcPr>
          <w:p w:rsidR="00F61885" w:rsidRDefault="00F61885" w:rsidP="00433B1A">
            <w:pPr>
              <w:spacing w:line="240" w:lineRule="auto"/>
              <w:ind w:left="-108" w:right="-108"/>
              <w:jc w:val="center"/>
              <w:rPr>
                <w:rFonts w:cs="Arial"/>
                <w:b/>
                <w:bCs/>
                <w:sz w:val="20"/>
                <w:szCs w:val="20"/>
              </w:rPr>
            </w:pPr>
            <w:r>
              <w:rPr>
                <w:rFonts w:cs="Arial"/>
                <w:b/>
                <w:bCs/>
                <w:sz w:val="20"/>
                <w:szCs w:val="20"/>
              </w:rPr>
              <w:t>14-15</w:t>
            </w:r>
          </w:p>
        </w:tc>
        <w:tc>
          <w:tcPr>
            <w:tcW w:w="1345" w:type="dxa"/>
            <w:tcBorders>
              <w:top w:val="single" w:sz="4" w:space="0" w:color="auto"/>
              <w:left w:val="nil"/>
              <w:bottom w:val="single" w:sz="4" w:space="0" w:color="auto"/>
              <w:right w:val="single" w:sz="4" w:space="0" w:color="auto"/>
            </w:tcBorders>
            <w:shd w:val="clear" w:color="auto" w:fill="000080"/>
            <w:vAlign w:val="center"/>
          </w:tcPr>
          <w:p w:rsidR="00F71DD6" w:rsidRPr="00F71DD6" w:rsidRDefault="00F71DD6" w:rsidP="00F71DD6">
            <w:pPr>
              <w:spacing w:line="240" w:lineRule="auto"/>
              <w:ind w:left="-108" w:right="-108"/>
              <w:jc w:val="center"/>
              <w:rPr>
                <w:rFonts w:cs="Arial"/>
                <w:b/>
                <w:bCs/>
                <w:sz w:val="20"/>
                <w:szCs w:val="20"/>
              </w:rPr>
            </w:pPr>
            <w:r w:rsidRPr="00F71DD6">
              <w:rPr>
                <w:rFonts w:cs="Arial"/>
                <w:b/>
                <w:bCs/>
                <w:sz w:val="20"/>
                <w:szCs w:val="20"/>
              </w:rPr>
              <w:t>15-16</w:t>
            </w:r>
          </w:p>
          <w:p w:rsidR="00F61885" w:rsidRPr="00F71DD6" w:rsidRDefault="00F71DD6" w:rsidP="00F71DD6">
            <w:pPr>
              <w:spacing w:line="240" w:lineRule="auto"/>
              <w:ind w:left="-108" w:right="-108"/>
              <w:jc w:val="center"/>
              <w:rPr>
                <w:rFonts w:cs="Arial"/>
                <w:b/>
                <w:bCs/>
                <w:sz w:val="20"/>
                <w:szCs w:val="20"/>
              </w:rPr>
            </w:pPr>
            <w:r w:rsidRPr="00F71DD6">
              <w:rPr>
                <w:rFonts w:cs="Arial"/>
                <w:b/>
                <w:bCs/>
                <w:sz w:val="20"/>
                <w:szCs w:val="20"/>
              </w:rPr>
              <w:t>(Estimated)</w:t>
            </w:r>
          </w:p>
        </w:tc>
      </w:tr>
      <w:tr w:rsidR="00F61885" w:rsidTr="0087497F">
        <w:trPr>
          <w:trHeight w:val="645"/>
        </w:trPr>
        <w:tc>
          <w:tcPr>
            <w:tcW w:w="4158" w:type="dxa"/>
            <w:tcBorders>
              <w:top w:val="nil"/>
              <w:left w:val="single" w:sz="4" w:space="0" w:color="auto"/>
              <w:bottom w:val="single" w:sz="4" w:space="0" w:color="auto"/>
              <w:right w:val="single" w:sz="4" w:space="0" w:color="auto"/>
            </w:tcBorders>
            <w:shd w:val="clear" w:color="auto" w:fill="auto"/>
            <w:vAlign w:val="center"/>
          </w:tcPr>
          <w:p w:rsidR="00F61885" w:rsidRDefault="00F61885" w:rsidP="00433B1A">
            <w:pPr>
              <w:spacing w:line="240" w:lineRule="auto"/>
              <w:ind w:left="-90" w:right="72"/>
              <w:jc w:val="left"/>
              <w:rPr>
                <w:sz w:val="20"/>
                <w:szCs w:val="20"/>
              </w:rPr>
            </w:pPr>
            <w:r>
              <w:rPr>
                <w:sz w:val="20"/>
                <w:szCs w:val="20"/>
              </w:rPr>
              <w:t xml:space="preserve">Compensation as per Clause 6.15 on account of Renovation &amp; Modernization </w:t>
            </w:r>
          </w:p>
        </w:tc>
        <w:tc>
          <w:tcPr>
            <w:tcW w:w="1144" w:type="dxa"/>
            <w:tcBorders>
              <w:top w:val="nil"/>
              <w:left w:val="nil"/>
              <w:bottom w:val="single" w:sz="4" w:space="0" w:color="auto"/>
              <w:right w:val="single" w:sz="4" w:space="0" w:color="auto"/>
            </w:tcBorders>
            <w:shd w:val="clear" w:color="auto" w:fill="auto"/>
            <w:vAlign w:val="center"/>
          </w:tcPr>
          <w:p w:rsidR="00F61885" w:rsidRDefault="00F61885" w:rsidP="00433B1A">
            <w:pPr>
              <w:spacing w:line="240" w:lineRule="auto"/>
              <w:ind w:left="-108" w:right="-108"/>
              <w:jc w:val="center"/>
              <w:rPr>
                <w:rFonts w:ascii="Arial" w:hAnsi="Arial"/>
                <w:sz w:val="20"/>
                <w:szCs w:val="20"/>
              </w:rPr>
            </w:pPr>
            <w:r>
              <w:rPr>
                <w:rFonts w:ascii="Arial" w:hAnsi="Arial"/>
                <w:sz w:val="20"/>
                <w:szCs w:val="20"/>
              </w:rPr>
              <w:t xml:space="preserve">5.1861 </w:t>
            </w:r>
          </w:p>
        </w:tc>
        <w:tc>
          <w:tcPr>
            <w:tcW w:w="1282" w:type="dxa"/>
            <w:tcBorders>
              <w:top w:val="nil"/>
              <w:left w:val="nil"/>
              <w:bottom w:val="single" w:sz="4" w:space="0" w:color="auto"/>
              <w:right w:val="single" w:sz="4" w:space="0" w:color="auto"/>
            </w:tcBorders>
            <w:shd w:val="clear" w:color="auto" w:fill="auto"/>
            <w:vAlign w:val="center"/>
          </w:tcPr>
          <w:p w:rsidR="00F61885" w:rsidRDefault="00F61885" w:rsidP="00433B1A">
            <w:pPr>
              <w:spacing w:line="240" w:lineRule="auto"/>
              <w:ind w:left="-108" w:right="-108"/>
              <w:jc w:val="center"/>
              <w:rPr>
                <w:rFonts w:ascii="Arial" w:hAnsi="Arial"/>
                <w:sz w:val="20"/>
                <w:szCs w:val="20"/>
              </w:rPr>
            </w:pPr>
            <w:r>
              <w:rPr>
                <w:rFonts w:ascii="Arial" w:hAnsi="Arial"/>
                <w:sz w:val="20"/>
                <w:szCs w:val="20"/>
              </w:rPr>
              <w:t>5.4827</w:t>
            </w:r>
          </w:p>
        </w:tc>
        <w:tc>
          <w:tcPr>
            <w:tcW w:w="999" w:type="dxa"/>
            <w:tcBorders>
              <w:top w:val="nil"/>
              <w:left w:val="nil"/>
              <w:bottom w:val="single" w:sz="4" w:space="0" w:color="auto"/>
              <w:right w:val="single" w:sz="4" w:space="0" w:color="auto"/>
            </w:tcBorders>
            <w:shd w:val="clear" w:color="auto" w:fill="auto"/>
            <w:vAlign w:val="center"/>
          </w:tcPr>
          <w:p w:rsidR="00F61885" w:rsidRDefault="00F61885" w:rsidP="00433B1A">
            <w:pPr>
              <w:spacing w:line="240" w:lineRule="auto"/>
              <w:ind w:left="-108" w:right="-108"/>
              <w:jc w:val="center"/>
              <w:rPr>
                <w:rFonts w:ascii="Arial" w:hAnsi="Arial"/>
                <w:sz w:val="20"/>
                <w:szCs w:val="20"/>
              </w:rPr>
            </w:pPr>
            <w:r>
              <w:rPr>
                <w:rFonts w:ascii="Arial" w:hAnsi="Arial"/>
                <w:sz w:val="20"/>
                <w:szCs w:val="20"/>
              </w:rPr>
              <w:t>5.7963</w:t>
            </w:r>
          </w:p>
        </w:tc>
        <w:tc>
          <w:tcPr>
            <w:tcW w:w="1345" w:type="dxa"/>
            <w:tcBorders>
              <w:top w:val="nil"/>
              <w:left w:val="nil"/>
              <w:bottom w:val="single" w:sz="4" w:space="0" w:color="auto"/>
              <w:right w:val="single" w:sz="4" w:space="0" w:color="auto"/>
            </w:tcBorders>
            <w:shd w:val="clear" w:color="auto" w:fill="auto"/>
            <w:vAlign w:val="center"/>
          </w:tcPr>
          <w:p w:rsidR="00F61885" w:rsidRDefault="00F61885" w:rsidP="00433B1A">
            <w:pPr>
              <w:spacing w:line="240" w:lineRule="auto"/>
              <w:ind w:left="-108" w:right="-108"/>
              <w:jc w:val="center"/>
              <w:rPr>
                <w:rFonts w:ascii="Arial" w:hAnsi="Arial"/>
                <w:sz w:val="20"/>
                <w:szCs w:val="20"/>
              </w:rPr>
            </w:pPr>
            <w:r>
              <w:rPr>
                <w:rFonts w:ascii="Arial" w:hAnsi="Arial"/>
                <w:sz w:val="20"/>
                <w:szCs w:val="20"/>
              </w:rPr>
              <w:t>6.1278</w:t>
            </w:r>
          </w:p>
        </w:tc>
      </w:tr>
      <w:tr w:rsidR="00F61885" w:rsidTr="0087497F">
        <w:trPr>
          <w:trHeight w:val="693"/>
        </w:trPr>
        <w:tc>
          <w:tcPr>
            <w:tcW w:w="4158" w:type="dxa"/>
            <w:tcBorders>
              <w:top w:val="nil"/>
              <w:left w:val="single" w:sz="4" w:space="0" w:color="auto"/>
              <w:bottom w:val="single" w:sz="4" w:space="0" w:color="auto"/>
              <w:right w:val="single" w:sz="4" w:space="0" w:color="auto"/>
            </w:tcBorders>
            <w:shd w:val="clear" w:color="auto" w:fill="auto"/>
            <w:vAlign w:val="center"/>
          </w:tcPr>
          <w:p w:rsidR="00F61885" w:rsidRDefault="00F61885" w:rsidP="00433B1A">
            <w:pPr>
              <w:spacing w:line="240" w:lineRule="auto"/>
              <w:ind w:left="-90" w:right="-108"/>
              <w:jc w:val="left"/>
              <w:rPr>
                <w:b/>
                <w:bCs/>
                <w:sz w:val="20"/>
                <w:szCs w:val="20"/>
              </w:rPr>
            </w:pPr>
            <w:r w:rsidRPr="00672D30">
              <w:rPr>
                <w:sz w:val="20"/>
                <w:szCs w:val="20"/>
              </w:rPr>
              <w:t>Compensation as per Clause 6.44 for acquiring new assets of capital nature.</w:t>
            </w:r>
          </w:p>
        </w:tc>
        <w:tc>
          <w:tcPr>
            <w:tcW w:w="1144" w:type="dxa"/>
            <w:tcBorders>
              <w:top w:val="nil"/>
              <w:left w:val="nil"/>
              <w:bottom w:val="single" w:sz="4" w:space="0" w:color="auto"/>
              <w:right w:val="single" w:sz="4" w:space="0" w:color="auto"/>
            </w:tcBorders>
            <w:shd w:val="clear" w:color="auto" w:fill="auto"/>
            <w:vAlign w:val="center"/>
          </w:tcPr>
          <w:p w:rsidR="00F61885" w:rsidRPr="00672D30" w:rsidRDefault="00F61885" w:rsidP="00433B1A">
            <w:pPr>
              <w:spacing w:line="240" w:lineRule="auto"/>
              <w:ind w:left="-108" w:right="-108"/>
              <w:jc w:val="center"/>
              <w:rPr>
                <w:rFonts w:ascii="Arial" w:hAnsi="Arial"/>
                <w:bCs/>
                <w:sz w:val="20"/>
                <w:szCs w:val="20"/>
              </w:rPr>
            </w:pPr>
            <w:r w:rsidRPr="00672D30">
              <w:rPr>
                <w:rFonts w:ascii="Arial" w:hAnsi="Arial"/>
                <w:bCs/>
                <w:sz w:val="20"/>
                <w:szCs w:val="20"/>
              </w:rPr>
              <w:t>0.8775</w:t>
            </w:r>
          </w:p>
        </w:tc>
        <w:tc>
          <w:tcPr>
            <w:tcW w:w="1282" w:type="dxa"/>
            <w:tcBorders>
              <w:top w:val="nil"/>
              <w:left w:val="nil"/>
              <w:bottom w:val="single" w:sz="4" w:space="0" w:color="auto"/>
              <w:right w:val="single" w:sz="4" w:space="0" w:color="auto"/>
            </w:tcBorders>
            <w:shd w:val="clear" w:color="auto" w:fill="auto"/>
            <w:vAlign w:val="center"/>
          </w:tcPr>
          <w:p w:rsidR="00F61885" w:rsidRPr="00672D30" w:rsidRDefault="00F61885" w:rsidP="00433B1A">
            <w:pPr>
              <w:spacing w:line="240" w:lineRule="auto"/>
              <w:ind w:left="-108" w:right="-108"/>
              <w:jc w:val="center"/>
              <w:rPr>
                <w:rFonts w:ascii="Arial" w:hAnsi="Arial"/>
                <w:bCs/>
                <w:sz w:val="20"/>
                <w:szCs w:val="20"/>
              </w:rPr>
            </w:pPr>
            <w:r w:rsidRPr="00672D30">
              <w:rPr>
                <w:rFonts w:ascii="Arial" w:hAnsi="Arial"/>
                <w:bCs/>
                <w:sz w:val="20"/>
                <w:szCs w:val="20"/>
              </w:rPr>
              <w:t>0.8775</w:t>
            </w:r>
          </w:p>
        </w:tc>
        <w:tc>
          <w:tcPr>
            <w:tcW w:w="999" w:type="dxa"/>
            <w:tcBorders>
              <w:top w:val="nil"/>
              <w:left w:val="nil"/>
              <w:bottom w:val="single" w:sz="4" w:space="0" w:color="auto"/>
              <w:right w:val="single" w:sz="4" w:space="0" w:color="auto"/>
            </w:tcBorders>
            <w:shd w:val="clear" w:color="auto" w:fill="auto"/>
            <w:vAlign w:val="center"/>
          </w:tcPr>
          <w:p w:rsidR="00F61885" w:rsidRPr="00672D30" w:rsidRDefault="00F61885" w:rsidP="00433B1A">
            <w:pPr>
              <w:spacing w:line="240" w:lineRule="auto"/>
              <w:ind w:left="-108" w:right="-108"/>
              <w:jc w:val="center"/>
              <w:rPr>
                <w:rFonts w:ascii="Arial" w:hAnsi="Arial"/>
                <w:bCs/>
                <w:sz w:val="20"/>
                <w:szCs w:val="20"/>
              </w:rPr>
            </w:pPr>
            <w:r w:rsidRPr="00672D30">
              <w:rPr>
                <w:rFonts w:ascii="Arial" w:hAnsi="Arial"/>
                <w:bCs/>
                <w:sz w:val="20"/>
                <w:szCs w:val="20"/>
              </w:rPr>
              <w:t>0.8775</w:t>
            </w:r>
          </w:p>
        </w:tc>
        <w:tc>
          <w:tcPr>
            <w:tcW w:w="1345" w:type="dxa"/>
            <w:tcBorders>
              <w:top w:val="nil"/>
              <w:left w:val="nil"/>
              <w:bottom w:val="single" w:sz="4" w:space="0" w:color="auto"/>
              <w:right w:val="single" w:sz="4" w:space="0" w:color="auto"/>
            </w:tcBorders>
            <w:shd w:val="clear" w:color="auto" w:fill="auto"/>
            <w:vAlign w:val="center"/>
          </w:tcPr>
          <w:p w:rsidR="00F61885" w:rsidRPr="00672D30" w:rsidRDefault="00F61885" w:rsidP="00433B1A">
            <w:pPr>
              <w:spacing w:line="240" w:lineRule="auto"/>
              <w:ind w:left="-108" w:right="-108"/>
              <w:jc w:val="center"/>
              <w:rPr>
                <w:rFonts w:ascii="Arial" w:hAnsi="Arial"/>
                <w:bCs/>
                <w:sz w:val="20"/>
                <w:szCs w:val="20"/>
              </w:rPr>
            </w:pPr>
            <w:r w:rsidRPr="00672D30">
              <w:rPr>
                <w:rFonts w:ascii="Arial" w:hAnsi="Arial"/>
                <w:bCs/>
                <w:sz w:val="20"/>
                <w:szCs w:val="20"/>
              </w:rPr>
              <w:t>0.8775</w:t>
            </w:r>
          </w:p>
        </w:tc>
      </w:tr>
      <w:tr w:rsidR="00F61885" w:rsidTr="0087497F">
        <w:trPr>
          <w:trHeight w:val="645"/>
        </w:trPr>
        <w:tc>
          <w:tcPr>
            <w:tcW w:w="4158" w:type="dxa"/>
            <w:tcBorders>
              <w:top w:val="nil"/>
              <w:left w:val="single" w:sz="4" w:space="0" w:color="auto"/>
              <w:bottom w:val="single" w:sz="4" w:space="0" w:color="auto"/>
              <w:right w:val="single" w:sz="4" w:space="0" w:color="auto"/>
            </w:tcBorders>
            <w:shd w:val="clear" w:color="auto" w:fill="auto"/>
            <w:vAlign w:val="center"/>
          </w:tcPr>
          <w:p w:rsidR="00F61885" w:rsidRPr="001522B6" w:rsidRDefault="00F61885" w:rsidP="00433B1A">
            <w:pPr>
              <w:spacing w:line="240" w:lineRule="auto"/>
              <w:ind w:left="-90" w:right="72"/>
              <w:jc w:val="left"/>
              <w:rPr>
                <w:b/>
                <w:sz w:val="20"/>
                <w:szCs w:val="20"/>
              </w:rPr>
            </w:pPr>
            <w:r>
              <w:rPr>
                <w:b/>
                <w:sz w:val="20"/>
                <w:szCs w:val="20"/>
              </w:rPr>
              <w:t xml:space="preserve">                                    </w:t>
            </w:r>
            <w:r w:rsidRPr="001522B6">
              <w:rPr>
                <w:b/>
                <w:sz w:val="20"/>
                <w:szCs w:val="20"/>
              </w:rPr>
              <w:t>Total</w:t>
            </w:r>
          </w:p>
        </w:tc>
        <w:tc>
          <w:tcPr>
            <w:tcW w:w="1144" w:type="dxa"/>
            <w:tcBorders>
              <w:top w:val="nil"/>
              <w:left w:val="nil"/>
              <w:bottom w:val="single" w:sz="4" w:space="0" w:color="auto"/>
              <w:right w:val="single" w:sz="4" w:space="0" w:color="auto"/>
            </w:tcBorders>
            <w:shd w:val="clear" w:color="auto" w:fill="auto"/>
            <w:vAlign w:val="center"/>
          </w:tcPr>
          <w:p w:rsidR="00F61885" w:rsidRPr="001522B6" w:rsidRDefault="00F61885" w:rsidP="00433B1A">
            <w:pPr>
              <w:spacing w:line="240" w:lineRule="auto"/>
              <w:ind w:left="-108" w:right="-108"/>
              <w:jc w:val="center"/>
              <w:rPr>
                <w:rFonts w:ascii="Arial" w:hAnsi="Arial"/>
                <w:b/>
                <w:sz w:val="20"/>
                <w:szCs w:val="20"/>
              </w:rPr>
            </w:pPr>
            <w:r w:rsidRPr="001522B6">
              <w:rPr>
                <w:rFonts w:ascii="Arial" w:hAnsi="Arial"/>
                <w:b/>
                <w:sz w:val="20"/>
                <w:szCs w:val="20"/>
              </w:rPr>
              <w:t>6.0636</w:t>
            </w:r>
          </w:p>
        </w:tc>
        <w:tc>
          <w:tcPr>
            <w:tcW w:w="1282" w:type="dxa"/>
            <w:tcBorders>
              <w:top w:val="nil"/>
              <w:left w:val="nil"/>
              <w:bottom w:val="single" w:sz="4" w:space="0" w:color="auto"/>
              <w:right w:val="single" w:sz="4" w:space="0" w:color="auto"/>
            </w:tcBorders>
            <w:shd w:val="clear" w:color="auto" w:fill="auto"/>
            <w:vAlign w:val="center"/>
          </w:tcPr>
          <w:p w:rsidR="00F61885" w:rsidRPr="001522B6" w:rsidRDefault="00F61885" w:rsidP="00433B1A">
            <w:pPr>
              <w:spacing w:line="240" w:lineRule="auto"/>
              <w:ind w:left="-108" w:right="-108"/>
              <w:jc w:val="center"/>
              <w:rPr>
                <w:rFonts w:ascii="Arial" w:hAnsi="Arial"/>
                <w:b/>
                <w:sz w:val="20"/>
                <w:szCs w:val="20"/>
              </w:rPr>
            </w:pPr>
            <w:r>
              <w:rPr>
                <w:rFonts w:ascii="Arial" w:hAnsi="Arial"/>
                <w:b/>
                <w:sz w:val="20"/>
                <w:szCs w:val="20"/>
              </w:rPr>
              <w:t>6.3602</w:t>
            </w:r>
          </w:p>
        </w:tc>
        <w:tc>
          <w:tcPr>
            <w:tcW w:w="999" w:type="dxa"/>
            <w:tcBorders>
              <w:top w:val="nil"/>
              <w:left w:val="nil"/>
              <w:bottom w:val="single" w:sz="4" w:space="0" w:color="auto"/>
              <w:right w:val="single" w:sz="4" w:space="0" w:color="auto"/>
            </w:tcBorders>
            <w:shd w:val="clear" w:color="auto" w:fill="auto"/>
            <w:vAlign w:val="center"/>
          </w:tcPr>
          <w:p w:rsidR="00F61885" w:rsidRPr="001522B6" w:rsidRDefault="00F61885" w:rsidP="00433B1A">
            <w:pPr>
              <w:spacing w:line="240" w:lineRule="auto"/>
              <w:ind w:left="-108" w:right="-108"/>
              <w:jc w:val="center"/>
              <w:rPr>
                <w:rFonts w:ascii="Arial" w:hAnsi="Arial"/>
                <w:b/>
                <w:sz w:val="20"/>
                <w:szCs w:val="20"/>
              </w:rPr>
            </w:pPr>
            <w:r>
              <w:rPr>
                <w:rFonts w:ascii="Arial" w:hAnsi="Arial"/>
                <w:b/>
                <w:sz w:val="20"/>
                <w:szCs w:val="20"/>
              </w:rPr>
              <w:t>6.6738</w:t>
            </w:r>
          </w:p>
        </w:tc>
        <w:tc>
          <w:tcPr>
            <w:tcW w:w="1345" w:type="dxa"/>
            <w:tcBorders>
              <w:top w:val="nil"/>
              <w:left w:val="nil"/>
              <w:bottom w:val="single" w:sz="4" w:space="0" w:color="auto"/>
              <w:right w:val="single" w:sz="4" w:space="0" w:color="auto"/>
            </w:tcBorders>
            <w:shd w:val="clear" w:color="auto" w:fill="auto"/>
            <w:vAlign w:val="center"/>
          </w:tcPr>
          <w:p w:rsidR="00F61885" w:rsidRPr="001522B6" w:rsidRDefault="00F61885" w:rsidP="00433B1A">
            <w:pPr>
              <w:spacing w:line="240" w:lineRule="auto"/>
              <w:ind w:left="-108" w:right="-108"/>
              <w:jc w:val="center"/>
              <w:rPr>
                <w:rFonts w:ascii="Arial" w:hAnsi="Arial"/>
                <w:b/>
                <w:sz w:val="20"/>
                <w:szCs w:val="20"/>
              </w:rPr>
            </w:pPr>
            <w:r>
              <w:rPr>
                <w:rFonts w:ascii="Arial" w:hAnsi="Arial"/>
                <w:b/>
                <w:sz w:val="20"/>
                <w:szCs w:val="20"/>
              </w:rPr>
              <w:t>7.0053</w:t>
            </w:r>
          </w:p>
        </w:tc>
      </w:tr>
    </w:tbl>
    <w:p w:rsidR="00C43BF7" w:rsidRDefault="00C43BF7" w:rsidP="00C43BF7">
      <w:pPr>
        <w:pStyle w:val="Heading3"/>
        <w:numPr>
          <w:ilvl w:val="2"/>
          <w:numId w:val="14"/>
        </w:numPr>
        <w:rPr>
          <w:rFonts w:ascii="Century Gothic" w:hAnsi="Century Gothic"/>
          <w:bCs w:val="0"/>
          <w:sz w:val="22"/>
          <w:szCs w:val="22"/>
        </w:rPr>
      </w:pPr>
      <w:bookmarkStart w:id="95" w:name="_Toc173941686"/>
      <w:bookmarkStart w:id="96" w:name="_Toc411605256"/>
      <w:r>
        <w:rPr>
          <w:rFonts w:ascii="Century Gothic" w:hAnsi="Century Gothic"/>
          <w:bCs w:val="0"/>
          <w:sz w:val="22"/>
          <w:szCs w:val="22"/>
        </w:rPr>
        <w:t>Summary of Fixed Cost</w:t>
      </w:r>
      <w:bookmarkEnd w:id="95"/>
      <w:bookmarkEnd w:id="96"/>
    </w:p>
    <w:p w:rsidR="00C43BF7" w:rsidRDefault="00FB3482" w:rsidP="00B208F1">
      <w:pPr>
        <w:ind w:left="540"/>
      </w:pPr>
      <w:r>
        <w:rPr>
          <w:sz w:val="22"/>
          <w:szCs w:val="22"/>
        </w:rPr>
        <w:t>The total Fixed Cost</w:t>
      </w:r>
      <w:r>
        <w:rPr>
          <w:rStyle w:val="FootnoteReference"/>
          <w:sz w:val="22"/>
          <w:szCs w:val="22"/>
        </w:rPr>
        <w:footnoteReference w:id="2"/>
      </w:r>
      <w:r>
        <w:rPr>
          <w:sz w:val="22"/>
          <w:szCs w:val="22"/>
        </w:rPr>
        <w:t xml:space="preserve"> for the control period for the FY</w:t>
      </w:r>
      <w:r w:rsidR="00987BF9">
        <w:rPr>
          <w:sz w:val="22"/>
          <w:szCs w:val="22"/>
        </w:rPr>
        <w:t xml:space="preserve"> </w:t>
      </w:r>
      <w:r>
        <w:rPr>
          <w:sz w:val="22"/>
          <w:szCs w:val="22"/>
        </w:rPr>
        <w:t>201</w:t>
      </w:r>
      <w:r w:rsidR="00B62E8A">
        <w:rPr>
          <w:sz w:val="22"/>
          <w:szCs w:val="22"/>
        </w:rPr>
        <w:t>2</w:t>
      </w:r>
      <w:r>
        <w:rPr>
          <w:sz w:val="22"/>
          <w:szCs w:val="22"/>
        </w:rPr>
        <w:t>-1</w:t>
      </w:r>
      <w:r w:rsidR="00B62E8A">
        <w:rPr>
          <w:sz w:val="22"/>
          <w:szCs w:val="22"/>
        </w:rPr>
        <w:t>3</w:t>
      </w:r>
      <w:r>
        <w:rPr>
          <w:sz w:val="22"/>
          <w:szCs w:val="22"/>
        </w:rPr>
        <w:t xml:space="preserve"> </w:t>
      </w:r>
      <w:r w:rsidR="0095308D">
        <w:rPr>
          <w:sz w:val="22"/>
          <w:szCs w:val="22"/>
        </w:rPr>
        <w:t>to FY 2014-15</w:t>
      </w:r>
      <w:r w:rsidR="00033CBA">
        <w:rPr>
          <w:sz w:val="22"/>
          <w:szCs w:val="22"/>
        </w:rPr>
        <w:t xml:space="preserve"> and extended period FY 2015-</w:t>
      </w:r>
      <w:r w:rsidR="0041482C">
        <w:rPr>
          <w:sz w:val="22"/>
          <w:szCs w:val="22"/>
        </w:rPr>
        <w:t>16 is</w:t>
      </w:r>
      <w:r w:rsidR="0095308D">
        <w:rPr>
          <w:sz w:val="22"/>
          <w:szCs w:val="22"/>
        </w:rPr>
        <w:t xml:space="preserve"> summarized as under</w:t>
      </w:r>
      <w:r>
        <w:rPr>
          <w:sz w:val="22"/>
          <w:szCs w:val="22"/>
        </w:rPr>
        <w:t>:</w:t>
      </w:r>
      <w:r w:rsidR="00256431">
        <w:tab/>
      </w:r>
    </w:p>
    <w:p w:rsidR="00114343" w:rsidRDefault="00114343" w:rsidP="009D5C2D">
      <w:pPr>
        <w:pStyle w:val="Caption"/>
        <w:jc w:val="center"/>
      </w:pPr>
    </w:p>
    <w:p w:rsidR="008F4809" w:rsidRDefault="008F4809" w:rsidP="008F4809"/>
    <w:p w:rsidR="008F4809" w:rsidRDefault="008F4809" w:rsidP="008F4809"/>
    <w:p w:rsidR="008F4809" w:rsidRPr="008F4809" w:rsidRDefault="008F4809" w:rsidP="008F4809"/>
    <w:p w:rsidR="005C33E6" w:rsidRPr="004E24F9" w:rsidRDefault="009D5C2D" w:rsidP="009D5C2D">
      <w:pPr>
        <w:pStyle w:val="Caption"/>
        <w:jc w:val="center"/>
      </w:pPr>
      <w:bookmarkStart w:id="97" w:name="_Toc411604014"/>
      <w:r w:rsidRPr="004E24F9">
        <w:lastRenderedPageBreak/>
        <w:t xml:space="preserve">Table </w:t>
      </w:r>
      <w:r w:rsidR="001D1793" w:rsidRPr="004E24F9">
        <w:fldChar w:fldCharType="begin"/>
      </w:r>
      <w:r w:rsidR="002563B9" w:rsidRPr="004E24F9">
        <w:instrText xml:space="preserve"> SEQ Table \* ARABIC </w:instrText>
      </w:r>
      <w:r w:rsidR="001D1793" w:rsidRPr="004E24F9">
        <w:fldChar w:fldCharType="separate"/>
      </w:r>
      <w:r w:rsidR="002326CE">
        <w:rPr>
          <w:noProof/>
        </w:rPr>
        <w:t>37</w:t>
      </w:r>
      <w:r w:rsidR="001D1793" w:rsidRPr="004E24F9">
        <w:fldChar w:fldCharType="end"/>
      </w:r>
      <w:r w:rsidRPr="004E24F9">
        <w:t xml:space="preserve"> : </w:t>
      </w:r>
      <w:r w:rsidR="005C33E6" w:rsidRPr="004E24F9">
        <w:t xml:space="preserve">Total Fixed Cost for </w:t>
      </w:r>
      <w:r w:rsidR="00997203" w:rsidRPr="004E24F9">
        <w:t>Rajghat Power House</w:t>
      </w:r>
      <w:bookmarkEnd w:id="97"/>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1530"/>
        <w:gridCol w:w="1530"/>
        <w:gridCol w:w="1530"/>
        <w:gridCol w:w="1620"/>
      </w:tblGrid>
      <w:tr w:rsidR="002F466E" w:rsidTr="0087497F">
        <w:trPr>
          <w:trHeight w:val="393"/>
        </w:trPr>
        <w:tc>
          <w:tcPr>
            <w:tcW w:w="2700" w:type="dxa"/>
            <w:shd w:val="clear" w:color="auto" w:fill="000080"/>
            <w:noWrap/>
            <w:vAlign w:val="center"/>
          </w:tcPr>
          <w:p w:rsidR="002F466E" w:rsidRDefault="002F466E" w:rsidP="004B304C">
            <w:pPr>
              <w:spacing w:line="240" w:lineRule="auto"/>
              <w:ind w:left="-108" w:right="-59"/>
              <w:jc w:val="left"/>
              <w:rPr>
                <w:b/>
                <w:bCs/>
                <w:color w:val="FFFFFF"/>
                <w:sz w:val="20"/>
                <w:szCs w:val="20"/>
              </w:rPr>
            </w:pPr>
            <w:r>
              <w:rPr>
                <w:b/>
                <w:bCs/>
                <w:color w:val="FFFFFF"/>
                <w:sz w:val="20"/>
                <w:szCs w:val="20"/>
              </w:rPr>
              <w:t>Particulars (Rs. Crores)</w:t>
            </w:r>
          </w:p>
        </w:tc>
        <w:tc>
          <w:tcPr>
            <w:tcW w:w="1530" w:type="dxa"/>
            <w:shd w:val="clear" w:color="auto" w:fill="000080"/>
            <w:vAlign w:val="center"/>
          </w:tcPr>
          <w:p w:rsidR="002F466E" w:rsidRDefault="002F466E" w:rsidP="004B304C">
            <w:pPr>
              <w:spacing w:line="240" w:lineRule="auto"/>
              <w:ind w:left="-157" w:right="-108"/>
              <w:jc w:val="center"/>
              <w:rPr>
                <w:rFonts w:cs="Arial"/>
                <w:b/>
                <w:bCs/>
                <w:sz w:val="20"/>
                <w:szCs w:val="20"/>
              </w:rPr>
            </w:pPr>
            <w:r>
              <w:rPr>
                <w:rFonts w:cs="Arial"/>
                <w:b/>
                <w:bCs/>
                <w:sz w:val="20"/>
                <w:szCs w:val="20"/>
              </w:rPr>
              <w:t>12-13</w:t>
            </w:r>
          </w:p>
        </w:tc>
        <w:tc>
          <w:tcPr>
            <w:tcW w:w="1530" w:type="dxa"/>
            <w:shd w:val="clear" w:color="auto" w:fill="000080"/>
            <w:vAlign w:val="center"/>
          </w:tcPr>
          <w:p w:rsidR="002F466E" w:rsidRDefault="002F466E" w:rsidP="004B304C">
            <w:pPr>
              <w:spacing w:line="240" w:lineRule="auto"/>
              <w:ind w:left="-157" w:right="-108"/>
              <w:jc w:val="center"/>
              <w:rPr>
                <w:rFonts w:cs="Arial"/>
                <w:b/>
                <w:bCs/>
                <w:sz w:val="20"/>
                <w:szCs w:val="20"/>
              </w:rPr>
            </w:pPr>
            <w:r>
              <w:rPr>
                <w:rFonts w:cs="Arial"/>
                <w:b/>
                <w:bCs/>
                <w:sz w:val="20"/>
                <w:szCs w:val="20"/>
              </w:rPr>
              <w:t>13-14</w:t>
            </w:r>
          </w:p>
        </w:tc>
        <w:tc>
          <w:tcPr>
            <w:tcW w:w="1530" w:type="dxa"/>
            <w:shd w:val="clear" w:color="auto" w:fill="000080"/>
            <w:vAlign w:val="center"/>
          </w:tcPr>
          <w:p w:rsidR="002F466E" w:rsidRDefault="002F466E" w:rsidP="004B304C">
            <w:pPr>
              <w:spacing w:line="240" w:lineRule="auto"/>
              <w:ind w:left="-157" w:right="-108"/>
              <w:jc w:val="center"/>
              <w:rPr>
                <w:rFonts w:cs="Arial"/>
                <w:b/>
                <w:bCs/>
                <w:sz w:val="20"/>
                <w:szCs w:val="20"/>
              </w:rPr>
            </w:pPr>
            <w:r>
              <w:rPr>
                <w:rFonts w:cs="Arial"/>
                <w:b/>
                <w:bCs/>
                <w:sz w:val="20"/>
                <w:szCs w:val="20"/>
              </w:rPr>
              <w:t>14-15</w:t>
            </w:r>
          </w:p>
        </w:tc>
        <w:tc>
          <w:tcPr>
            <w:tcW w:w="1620" w:type="dxa"/>
            <w:shd w:val="clear" w:color="auto" w:fill="000080"/>
          </w:tcPr>
          <w:p w:rsidR="00F71DD6" w:rsidRPr="00F71DD6" w:rsidRDefault="00F71DD6" w:rsidP="00F71DD6">
            <w:pPr>
              <w:spacing w:line="240" w:lineRule="auto"/>
              <w:ind w:left="-157" w:right="-108"/>
              <w:jc w:val="center"/>
              <w:rPr>
                <w:rFonts w:cs="Arial"/>
                <w:b/>
                <w:bCs/>
                <w:sz w:val="20"/>
                <w:szCs w:val="20"/>
              </w:rPr>
            </w:pPr>
            <w:r w:rsidRPr="00F71DD6">
              <w:rPr>
                <w:rFonts w:cs="Arial"/>
                <w:b/>
                <w:bCs/>
                <w:sz w:val="20"/>
                <w:szCs w:val="20"/>
              </w:rPr>
              <w:t>15-16</w:t>
            </w:r>
          </w:p>
          <w:p w:rsidR="002F466E" w:rsidRDefault="00F71DD6" w:rsidP="00F71DD6">
            <w:pPr>
              <w:spacing w:line="240" w:lineRule="auto"/>
              <w:ind w:left="-157" w:right="-108"/>
              <w:jc w:val="center"/>
              <w:rPr>
                <w:rFonts w:cs="Arial"/>
                <w:b/>
                <w:bCs/>
                <w:sz w:val="20"/>
                <w:szCs w:val="20"/>
              </w:rPr>
            </w:pPr>
            <w:r w:rsidRPr="00F71DD6">
              <w:rPr>
                <w:rFonts w:cs="Arial"/>
                <w:b/>
                <w:bCs/>
                <w:sz w:val="20"/>
                <w:szCs w:val="20"/>
              </w:rPr>
              <w:t>(Estimated)</w:t>
            </w:r>
          </w:p>
        </w:tc>
      </w:tr>
      <w:tr w:rsidR="002F466E" w:rsidTr="00493AA6">
        <w:trPr>
          <w:trHeight w:val="393"/>
        </w:trPr>
        <w:tc>
          <w:tcPr>
            <w:tcW w:w="2700" w:type="dxa"/>
            <w:shd w:val="clear" w:color="auto" w:fill="auto"/>
            <w:noWrap/>
            <w:vAlign w:val="center"/>
          </w:tcPr>
          <w:p w:rsidR="002F466E" w:rsidRPr="006B23F2" w:rsidRDefault="002F466E" w:rsidP="004B304C">
            <w:pPr>
              <w:spacing w:line="240" w:lineRule="auto"/>
              <w:ind w:left="-108" w:right="-59"/>
              <w:jc w:val="left"/>
              <w:rPr>
                <w:sz w:val="20"/>
                <w:szCs w:val="20"/>
              </w:rPr>
            </w:pPr>
            <w:r w:rsidRPr="006B23F2">
              <w:rPr>
                <w:sz w:val="20"/>
                <w:szCs w:val="20"/>
              </w:rPr>
              <w:t>O&amp;M Expenses</w:t>
            </w:r>
          </w:p>
        </w:tc>
        <w:tc>
          <w:tcPr>
            <w:tcW w:w="1530" w:type="dxa"/>
            <w:vAlign w:val="center"/>
          </w:tcPr>
          <w:p w:rsidR="002F466E" w:rsidRPr="004E24F9" w:rsidRDefault="00244035" w:rsidP="00493AA6">
            <w:pPr>
              <w:spacing w:line="240" w:lineRule="auto"/>
              <w:ind w:left="-157" w:right="-108"/>
              <w:jc w:val="center"/>
              <w:rPr>
                <w:sz w:val="20"/>
                <w:szCs w:val="20"/>
              </w:rPr>
            </w:pPr>
            <w:r>
              <w:rPr>
                <w:sz w:val="20"/>
                <w:szCs w:val="20"/>
              </w:rPr>
              <w:t>73.67</w:t>
            </w:r>
          </w:p>
        </w:tc>
        <w:tc>
          <w:tcPr>
            <w:tcW w:w="1530" w:type="dxa"/>
            <w:vAlign w:val="center"/>
          </w:tcPr>
          <w:p w:rsidR="002F466E" w:rsidRPr="004E24F9" w:rsidRDefault="00244035" w:rsidP="00493AA6">
            <w:pPr>
              <w:spacing w:line="240" w:lineRule="auto"/>
              <w:ind w:left="-157" w:right="-108"/>
              <w:jc w:val="center"/>
              <w:rPr>
                <w:sz w:val="20"/>
                <w:szCs w:val="20"/>
              </w:rPr>
            </w:pPr>
            <w:r>
              <w:rPr>
                <w:sz w:val="20"/>
                <w:szCs w:val="20"/>
              </w:rPr>
              <w:t>72.69</w:t>
            </w:r>
          </w:p>
        </w:tc>
        <w:tc>
          <w:tcPr>
            <w:tcW w:w="1530" w:type="dxa"/>
            <w:vAlign w:val="center"/>
          </w:tcPr>
          <w:p w:rsidR="002F466E" w:rsidRPr="004E24F9" w:rsidRDefault="00244035" w:rsidP="00493AA6">
            <w:pPr>
              <w:spacing w:line="240" w:lineRule="auto"/>
              <w:ind w:left="-157" w:right="-108"/>
              <w:jc w:val="center"/>
              <w:rPr>
                <w:sz w:val="20"/>
                <w:szCs w:val="20"/>
              </w:rPr>
            </w:pPr>
            <w:r>
              <w:rPr>
                <w:sz w:val="20"/>
                <w:szCs w:val="20"/>
              </w:rPr>
              <w:t>76.21</w:t>
            </w:r>
          </w:p>
        </w:tc>
        <w:tc>
          <w:tcPr>
            <w:tcW w:w="1620" w:type="dxa"/>
            <w:vAlign w:val="center"/>
          </w:tcPr>
          <w:p w:rsidR="002F466E" w:rsidRPr="004E24F9" w:rsidRDefault="00244035" w:rsidP="005B7729">
            <w:pPr>
              <w:spacing w:line="240" w:lineRule="auto"/>
              <w:ind w:left="-157" w:right="-108"/>
              <w:jc w:val="center"/>
              <w:rPr>
                <w:sz w:val="20"/>
                <w:szCs w:val="20"/>
              </w:rPr>
            </w:pPr>
            <w:r>
              <w:rPr>
                <w:sz w:val="20"/>
                <w:szCs w:val="20"/>
              </w:rPr>
              <w:t>8</w:t>
            </w:r>
            <w:r w:rsidR="005B7729">
              <w:rPr>
                <w:sz w:val="20"/>
                <w:szCs w:val="20"/>
              </w:rPr>
              <w:t>2.70</w:t>
            </w:r>
          </w:p>
        </w:tc>
      </w:tr>
      <w:tr w:rsidR="002F466E" w:rsidTr="00493AA6">
        <w:trPr>
          <w:trHeight w:val="393"/>
        </w:trPr>
        <w:tc>
          <w:tcPr>
            <w:tcW w:w="2700" w:type="dxa"/>
            <w:shd w:val="clear" w:color="auto" w:fill="auto"/>
            <w:noWrap/>
            <w:vAlign w:val="center"/>
          </w:tcPr>
          <w:p w:rsidR="002F466E" w:rsidRPr="006B23F2" w:rsidRDefault="002F466E" w:rsidP="004B304C">
            <w:pPr>
              <w:spacing w:line="240" w:lineRule="auto"/>
              <w:ind w:left="-108" w:right="-59"/>
              <w:jc w:val="left"/>
              <w:rPr>
                <w:sz w:val="20"/>
                <w:szCs w:val="20"/>
              </w:rPr>
            </w:pPr>
            <w:r w:rsidRPr="006B23F2">
              <w:rPr>
                <w:sz w:val="20"/>
                <w:szCs w:val="20"/>
              </w:rPr>
              <w:t>Depreciation</w:t>
            </w:r>
          </w:p>
        </w:tc>
        <w:tc>
          <w:tcPr>
            <w:tcW w:w="1530" w:type="dxa"/>
            <w:vAlign w:val="center"/>
          </w:tcPr>
          <w:p w:rsidR="002F466E" w:rsidRPr="004E24F9" w:rsidRDefault="00E97916" w:rsidP="00493AA6">
            <w:pPr>
              <w:spacing w:line="240" w:lineRule="auto"/>
              <w:ind w:left="-157" w:right="-108"/>
              <w:jc w:val="center"/>
              <w:rPr>
                <w:sz w:val="20"/>
                <w:szCs w:val="20"/>
              </w:rPr>
            </w:pPr>
            <w:r w:rsidRPr="004E24F9">
              <w:rPr>
                <w:sz w:val="20"/>
                <w:szCs w:val="20"/>
              </w:rPr>
              <w:t>13.49</w:t>
            </w:r>
          </w:p>
        </w:tc>
        <w:tc>
          <w:tcPr>
            <w:tcW w:w="1530" w:type="dxa"/>
            <w:vAlign w:val="center"/>
          </w:tcPr>
          <w:p w:rsidR="002F466E" w:rsidRPr="004E24F9" w:rsidRDefault="00E97916" w:rsidP="00493AA6">
            <w:pPr>
              <w:spacing w:line="240" w:lineRule="auto"/>
              <w:ind w:left="-157" w:right="-108"/>
              <w:jc w:val="center"/>
              <w:rPr>
                <w:sz w:val="20"/>
                <w:szCs w:val="20"/>
              </w:rPr>
            </w:pPr>
            <w:r w:rsidRPr="004E24F9">
              <w:rPr>
                <w:sz w:val="20"/>
                <w:szCs w:val="20"/>
              </w:rPr>
              <w:t>13.25</w:t>
            </w:r>
          </w:p>
        </w:tc>
        <w:tc>
          <w:tcPr>
            <w:tcW w:w="1530" w:type="dxa"/>
            <w:vAlign w:val="center"/>
          </w:tcPr>
          <w:p w:rsidR="002F466E" w:rsidRPr="004E24F9" w:rsidRDefault="00E97916" w:rsidP="00493AA6">
            <w:pPr>
              <w:spacing w:line="240" w:lineRule="auto"/>
              <w:ind w:left="-157" w:right="-108"/>
              <w:jc w:val="center"/>
              <w:rPr>
                <w:sz w:val="20"/>
                <w:szCs w:val="20"/>
              </w:rPr>
            </w:pPr>
            <w:r w:rsidRPr="004E24F9">
              <w:rPr>
                <w:sz w:val="20"/>
                <w:szCs w:val="20"/>
              </w:rPr>
              <w:t>12.96</w:t>
            </w:r>
          </w:p>
        </w:tc>
        <w:tc>
          <w:tcPr>
            <w:tcW w:w="1620" w:type="dxa"/>
            <w:vAlign w:val="center"/>
          </w:tcPr>
          <w:p w:rsidR="002F466E" w:rsidRPr="004E24F9" w:rsidRDefault="00BB67C3" w:rsidP="00493AA6">
            <w:pPr>
              <w:spacing w:line="240" w:lineRule="auto"/>
              <w:ind w:left="-157" w:right="-108"/>
              <w:jc w:val="center"/>
              <w:rPr>
                <w:sz w:val="20"/>
                <w:szCs w:val="20"/>
              </w:rPr>
            </w:pPr>
            <w:r w:rsidRPr="004E24F9">
              <w:rPr>
                <w:sz w:val="20"/>
                <w:szCs w:val="20"/>
              </w:rPr>
              <w:t>12.91</w:t>
            </w:r>
          </w:p>
        </w:tc>
      </w:tr>
      <w:tr w:rsidR="00493AA6" w:rsidTr="00493AA6">
        <w:trPr>
          <w:trHeight w:val="393"/>
        </w:trPr>
        <w:tc>
          <w:tcPr>
            <w:tcW w:w="2700" w:type="dxa"/>
            <w:shd w:val="clear" w:color="auto" w:fill="auto"/>
            <w:noWrap/>
            <w:vAlign w:val="center"/>
          </w:tcPr>
          <w:p w:rsidR="00493AA6" w:rsidRPr="006B23F2" w:rsidRDefault="00493AA6" w:rsidP="004B304C">
            <w:pPr>
              <w:spacing w:line="240" w:lineRule="auto"/>
              <w:ind w:left="-108" w:right="-59"/>
              <w:jc w:val="left"/>
              <w:rPr>
                <w:sz w:val="20"/>
                <w:szCs w:val="20"/>
              </w:rPr>
            </w:pPr>
            <w:r w:rsidRPr="006B23F2">
              <w:rPr>
                <w:sz w:val="20"/>
                <w:szCs w:val="20"/>
              </w:rPr>
              <w:t>Interest Charges</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6.69</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6.36</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6.42</w:t>
            </w:r>
          </w:p>
        </w:tc>
        <w:tc>
          <w:tcPr>
            <w:tcW w:w="1620" w:type="dxa"/>
            <w:vAlign w:val="center"/>
          </w:tcPr>
          <w:p w:rsidR="00493AA6" w:rsidRDefault="00493AA6" w:rsidP="00493AA6">
            <w:pPr>
              <w:jc w:val="center"/>
              <w:rPr>
                <w:rFonts w:ascii="Arial" w:hAnsi="Arial" w:cs="Arial"/>
                <w:sz w:val="20"/>
                <w:szCs w:val="20"/>
              </w:rPr>
            </w:pPr>
            <w:r>
              <w:rPr>
                <w:rFonts w:ascii="Arial" w:hAnsi="Arial" w:cs="Arial"/>
                <w:sz w:val="20"/>
                <w:szCs w:val="20"/>
              </w:rPr>
              <w:t>6.40</w:t>
            </w:r>
          </w:p>
        </w:tc>
      </w:tr>
      <w:tr w:rsidR="00493AA6" w:rsidTr="00493AA6">
        <w:trPr>
          <w:trHeight w:val="393"/>
        </w:trPr>
        <w:tc>
          <w:tcPr>
            <w:tcW w:w="2700" w:type="dxa"/>
            <w:shd w:val="clear" w:color="auto" w:fill="auto"/>
            <w:noWrap/>
            <w:vAlign w:val="center"/>
          </w:tcPr>
          <w:p w:rsidR="00493AA6" w:rsidRPr="006B23F2" w:rsidRDefault="00493AA6" w:rsidP="004B304C">
            <w:pPr>
              <w:spacing w:line="240" w:lineRule="auto"/>
              <w:ind w:left="-108" w:right="-59"/>
              <w:jc w:val="left"/>
              <w:rPr>
                <w:sz w:val="20"/>
                <w:szCs w:val="20"/>
              </w:rPr>
            </w:pPr>
            <w:r w:rsidRPr="006B23F2">
              <w:rPr>
                <w:sz w:val="20"/>
                <w:szCs w:val="20"/>
              </w:rPr>
              <w:t>Return on Equity</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15.14</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15.70</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15.77</w:t>
            </w:r>
          </w:p>
        </w:tc>
        <w:tc>
          <w:tcPr>
            <w:tcW w:w="1620" w:type="dxa"/>
            <w:vAlign w:val="center"/>
          </w:tcPr>
          <w:p w:rsidR="00493AA6" w:rsidRDefault="00493AA6" w:rsidP="00493AA6">
            <w:pPr>
              <w:jc w:val="center"/>
              <w:rPr>
                <w:rFonts w:ascii="Arial" w:hAnsi="Arial" w:cs="Arial"/>
                <w:sz w:val="20"/>
                <w:szCs w:val="20"/>
              </w:rPr>
            </w:pPr>
            <w:r>
              <w:rPr>
                <w:rFonts w:ascii="Arial" w:hAnsi="Arial" w:cs="Arial"/>
                <w:sz w:val="20"/>
                <w:szCs w:val="20"/>
              </w:rPr>
              <w:t>15.77</w:t>
            </w:r>
          </w:p>
        </w:tc>
      </w:tr>
      <w:tr w:rsidR="002F466E" w:rsidTr="00493AA6">
        <w:trPr>
          <w:trHeight w:val="653"/>
        </w:trPr>
        <w:tc>
          <w:tcPr>
            <w:tcW w:w="2700" w:type="dxa"/>
            <w:shd w:val="clear" w:color="auto" w:fill="auto"/>
            <w:noWrap/>
            <w:vAlign w:val="center"/>
          </w:tcPr>
          <w:p w:rsidR="002F466E" w:rsidRDefault="002F466E" w:rsidP="004B304C">
            <w:pPr>
              <w:spacing w:line="240" w:lineRule="auto"/>
              <w:ind w:left="-108" w:right="-59"/>
              <w:jc w:val="left"/>
              <w:rPr>
                <w:sz w:val="20"/>
                <w:szCs w:val="20"/>
              </w:rPr>
            </w:pPr>
            <w:r w:rsidRPr="006B23F2">
              <w:rPr>
                <w:sz w:val="20"/>
                <w:szCs w:val="20"/>
              </w:rPr>
              <w:t>Interest on Working</w:t>
            </w:r>
          </w:p>
          <w:p w:rsidR="002F466E" w:rsidRPr="006B23F2" w:rsidRDefault="002F466E" w:rsidP="004B304C">
            <w:pPr>
              <w:spacing w:line="240" w:lineRule="auto"/>
              <w:ind w:left="-108" w:right="-59"/>
              <w:jc w:val="left"/>
              <w:rPr>
                <w:sz w:val="20"/>
                <w:szCs w:val="20"/>
              </w:rPr>
            </w:pPr>
            <w:r w:rsidRPr="006B23F2">
              <w:rPr>
                <w:sz w:val="20"/>
                <w:szCs w:val="20"/>
              </w:rPr>
              <w:t xml:space="preserve"> Capital</w:t>
            </w:r>
          </w:p>
        </w:tc>
        <w:tc>
          <w:tcPr>
            <w:tcW w:w="1530" w:type="dxa"/>
            <w:vAlign w:val="center"/>
          </w:tcPr>
          <w:p w:rsidR="002F466E" w:rsidRPr="004E24F9" w:rsidRDefault="00BB67C3" w:rsidP="00493AA6">
            <w:pPr>
              <w:spacing w:line="240" w:lineRule="auto"/>
              <w:ind w:left="-157" w:right="-108"/>
              <w:jc w:val="center"/>
              <w:rPr>
                <w:sz w:val="20"/>
                <w:szCs w:val="20"/>
              </w:rPr>
            </w:pPr>
            <w:r w:rsidRPr="004E24F9">
              <w:rPr>
                <w:sz w:val="20"/>
                <w:szCs w:val="20"/>
              </w:rPr>
              <w:t>16.</w:t>
            </w:r>
            <w:r w:rsidR="00244035">
              <w:rPr>
                <w:sz w:val="20"/>
                <w:szCs w:val="20"/>
              </w:rPr>
              <w:t>33</w:t>
            </w:r>
          </w:p>
        </w:tc>
        <w:tc>
          <w:tcPr>
            <w:tcW w:w="1530" w:type="dxa"/>
            <w:vAlign w:val="center"/>
          </w:tcPr>
          <w:p w:rsidR="002F466E" w:rsidRPr="004E24F9" w:rsidRDefault="00BB67C3" w:rsidP="00493AA6">
            <w:pPr>
              <w:spacing w:line="240" w:lineRule="auto"/>
              <w:ind w:left="-157" w:right="-108"/>
              <w:jc w:val="center"/>
              <w:rPr>
                <w:sz w:val="20"/>
                <w:szCs w:val="20"/>
              </w:rPr>
            </w:pPr>
            <w:r w:rsidRPr="004E24F9">
              <w:rPr>
                <w:sz w:val="20"/>
                <w:szCs w:val="20"/>
              </w:rPr>
              <w:t>11.3</w:t>
            </w:r>
            <w:r w:rsidR="00C7759F">
              <w:rPr>
                <w:sz w:val="20"/>
                <w:szCs w:val="20"/>
              </w:rPr>
              <w:t>9</w:t>
            </w:r>
          </w:p>
        </w:tc>
        <w:tc>
          <w:tcPr>
            <w:tcW w:w="1530" w:type="dxa"/>
            <w:vAlign w:val="center"/>
          </w:tcPr>
          <w:p w:rsidR="002F466E" w:rsidRPr="004E24F9" w:rsidRDefault="00BB67C3" w:rsidP="00493AA6">
            <w:pPr>
              <w:spacing w:line="240" w:lineRule="auto"/>
              <w:ind w:left="-157" w:right="-108"/>
              <w:jc w:val="center"/>
              <w:rPr>
                <w:sz w:val="20"/>
                <w:szCs w:val="20"/>
              </w:rPr>
            </w:pPr>
            <w:r w:rsidRPr="004E24F9">
              <w:rPr>
                <w:sz w:val="20"/>
                <w:szCs w:val="20"/>
              </w:rPr>
              <w:t>19.</w:t>
            </w:r>
            <w:r w:rsidR="00604495">
              <w:rPr>
                <w:sz w:val="20"/>
                <w:szCs w:val="20"/>
              </w:rPr>
              <w:t>67</w:t>
            </w:r>
          </w:p>
        </w:tc>
        <w:tc>
          <w:tcPr>
            <w:tcW w:w="1620" w:type="dxa"/>
            <w:vAlign w:val="center"/>
          </w:tcPr>
          <w:p w:rsidR="002F466E" w:rsidRPr="004E24F9" w:rsidRDefault="006B5018" w:rsidP="00493AA6">
            <w:pPr>
              <w:spacing w:line="240" w:lineRule="auto"/>
              <w:ind w:left="-157" w:right="-108"/>
              <w:jc w:val="center"/>
              <w:rPr>
                <w:sz w:val="20"/>
                <w:szCs w:val="20"/>
              </w:rPr>
            </w:pPr>
            <w:r>
              <w:rPr>
                <w:sz w:val="20"/>
                <w:szCs w:val="20"/>
              </w:rPr>
              <w:t>20.</w:t>
            </w:r>
            <w:r w:rsidR="005B7729">
              <w:rPr>
                <w:sz w:val="20"/>
                <w:szCs w:val="20"/>
              </w:rPr>
              <w:t>11</w:t>
            </w:r>
          </w:p>
        </w:tc>
      </w:tr>
      <w:tr w:rsidR="002F466E" w:rsidTr="00493AA6">
        <w:trPr>
          <w:trHeight w:val="393"/>
        </w:trPr>
        <w:tc>
          <w:tcPr>
            <w:tcW w:w="2700" w:type="dxa"/>
            <w:shd w:val="clear" w:color="auto" w:fill="auto"/>
            <w:noWrap/>
            <w:vAlign w:val="center"/>
          </w:tcPr>
          <w:p w:rsidR="002F466E" w:rsidRPr="00705227" w:rsidRDefault="002F466E" w:rsidP="004B304C">
            <w:pPr>
              <w:spacing w:line="240" w:lineRule="auto"/>
              <w:ind w:left="-108" w:right="-59"/>
              <w:jc w:val="left"/>
              <w:rPr>
                <w:sz w:val="20"/>
                <w:szCs w:val="20"/>
              </w:rPr>
            </w:pPr>
            <w:r>
              <w:rPr>
                <w:sz w:val="20"/>
                <w:szCs w:val="20"/>
              </w:rPr>
              <w:t>Secondary Fuel Oil</w:t>
            </w:r>
          </w:p>
        </w:tc>
        <w:tc>
          <w:tcPr>
            <w:tcW w:w="1530" w:type="dxa"/>
            <w:vAlign w:val="center"/>
          </w:tcPr>
          <w:p w:rsidR="002F466E" w:rsidRPr="004E24F9" w:rsidRDefault="0073004D" w:rsidP="00493AA6">
            <w:pPr>
              <w:spacing w:line="240" w:lineRule="auto"/>
              <w:ind w:left="-157" w:right="-108"/>
              <w:jc w:val="center"/>
              <w:rPr>
                <w:bCs/>
                <w:sz w:val="20"/>
                <w:szCs w:val="20"/>
              </w:rPr>
            </w:pPr>
            <w:r w:rsidRPr="004E24F9">
              <w:rPr>
                <w:bCs/>
                <w:sz w:val="20"/>
                <w:szCs w:val="20"/>
              </w:rPr>
              <w:t>13.06</w:t>
            </w:r>
          </w:p>
        </w:tc>
        <w:tc>
          <w:tcPr>
            <w:tcW w:w="1530" w:type="dxa"/>
            <w:vAlign w:val="center"/>
          </w:tcPr>
          <w:p w:rsidR="002F466E" w:rsidRPr="004E24F9" w:rsidRDefault="0073004D" w:rsidP="00493AA6">
            <w:pPr>
              <w:spacing w:line="240" w:lineRule="auto"/>
              <w:ind w:left="-157" w:right="-108"/>
              <w:jc w:val="center"/>
              <w:rPr>
                <w:bCs/>
                <w:sz w:val="20"/>
                <w:szCs w:val="20"/>
              </w:rPr>
            </w:pPr>
            <w:r w:rsidRPr="004E24F9">
              <w:rPr>
                <w:bCs/>
                <w:sz w:val="20"/>
                <w:szCs w:val="20"/>
              </w:rPr>
              <w:t>13.44</w:t>
            </w:r>
          </w:p>
        </w:tc>
        <w:tc>
          <w:tcPr>
            <w:tcW w:w="1530" w:type="dxa"/>
            <w:vAlign w:val="center"/>
          </w:tcPr>
          <w:p w:rsidR="002F466E" w:rsidRPr="004E24F9" w:rsidRDefault="00BB67C3" w:rsidP="00493AA6">
            <w:pPr>
              <w:spacing w:line="240" w:lineRule="auto"/>
              <w:ind w:left="-157" w:right="-108"/>
              <w:jc w:val="center"/>
              <w:rPr>
                <w:bCs/>
                <w:sz w:val="20"/>
                <w:szCs w:val="20"/>
              </w:rPr>
            </w:pPr>
            <w:r w:rsidRPr="004E24F9">
              <w:rPr>
                <w:bCs/>
                <w:sz w:val="20"/>
                <w:szCs w:val="20"/>
              </w:rPr>
              <w:t>31.79</w:t>
            </w:r>
          </w:p>
        </w:tc>
        <w:tc>
          <w:tcPr>
            <w:tcW w:w="1620" w:type="dxa"/>
            <w:vAlign w:val="center"/>
          </w:tcPr>
          <w:p w:rsidR="002F466E" w:rsidRPr="004E24F9" w:rsidRDefault="00BB67C3" w:rsidP="00493AA6">
            <w:pPr>
              <w:spacing w:line="240" w:lineRule="auto"/>
              <w:ind w:left="-157" w:right="-108"/>
              <w:jc w:val="center"/>
              <w:rPr>
                <w:bCs/>
                <w:sz w:val="20"/>
                <w:szCs w:val="20"/>
              </w:rPr>
            </w:pPr>
            <w:r w:rsidRPr="004E24F9">
              <w:rPr>
                <w:bCs/>
                <w:sz w:val="20"/>
                <w:szCs w:val="20"/>
              </w:rPr>
              <w:t>31.88</w:t>
            </w:r>
          </w:p>
        </w:tc>
      </w:tr>
      <w:tr w:rsidR="00493AA6" w:rsidTr="00493AA6">
        <w:trPr>
          <w:trHeight w:val="393"/>
        </w:trPr>
        <w:tc>
          <w:tcPr>
            <w:tcW w:w="2700" w:type="dxa"/>
            <w:shd w:val="clear" w:color="auto" w:fill="auto"/>
            <w:noWrap/>
            <w:vAlign w:val="center"/>
          </w:tcPr>
          <w:p w:rsidR="00493AA6" w:rsidRPr="00705227" w:rsidRDefault="00493AA6" w:rsidP="004B304C">
            <w:pPr>
              <w:spacing w:line="240" w:lineRule="auto"/>
              <w:ind w:left="-108" w:right="-59"/>
              <w:jc w:val="left"/>
              <w:rPr>
                <w:sz w:val="20"/>
                <w:szCs w:val="20"/>
              </w:rPr>
            </w:pPr>
            <w:r>
              <w:rPr>
                <w:sz w:val="20"/>
                <w:szCs w:val="20"/>
              </w:rPr>
              <w:t>Income Tax</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4.91</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5.33</w:t>
            </w:r>
          </w:p>
        </w:tc>
        <w:tc>
          <w:tcPr>
            <w:tcW w:w="1530" w:type="dxa"/>
            <w:vAlign w:val="center"/>
          </w:tcPr>
          <w:p w:rsidR="00493AA6" w:rsidRDefault="00493AA6" w:rsidP="00493AA6">
            <w:pPr>
              <w:jc w:val="center"/>
              <w:rPr>
                <w:rFonts w:ascii="Arial" w:hAnsi="Arial" w:cs="Arial"/>
                <w:sz w:val="20"/>
                <w:szCs w:val="20"/>
              </w:rPr>
            </w:pPr>
            <w:r>
              <w:rPr>
                <w:rFonts w:ascii="Arial" w:hAnsi="Arial" w:cs="Arial"/>
                <w:sz w:val="20"/>
                <w:szCs w:val="20"/>
              </w:rPr>
              <w:t>5.36</w:t>
            </w:r>
          </w:p>
        </w:tc>
        <w:tc>
          <w:tcPr>
            <w:tcW w:w="1620" w:type="dxa"/>
            <w:vAlign w:val="center"/>
          </w:tcPr>
          <w:p w:rsidR="00493AA6" w:rsidRDefault="00493AA6" w:rsidP="00493AA6">
            <w:pPr>
              <w:jc w:val="center"/>
              <w:rPr>
                <w:rFonts w:ascii="Arial" w:hAnsi="Arial" w:cs="Arial"/>
                <w:sz w:val="20"/>
                <w:szCs w:val="20"/>
              </w:rPr>
            </w:pPr>
            <w:r>
              <w:rPr>
                <w:rFonts w:ascii="Arial" w:hAnsi="Arial" w:cs="Arial"/>
                <w:sz w:val="20"/>
                <w:szCs w:val="20"/>
              </w:rPr>
              <w:t>5.36</w:t>
            </w:r>
          </w:p>
        </w:tc>
      </w:tr>
      <w:tr w:rsidR="00493AA6" w:rsidTr="00493AA6">
        <w:trPr>
          <w:trHeight w:val="393"/>
        </w:trPr>
        <w:tc>
          <w:tcPr>
            <w:tcW w:w="2700" w:type="dxa"/>
            <w:shd w:val="clear" w:color="auto" w:fill="auto"/>
            <w:noWrap/>
            <w:vAlign w:val="center"/>
          </w:tcPr>
          <w:p w:rsidR="00493AA6" w:rsidRPr="006B23F2" w:rsidRDefault="00493AA6" w:rsidP="004B304C">
            <w:pPr>
              <w:spacing w:line="240" w:lineRule="auto"/>
              <w:ind w:left="-108" w:right="-59"/>
              <w:jc w:val="left"/>
              <w:rPr>
                <w:b/>
                <w:bCs/>
                <w:sz w:val="20"/>
                <w:szCs w:val="20"/>
              </w:rPr>
            </w:pPr>
            <w:r w:rsidRPr="006B23F2">
              <w:rPr>
                <w:b/>
                <w:bCs/>
                <w:sz w:val="20"/>
                <w:szCs w:val="20"/>
              </w:rPr>
              <w:t>Total Fixed Cost</w:t>
            </w:r>
          </w:p>
        </w:tc>
        <w:tc>
          <w:tcPr>
            <w:tcW w:w="1530" w:type="dxa"/>
            <w:vAlign w:val="center"/>
          </w:tcPr>
          <w:p w:rsidR="00493AA6" w:rsidRPr="00493AA6" w:rsidRDefault="00493AA6" w:rsidP="00493AA6">
            <w:pPr>
              <w:jc w:val="center"/>
              <w:rPr>
                <w:rFonts w:ascii="Arial" w:hAnsi="Arial" w:cs="Arial"/>
                <w:b/>
                <w:bCs/>
                <w:sz w:val="20"/>
                <w:szCs w:val="20"/>
              </w:rPr>
            </w:pPr>
            <w:r w:rsidRPr="00493AA6">
              <w:rPr>
                <w:rFonts w:ascii="Arial" w:hAnsi="Arial" w:cs="Arial"/>
                <w:b/>
                <w:bCs/>
                <w:sz w:val="20"/>
                <w:szCs w:val="20"/>
              </w:rPr>
              <w:t>143.28</w:t>
            </w:r>
          </w:p>
        </w:tc>
        <w:tc>
          <w:tcPr>
            <w:tcW w:w="1530" w:type="dxa"/>
            <w:vAlign w:val="center"/>
          </w:tcPr>
          <w:p w:rsidR="00493AA6" w:rsidRPr="00493AA6" w:rsidRDefault="00493AA6" w:rsidP="00493AA6">
            <w:pPr>
              <w:jc w:val="center"/>
              <w:rPr>
                <w:rFonts w:ascii="Arial" w:hAnsi="Arial" w:cs="Arial"/>
                <w:b/>
                <w:bCs/>
                <w:sz w:val="20"/>
                <w:szCs w:val="20"/>
              </w:rPr>
            </w:pPr>
            <w:r w:rsidRPr="00493AA6">
              <w:rPr>
                <w:rFonts w:ascii="Arial" w:hAnsi="Arial" w:cs="Arial"/>
                <w:b/>
                <w:bCs/>
                <w:sz w:val="20"/>
                <w:szCs w:val="20"/>
              </w:rPr>
              <w:t>138.15</w:t>
            </w:r>
          </w:p>
        </w:tc>
        <w:tc>
          <w:tcPr>
            <w:tcW w:w="1530" w:type="dxa"/>
            <w:vAlign w:val="center"/>
          </w:tcPr>
          <w:p w:rsidR="00493AA6" w:rsidRPr="00493AA6" w:rsidRDefault="00493AA6" w:rsidP="00493AA6">
            <w:pPr>
              <w:jc w:val="center"/>
              <w:rPr>
                <w:rFonts w:ascii="Arial" w:hAnsi="Arial" w:cs="Arial"/>
                <w:b/>
                <w:bCs/>
                <w:sz w:val="20"/>
                <w:szCs w:val="20"/>
              </w:rPr>
            </w:pPr>
            <w:r w:rsidRPr="00493AA6">
              <w:rPr>
                <w:rFonts w:ascii="Arial" w:hAnsi="Arial" w:cs="Arial"/>
                <w:b/>
                <w:bCs/>
                <w:sz w:val="20"/>
                <w:szCs w:val="20"/>
              </w:rPr>
              <w:t>168.18</w:t>
            </w:r>
          </w:p>
        </w:tc>
        <w:tc>
          <w:tcPr>
            <w:tcW w:w="1620" w:type="dxa"/>
            <w:vAlign w:val="center"/>
          </w:tcPr>
          <w:p w:rsidR="00493AA6" w:rsidRPr="00493AA6" w:rsidRDefault="00493AA6" w:rsidP="00493AA6">
            <w:pPr>
              <w:jc w:val="center"/>
              <w:rPr>
                <w:rFonts w:ascii="Arial" w:hAnsi="Arial" w:cs="Arial"/>
                <w:b/>
                <w:bCs/>
                <w:sz w:val="20"/>
                <w:szCs w:val="20"/>
              </w:rPr>
            </w:pPr>
            <w:r w:rsidRPr="00493AA6">
              <w:rPr>
                <w:rFonts w:ascii="Arial" w:hAnsi="Arial" w:cs="Arial"/>
                <w:b/>
                <w:bCs/>
                <w:sz w:val="20"/>
                <w:szCs w:val="20"/>
              </w:rPr>
              <w:t>17</w:t>
            </w:r>
            <w:r w:rsidR="005B7729">
              <w:rPr>
                <w:rFonts w:ascii="Arial" w:hAnsi="Arial" w:cs="Arial"/>
                <w:b/>
                <w:bCs/>
                <w:sz w:val="20"/>
                <w:szCs w:val="20"/>
              </w:rPr>
              <w:t>5.13</w:t>
            </w:r>
          </w:p>
        </w:tc>
      </w:tr>
      <w:tr w:rsidR="002010DA" w:rsidTr="009006A7">
        <w:trPr>
          <w:trHeight w:val="393"/>
        </w:trPr>
        <w:tc>
          <w:tcPr>
            <w:tcW w:w="2700" w:type="dxa"/>
            <w:shd w:val="clear" w:color="auto" w:fill="auto"/>
            <w:noWrap/>
            <w:vAlign w:val="center"/>
          </w:tcPr>
          <w:p w:rsidR="002010DA" w:rsidRPr="006B23F2" w:rsidRDefault="002010DA" w:rsidP="004B304C">
            <w:pPr>
              <w:spacing w:line="240" w:lineRule="auto"/>
              <w:ind w:left="-108" w:right="-59"/>
              <w:jc w:val="left"/>
              <w:rPr>
                <w:b/>
                <w:bCs/>
                <w:sz w:val="20"/>
                <w:szCs w:val="20"/>
              </w:rPr>
            </w:pPr>
            <w:r w:rsidRPr="006B23F2">
              <w:rPr>
                <w:b/>
                <w:bCs/>
                <w:sz w:val="20"/>
                <w:szCs w:val="20"/>
              </w:rPr>
              <w:t>Net Generation (MU)</w:t>
            </w:r>
          </w:p>
        </w:tc>
        <w:tc>
          <w:tcPr>
            <w:tcW w:w="1530" w:type="dxa"/>
            <w:vAlign w:val="bottom"/>
          </w:tcPr>
          <w:p w:rsidR="002010DA" w:rsidRDefault="002010DA">
            <w:pPr>
              <w:jc w:val="center"/>
              <w:rPr>
                <w:rFonts w:ascii="Arial" w:hAnsi="Arial" w:cs="Arial"/>
                <w:sz w:val="20"/>
                <w:szCs w:val="20"/>
              </w:rPr>
            </w:pPr>
            <w:r>
              <w:rPr>
                <w:rFonts w:ascii="Arial" w:hAnsi="Arial" w:cs="Arial"/>
                <w:sz w:val="20"/>
                <w:szCs w:val="20"/>
              </w:rPr>
              <w:t>687.577</w:t>
            </w:r>
          </w:p>
        </w:tc>
        <w:tc>
          <w:tcPr>
            <w:tcW w:w="1530" w:type="dxa"/>
            <w:vAlign w:val="bottom"/>
          </w:tcPr>
          <w:p w:rsidR="002010DA" w:rsidRDefault="002010DA">
            <w:pPr>
              <w:jc w:val="center"/>
              <w:rPr>
                <w:rFonts w:ascii="Arial" w:hAnsi="Arial" w:cs="Arial"/>
                <w:sz w:val="20"/>
                <w:szCs w:val="20"/>
              </w:rPr>
            </w:pPr>
            <w:r>
              <w:rPr>
                <w:rFonts w:ascii="Arial" w:hAnsi="Arial" w:cs="Arial"/>
                <w:sz w:val="20"/>
                <w:szCs w:val="20"/>
              </w:rPr>
              <w:t>322.301</w:t>
            </w:r>
          </w:p>
        </w:tc>
        <w:tc>
          <w:tcPr>
            <w:tcW w:w="1530" w:type="dxa"/>
            <w:vAlign w:val="bottom"/>
          </w:tcPr>
          <w:p w:rsidR="002010DA" w:rsidRDefault="002010DA">
            <w:pPr>
              <w:jc w:val="center"/>
              <w:rPr>
                <w:rFonts w:ascii="Arial" w:hAnsi="Arial" w:cs="Arial"/>
                <w:sz w:val="20"/>
                <w:szCs w:val="20"/>
              </w:rPr>
            </w:pPr>
            <w:r>
              <w:rPr>
                <w:rFonts w:ascii="Arial" w:hAnsi="Arial" w:cs="Arial"/>
                <w:sz w:val="20"/>
                <w:szCs w:val="20"/>
              </w:rPr>
              <w:t>753.908</w:t>
            </w:r>
          </w:p>
        </w:tc>
        <w:tc>
          <w:tcPr>
            <w:tcW w:w="1620" w:type="dxa"/>
            <w:vAlign w:val="bottom"/>
          </w:tcPr>
          <w:p w:rsidR="002010DA" w:rsidRDefault="002010DA">
            <w:pPr>
              <w:jc w:val="center"/>
              <w:rPr>
                <w:rFonts w:ascii="Arial" w:hAnsi="Arial" w:cs="Arial"/>
                <w:sz w:val="20"/>
                <w:szCs w:val="20"/>
              </w:rPr>
            </w:pPr>
            <w:r>
              <w:rPr>
                <w:rFonts w:ascii="Arial" w:hAnsi="Arial" w:cs="Arial"/>
                <w:sz w:val="20"/>
                <w:szCs w:val="20"/>
              </w:rPr>
              <w:t>778.208</w:t>
            </w:r>
          </w:p>
        </w:tc>
      </w:tr>
      <w:tr w:rsidR="004E24F9" w:rsidTr="00493AA6">
        <w:trPr>
          <w:trHeight w:val="393"/>
        </w:trPr>
        <w:tc>
          <w:tcPr>
            <w:tcW w:w="2700" w:type="dxa"/>
            <w:shd w:val="clear" w:color="auto" w:fill="auto"/>
            <w:noWrap/>
            <w:vAlign w:val="center"/>
          </w:tcPr>
          <w:p w:rsidR="004E24F9" w:rsidRPr="006B23F2" w:rsidRDefault="004E24F9" w:rsidP="004B304C">
            <w:pPr>
              <w:spacing w:line="240" w:lineRule="auto"/>
              <w:ind w:left="-108" w:right="-239"/>
              <w:jc w:val="left"/>
              <w:rPr>
                <w:b/>
                <w:bCs/>
                <w:sz w:val="20"/>
                <w:szCs w:val="20"/>
              </w:rPr>
            </w:pPr>
            <w:r w:rsidRPr="006B23F2">
              <w:rPr>
                <w:b/>
                <w:bCs/>
                <w:sz w:val="20"/>
                <w:szCs w:val="20"/>
              </w:rPr>
              <w:t>Fixed Cost/</w:t>
            </w:r>
            <w:r>
              <w:rPr>
                <w:b/>
                <w:bCs/>
                <w:sz w:val="20"/>
                <w:szCs w:val="20"/>
              </w:rPr>
              <w:t xml:space="preserve">Unit </w:t>
            </w:r>
            <w:r w:rsidRPr="006B23F2">
              <w:rPr>
                <w:b/>
                <w:bCs/>
                <w:sz w:val="20"/>
                <w:szCs w:val="20"/>
              </w:rPr>
              <w:t>(Rs/kWh)</w:t>
            </w:r>
          </w:p>
        </w:tc>
        <w:tc>
          <w:tcPr>
            <w:tcW w:w="1530" w:type="dxa"/>
            <w:vAlign w:val="center"/>
          </w:tcPr>
          <w:p w:rsidR="004E24F9" w:rsidRPr="00223730" w:rsidRDefault="004E24F9" w:rsidP="00493AA6">
            <w:pPr>
              <w:spacing w:line="240" w:lineRule="auto"/>
              <w:ind w:left="-157" w:right="-108"/>
              <w:jc w:val="center"/>
              <w:rPr>
                <w:b/>
                <w:bCs/>
                <w:sz w:val="20"/>
                <w:szCs w:val="20"/>
              </w:rPr>
            </w:pPr>
            <w:r w:rsidRPr="00223730">
              <w:rPr>
                <w:b/>
                <w:bCs/>
                <w:sz w:val="20"/>
                <w:szCs w:val="20"/>
              </w:rPr>
              <w:t>2.</w:t>
            </w:r>
            <w:r w:rsidR="00493AA6">
              <w:rPr>
                <w:b/>
                <w:bCs/>
                <w:sz w:val="20"/>
                <w:szCs w:val="20"/>
              </w:rPr>
              <w:t>084</w:t>
            </w:r>
          </w:p>
        </w:tc>
        <w:tc>
          <w:tcPr>
            <w:tcW w:w="1530" w:type="dxa"/>
            <w:vAlign w:val="center"/>
          </w:tcPr>
          <w:p w:rsidR="004E24F9" w:rsidRPr="00223730" w:rsidRDefault="00493AA6" w:rsidP="00493AA6">
            <w:pPr>
              <w:spacing w:line="240" w:lineRule="auto"/>
              <w:ind w:left="-157" w:right="-108"/>
              <w:jc w:val="center"/>
              <w:rPr>
                <w:b/>
                <w:bCs/>
                <w:sz w:val="20"/>
                <w:szCs w:val="20"/>
              </w:rPr>
            </w:pPr>
            <w:r>
              <w:rPr>
                <w:b/>
                <w:bCs/>
                <w:sz w:val="20"/>
                <w:szCs w:val="20"/>
              </w:rPr>
              <w:t>4.28</w:t>
            </w:r>
            <w:r w:rsidR="00191270">
              <w:rPr>
                <w:b/>
                <w:bCs/>
                <w:sz w:val="20"/>
                <w:szCs w:val="20"/>
              </w:rPr>
              <w:t>6</w:t>
            </w:r>
          </w:p>
        </w:tc>
        <w:tc>
          <w:tcPr>
            <w:tcW w:w="1530" w:type="dxa"/>
            <w:vAlign w:val="center"/>
          </w:tcPr>
          <w:p w:rsidR="004E24F9" w:rsidRPr="00223730" w:rsidRDefault="00493AA6" w:rsidP="00493AA6">
            <w:pPr>
              <w:spacing w:line="240" w:lineRule="auto"/>
              <w:ind w:left="-157" w:right="-108"/>
              <w:jc w:val="center"/>
              <w:rPr>
                <w:b/>
                <w:bCs/>
                <w:sz w:val="20"/>
                <w:szCs w:val="20"/>
              </w:rPr>
            </w:pPr>
            <w:r>
              <w:rPr>
                <w:b/>
                <w:bCs/>
                <w:sz w:val="20"/>
                <w:szCs w:val="20"/>
              </w:rPr>
              <w:t>2.231</w:t>
            </w:r>
          </w:p>
        </w:tc>
        <w:tc>
          <w:tcPr>
            <w:tcW w:w="1620" w:type="dxa"/>
            <w:vAlign w:val="center"/>
          </w:tcPr>
          <w:p w:rsidR="004E24F9" w:rsidRPr="00223730" w:rsidRDefault="00493AA6" w:rsidP="00493AA6">
            <w:pPr>
              <w:spacing w:line="240" w:lineRule="auto"/>
              <w:ind w:left="-157" w:right="-108"/>
              <w:jc w:val="center"/>
              <w:rPr>
                <w:b/>
                <w:bCs/>
                <w:sz w:val="20"/>
                <w:szCs w:val="20"/>
              </w:rPr>
            </w:pPr>
            <w:r>
              <w:rPr>
                <w:b/>
                <w:bCs/>
                <w:sz w:val="20"/>
                <w:szCs w:val="20"/>
              </w:rPr>
              <w:t>2.2</w:t>
            </w:r>
            <w:r w:rsidR="005B7729">
              <w:rPr>
                <w:b/>
                <w:bCs/>
                <w:sz w:val="20"/>
                <w:szCs w:val="20"/>
              </w:rPr>
              <w:t>50</w:t>
            </w:r>
          </w:p>
        </w:tc>
      </w:tr>
    </w:tbl>
    <w:p w:rsidR="00191270" w:rsidRPr="00191270" w:rsidRDefault="00191270" w:rsidP="00191270"/>
    <w:p w:rsidR="005C33E6" w:rsidRPr="00A1351B" w:rsidRDefault="00CA6AE4" w:rsidP="004B304C">
      <w:pPr>
        <w:pStyle w:val="Caption"/>
        <w:spacing w:line="240" w:lineRule="auto"/>
        <w:jc w:val="center"/>
      </w:pPr>
      <w:bookmarkStart w:id="98" w:name="_Toc411604015"/>
      <w:r w:rsidRPr="00632BF1">
        <w:t xml:space="preserve">Table </w:t>
      </w:r>
      <w:fldSimple w:instr=" SEQ Table \* ARABIC ">
        <w:r w:rsidR="002326CE">
          <w:rPr>
            <w:noProof/>
          </w:rPr>
          <w:t>38</w:t>
        </w:r>
      </w:fldSimple>
      <w:r w:rsidRPr="00632BF1">
        <w:t xml:space="preserve"> : </w:t>
      </w:r>
      <w:r w:rsidR="005C33E6" w:rsidRPr="00632BF1">
        <w:t xml:space="preserve">Total Fixed Cost for </w:t>
      </w:r>
      <w:r w:rsidR="00004CCF" w:rsidRPr="00632BF1">
        <w:t>Gas Turbine Power Station</w:t>
      </w:r>
      <w:bookmarkEnd w:id="98"/>
    </w:p>
    <w:tbl>
      <w:tblPr>
        <w:tblW w:w="8841" w:type="dxa"/>
        <w:tblInd w:w="108" w:type="dxa"/>
        <w:tblLayout w:type="fixed"/>
        <w:tblLook w:val="0000"/>
      </w:tblPr>
      <w:tblGrid>
        <w:gridCol w:w="2715"/>
        <w:gridCol w:w="1532"/>
        <w:gridCol w:w="1531"/>
        <w:gridCol w:w="1531"/>
        <w:gridCol w:w="1532"/>
      </w:tblGrid>
      <w:tr w:rsidR="00865BD7" w:rsidTr="009031E6">
        <w:trPr>
          <w:trHeight w:val="394"/>
        </w:trPr>
        <w:tc>
          <w:tcPr>
            <w:tcW w:w="2715" w:type="dxa"/>
            <w:tcBorders>
              <w:top w:val="single" w:sz="4" w:space="0" w:color="auto"/>
              <w:left w:val="single" w:sz="4" w:space="0" w:color="auto"/>
              <w:bottom w:val="single" w:sz="4" w:space="0" w:color="auto"/>
              <w:right w:val="single" w:sz="4" w:space="0" w:color="auto"/>
            </w:tcBorders>
            <w:shd w:val="clear" w:color="auto" w:fill="000080"/>
            <w:noWrap/>
            <w:vAlign w:val="center"/>
          </w:tcPr>
          <w:p w:rsidR="00865BD7" w:rsidRDefault="00865BD7" w:rsidP="00992668">
            <w:pPr>
              <w:spacing w:line="240" w:lineRule="auto"/>
              <w:ind w:left="-108" w:right="-108"/>
              <w:jc w:val="left"/>
              <w:rPr>
                <w:b/>
                <w:bCs/>
                <w:color w:val="FFFFFF"/>
                <w:sz w:val="20"/>
                <w:szCs w:val="20"/>
              </w:rPr>
            </w:pPr>
            <w:r>
              <w:rPr>
                <w:b/>
                <w:bCs/>
                <w:color w:val="FFFFFF"/>
                <w:sz w:val="20"/>
                <w:szCs w:val="20"/>
              </w:rPr>
              <w:t xml:space="preserve">Particulars </w:t>
            </w:r>
          </w:p>
          <w:p w:rsidR="00865BD7" w:rsidRDefault="00865BD7" w:rsidP="00992668">
            <w:pPr>
              <w:spacing w:line="240" w:lineRule="auto"/>
              <w:ind w:left="-108" w:right="-108"/>
              <w:jc w:val="left"/>
              <w:rPr>
                <w:b/>
                <w:bCs/>
                <w:color w:val="FFFFFF"/>
                <w:sz w:val="20"/>
                <w:szCs w:val="20"/>
              </w:rPr>
            </w:pPr>
            <w:r>
              <w:rPr>
                <w:b/>
                <w:bCs/>
                <w:color w:val="FFFFFF"/>
                <w:sz w:val="20"/>
                <w:szCs w:val="20"/>
              </w:rPr>
              <w:t>(Rs. Crores)</w:t>
            </w:r>
          </w:p>
        </w:tc>
        <w:tc>
          <w:tcPr>
            <w:tcW w:w="1532" w:type="dxa"/>
            <w:tcBorders>
              <w:top w:val="single" w:sz="4" w:space="0" w:color="auto"/>
              <w:left w:val="nil"/>
              <w:bottom w:val="single" w:sz="4" w:space="0" w:color="auto"/>
              <w:right w:val="single" w:sz="4" w:space="0" w:color="auto"/>
            </w:tcBorders>
            <w:shd w:val="clear" w:color="auto" w:fill="000080"/>
            <w:noWrap/>
            <w:vAlign w:val="center"/>
          </w:tcPr>
          <w:p w:rsidR="00865BD7" w:rsidRDefault="00865BD7" w:rsidP="00437C4E">
            <w:pPr>
              <w:spacing w:line="240" w:lineRule="auto"/>
              <w:ind w:left="-170" w:right="-201"/>
              <w:jc w:val="center"/>
              <w:rPr>
                <w:rFonts w:cs="Arial"/>
                <w:b/>
                <w:bCs/>
                <w:sz w:val="20"/>
                <w:szCs w:val="20"/>
              </w:rPr>
            </w:pPr>
            <w:r>
              <w:rPr>
                <w:rFonts w:cs="Arial"/>
                <w:b/>
                <w:bCs/>
                <w:sz w:val="20"/>
                <w:szCs w:val="20"/>
              </w:rPr>
              <w:t>12-13</w:t>
            </w:r>
          </w:p>
        </w:tc>
        <w:tc>
          <w:tcPr>
            <w:tcW w:w="1531" w:type="dxa"/>
            <w:tcBorders>
              <w:top w:val="single" w:sz="4" w:space="0" w:color="auto"/>
              <w:left w:val="nil"/>
              <w:bottom w:val="single" w:sz="4" w:space="0" w:color="auto"/>
              <w:right w:val="single" w:sz="4" w:space="0" w:color="auto"/>
            </w:tcBorders>
            <w:shd w:val="clear" w:color="auto" w:fill="000080"/>
            <w:vAlign w:val="center"/>
          </w:tcPr>
          <w:p w:rsidR="00865BD7" w:rsidRDefault="00865BD7" w:rsidP="00437C4E">
            <w:pPr>
              <w:spacing w:line="240" w:lineRule="auto"/>
              <w:ind w:left="-170" w:right="-201"/>
              <w:jc w:val="center"/>
              <w:rPr>
                <w:rFonts w:cs="Arial"/>
                <w:b/>
                <w:bCs/>
                <w:sz w:val="20"/>
                <w:szCs w:val="20"/>
              </w:rPr>
            </w:pPr>
            <w:r>
              <w:rPr>
                <w:rFonts w:cs="Arial"/>
                <w:b/>
                <w:bCs/>
                <w:sz w:val="20"/>
                <w:szCs w:val="20"/>
              </w:rPr>
              <w:t>13-14</w:t>
            </w:r>
          </w:p>
        </w:tc>
        <w:tc>
          <w:tcPr>
            <w:tcW w:w="1531" w:type="dxa"/>
            <w:tcBorders>
              <w:top w:val="single" w:sz="4" w:space="0" w:color="auto"/>
              <w:left w:val="nil"/>
              <w:bottom w:val="single" w:sz="4" w:space="0" w:color="auto"/>
              <w:right w:val="single" w:sz="4" w:space="0" w:color="auto"/>
            </w:tcBorders>
            <w:shd w:val="clear" w:color="auto" w:fill="000080"/>
            <w:vAlign w:val="center"/>
          </w:tcPr>
          <w:p w:rsidR="00865BD7" w:rsidRDefault="00865BD7" w:rsidP="00437C4E">
            <w:pPr>
              <w:spacing w:line="240" w:lineRule="auto"/>
              <w:ind w:left="-170" w:right="-201"/>
              <w:jc w:val="center"/>
              <w:rPr>
                <w:rFonts w:cs="Arial"/>
                <w:b/>
                <w:bCs/>
                <w:sz w:val="20"/>
                <w:szCs w:val="20"/>
              </w:rPr>
            </w:pPr>
            <w:r>
              <w:rPr>
                <w:rFonts w:cs="Arial"/>
                <w:b/>
                <w:bCs/>
                <w:sz w:val="20"/>
                <w:szCs w:val="20"/>
              </w:rPr>
              <w:t>14-15</w:t>
            </w:r>
          </w:p>
        </w:tc>
        <w:tc>
          <w:tcPr>
            <w:tcW w:w="1532" w:type="dxa"/>
            <w:tcBorders>
              <w:top w:val="single" w:sz="4" w:space="0" w:color="auto"/>
              <w:left w:val="nil"/>
              <w:bottom w:val="single" w:sz="4" w:space="0" w:color="auto"/>
              <w:right w:val="single" w:sz="4" w:space="0" w:color="auto"/>
            </w:tcBorders>
            <w:shd w:val="clear" w:color="auto" w:fill="000080"/>
            <w:vAlign w:val="center"/>
          </w:tcPr>
          <w:p w:rsidR="00F71DD6" w:rsidRPr="00F71DD6" w:rsidRDefault="00F71DD6" w:rsidP="00F71DD6">
            <w:pPr>
              <w:spacing w:line="240" w:lineRule="auto"/>
              <w:ind w:left="-170" w:right="-201"/>
              <w:jc w:val="center"/>
              <w:rPr>
                <w:rFonts w:cs="Arial"/>
                <w:b/>
                <w:bCs/>
                <w:sz w:val="20"/>
                <w:szCs w:val="20"/>
              </w:rPr>
            </w:pPr>
            <w:r w:rsidRPr="00F71DD6">
              <w:rPr>
                <w:rFonts w:cs="Arial"/>
                <w:b/>
                <w:bCs/>
                <w:sz w:val="20"/>
                <w:szCs w:val="20"/>
              </w:rPr>
              <w:t>15-16</w:t>
            </w:r>
          </w:p>
          <w:p w:rsidR="00865BD7" w:rsidRDefault="00F71DD6" w:rsidP="00F71DD6">
            <w:pPr>
              <w:spacing w:line="240" w:lineRule="auto"/>
              <w:ind w:left="-170" w:right="-201"/>
              <w:jc w:val="center"/>
              <w:rPr>
                <w:rFonts w:cs="Arial"/>
                <w:b/>
                <w:bCs/>
                <w:sz w:val="20"/>
                <w:szCs w:val="20"/>
              </w:rPr>
            </w:pPr>
            <w:r w:rsidRPr="00F71DD6">
              <w:rPr>
                <w:rFonts w:cs="Arial"/>
                <w:b/>
                <w:bCs/>
                <w:sz w:val="20"/>
                <w:szCs w:val="20"/>
              </w:rPr>
              <w:t>(Estimated)</w:t>
            </w:r>
          </w:p>
        </w:tc>
      </w:tr>
      <w:tr w:rsidR="00865BD7"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865BD7" w:rsidRPr="006B23F2" w:rsidRDefault="00865BD7" w:rsidP="00992668">
            <w:pPr>
              <w:spacing w:line="240" w:lineRule="auto"/>
              <w:ind w:left="-108" w:right="-108"/>
              <w:jc w:val="left"/>
              <w:rPr>
                <w:sz w:val="20"/>
                <w:szCs w:val="20"/>
              </w:rPr>
            </w:pPr>
            <w:r w:rsidRPr="006B23F2">
              <w:rPr>
                <w:sz w:val="20"/>
                <w:szCs w:val="20"/>
              </w:rPr>
              <w:t>O&amp;M Expenses</w:t>
            </w:r>
          </w:p>
        </w:tc>
        <w:tc>
          <w:tcPr>
            <w:tcW w:w="1532" w:type="dxa"/>
            <w:tcBorders>
              <w:top w:val="nil"/>
              <w:left w:val="nil"/>
              <w:bottom w:val="single" w:sz="4" w:space="0" w:color="auto"/>
              <w:right w:val="single" w:sz="4" w:space="0" w:color="auto"/>
            </w:tcBorders>
            <w:shd w:val="clear" w:color="auto" w:fill="auto"/>
            <w:noWrap/>
            <w:vAlign w:val="center"/>
          </w:tcPr>
          <w:p w:rsidR="00865BD7" w:rsidRPr="00223730" w:rsidRDefault="0073004D" w:rsidP="00FB77E6">
            <w:pPr>
              <w:spacing w:line="240" w:lineRule="auto"/>
              <w:ind w:left="-157" w:right="-108"/>
              <w:jc w:val="center"/>
              <w:rPr>
                <w:b/>
                <w:bCs/>
                <w:sz w:val="20"/>
                <w:szCs w:val="20"/>
              </w:rPr>
            </w:pPr>
            <w:r w:rsidRPr="00223730">
              <w:rPr>
                <w:b/>
                <w:bCs/>
                <w:sz w:val="20"/>
                <w:szCs w:val="20"/>
              </w:rPr>
              <w:t>84.1</w:t>
            </w:r>
            <w:r w:rsidR="00FB77E6" w:rsidRPr="00223730">
              <w:rPr>
                <w:b/>
                <w:bCs/>
                <w:sz w:val="20"/>
                <w:szCs w:val="20"/>
              </w:rPr>
              <w:t>8</w:t>
            </w:r>
          </w:p>
        </w:tc>
        <w:tc>
          <w:tcPr>
            <w:tcW w:w="1531" w:type="dxa"/>
            <w:tcBorders>
              <w:top w:val="nil"/>
              <w:left w:val="nil"/>
              <w:bottom w:val="single" w:sz="4" w:space="0" w:color="auto"/>
              <w:right w:val="single" w:sz="4" w:space="0" w:color="auto"/>
            </w:tcBorders>
            <w:vAlign w:val="center"/>
          </w:tcPr>
          <w:p w:rsidR="00865BD7" w:rsidRPr="00223730" w:rsidRDefault="0073004D" w:rsidP="00627748">
            <w:pPr>
              <w:spacing w:line="240" w:lineRule="auto"/>
              <w:ind w:left="-157" w:right="-108"/>
              <w:jc w:val="center"/>
              <w:rPr>
                <w:b/>
                <w:bCs/>
                <w:sz w:val="20"/>
                <w:szCs w:val="20"/>
              </w:rPr>
            </w:pPr>
            <w:r w:rsidRPr="00223730">
              <w:rPr>
                <w:b/>
                <w:bCs/>
                <w:sz w:val="20"/>
                <w:szCs w:val="20"/>
              </w:rPr>
              <w:t>65.15</w:t>
            </w:r>
          </w:p>
        </w:tc>
        <w:tc>
          <w:tcPr>
            <w:tcW w:w="1531" w:type="dxa"/>
            <w:tcBorders>
              <w:top w:val="nil"/>
              <w:left w:val="nil"/>
              <w:bottom w:val="single" w:sz="4" w:space="0" w:color="auto"/>
              <w:right w:val="single" w:sz="4" w:space="0" w:color="auto"/>
            </w:tcBorders>
            <w:vAlign w:val="center"/>
          </w:tcPr>
          <w:p w:rsidR="00865BD7" w:rsidRPr="00223730" w:rsidRDefault="0073004D" w:rsidP="00627748">
            <w:pPr>
              <w:spacing w:line="240" w:lineRule="auto"/>
              <w:ind w:left="-157" w:right="-108"/>
              <w:jc w:val="center"/>
              <w:rPr>
                <w:b/>
                <w:bCs/>
                <w:sz w:val="20"/>
                <w:szCs w:val="20"/>
              </w:rPr>
            </w:pPr>
            <w:r w:rsidRPr="00223730">
              <w:rPr>
                <w:b/>
                <w:bCs/>
                <w:sz w:val="20"/>
                <w:szCs w:val="20"/>
              </w:rPr>
              <w:t>63.92</w:t>
            </w:r>
          </w:p>
        </w:tc>
        <w:tc>
          <w:tcPr>
            <w:tcW w:w="1532" w:type="dxa"/>
            <w:tcBorders>
              <w:top w:val="nil"/>
              <w:left w:val="nil"/>
              <w:bottom w:val="single" w:sz="4" w:space="0" w:color="auto"/>
              <w:right w:val="single" w:sz="4" w:space="0" w:color="auto"/>
            </w:tcBorders>
            <w:vAlign w:val="center"/>
          </w:tcPr>
          <w:p w:rsidR="00865BD7" w:rsidRPr="00223730" w:rsidRDefault="005B7729" w:rsidP="00627748">
            <w:pPr>
              <w:spacing w:line="240" w:lineRule="auto"/>
              <w:ind w:left="-157" w:right="-108"/>
              <w:jc w:val="center"/>
              <w:rPr>
                <w:b/>
                <w:bCs/>
                <w:sz w:val="20"/>
                <w:szCs w:val="20"/>
              </w:rPr>
            </w:pPr>
            <w:r>
              <w:rPr>
                <w:b/>
                <w:bCs/>
                <w:sz w:val="20"/>
                <w:szCs w:val="20"/>
              </w:rPr>
              <w:t>69.58</w:t>
            </w:r>
          </w:p>
        </w:tc>
      </w:tr>
      <w:tr w:rsidR="00865BD7"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865BD7" w:rsidRPr="006B23F2" w:rsidRDefault="00865BD7" w:rsidP="00992668">
            <w:pPr>
              <w:spacing w:line="240" w:lineRule="auto"/>
              <w:ind w:left="-108" w:right="-108"/>
              <w:jc w:val="left"/>
              <w:rPr>
                <w:sz w:val="20"/>
                <w:szCs w:val="20"/>
              </w:rPr>
            </w:pPr>
            <w:r w:rsidRPr="006B23F2">
              <w:rPr>
                <w:sz w:val="20"/>
                <w:szCs w:val="20"/>
              </w:rPr>
              <w:t>Depreciation</w:t>
            </w:r>
          </w:p>
        </w:tc>
        <w:tc>
          <w:tcPr>
            <w:tcW w:w="1532" w:type="dxa"/>
            <w:tcBorders>
              <w:top w:val="nil"/>
              <w:left w:val="nil"/>
              <w:bottom w:val="single" w:sz="4" w:space="0" w:color="auto"/>
              <w:right w:val="single" w:sz="4" w:space="0" w:color="auto"/>
            </w:tcBorders>
            <w:shd w:val="clear" w:color="auto" w:fill="auto"/>
            <w:noWrap/>
            <w:vAlign w:val="center"/>
          </w:tcPr>
          <w:p w:rsidR="00865BD7" w:rsidRPr="00223730" w:rsidRDefault="0073004D" w:rsidP="00627748">
            <w:pPr>
              <w:spacing w:line="240" w:lineRule="auto"/>
              <w:ind w:left="-157" w:right="-108"/>
              <w:jc w:val="center"/>
              <w:rPr>
                <w:b/>
                <w:bCs/>
                <w:sz w:val="20"/>
                <w:szCs w:val="20"/>
              </w:rPr>
            </w:pPr>
            <w:r w:rsidRPr="00223730">
              <w:rPr>
                <w:b/>
                <w:bCs/>
                <w:sz w:val="20"/>
                <w:szCs w:val="20"/>
              </w:rPr>
              <w:t>22.36</w:t>
            </w:r>
          </w:p>
        </w:tc>
        <w:tc>
          <w:tcPr>
            <w:tcW w:w="1531" w:type="dxa"/>
            <w:tcBorders>
              <w:top w:val="nil"/>
              <w:left w:val="nil"/>
              <w:bottom w:val="single" w:sz="4" w:space="0" w:color="auto"/>
              <w:right w:val="single" w:sz="4" w:space="0" w:color="auto"/>
            </w:tcBorders>
            <w:vAlign w:val="center"/>
          </w:tcPr>
          <w:p w:rsidR="00865BD7" w:rsidRPr="00223730" w:rsidRDefault="0073004D" w:rsidP="00FB77E6">
            <w:pPr>
              <w:spacing w:line="240" w:lineRule="auto"/>
              <w:ind w:left="-157" w:right="-108"/>
              <w:jc w:val="center"/>
              <w:rPr>
                <w:b/>
                <w:bCs/>
                <w:sz w:val="20"/>
                <w:szCs w:val="20"/>
              </w:rPr>
            </w:pPr>
            <w:r w:rsidRPr="00223730">
              <w:rPr>
                <w:b/>
                <w:bCs/>
                <w:sz w:val="20"/>
                <w:szCs w:val="20"/>
              </w:rPr>
              <w:t>24.</w:t>
            </w:r>
            <w:r w:rsidR="00FB77E6" w:rsidRPr="00223730">
              <w:rPr>
                <w:b/>
                <w:bCs/>
                <w:sz w:val="20"/>
                <w:szCs w:val="20"/>
              </w:rPr>
              <w:t>5</w:t>
            </w:r>
            <w:r w:rsidRPr="00223730">
              <w:rPr>
                <w:b/>
                <w:bCs/>
                <w:sz w:val="20"/>
                <w:szCs w:val="20"/>
              </w:rPr>
              <w:t>3</w:t>
            </w:r>
          </w:p>
        </w:tc>
        <w:tc>
          <w:tcPr>
            <w:tcW w:w="1531" w:type="dxa"/>
            <w:tcBorders>
              <w:top w:val="nil"/>
              <w:left w:val="nil"/>
              <w:bottom w:val="single" w:sz="4" w:space="0" w:color="auto"/>
              <w:right w:val="single" w:sz="4" w:space="0" w:color="auto"/>
            </w:tcBorders>
            <w:vAlign w:val="center"/>
          </w:tcPr>
          <w:p w:rsidR="00865BD7" w:rsidRPr="00223730" w:rsidRDefault="0073004D" w:rsidP="00627748">
            <w:pPr>
              <w:spacing w:line="240" w:lineRule="auto"/>
              <w:ind w:left="-157" w:right="-108"/>
              <w:jc w:val="center"/>
              <w:rPr>
                <w:b/>
                <w:bCs/>
                <w:sz w:val="20"/>
                <w:szCs w:val="20"/>
              </w:rPr>
            </w:pPr>
            <w:r w:rsidRPr="00223730">
              <w:rPr>
                <w:b/>
                <w:bCs/>
                <w:sz w:val="20"/>
                <w:szCs w:val="20"/>
              </w:rPr>
              <w:t>24.87</w:t>
            </w:r>
          </w:p>
        </w:tc>
        <w:tc>
          <w:tcPr>
            <w:tcW w:w="1532" w:type="dxa"/>
            <w:tcBorders>
              <w:top w:val="nil"/>
              <w:left w:val="nil"/>
              <w:bottom w:val="single" w:sz="4" w:space="0" w:color="auto"/>
              <w:right w:val="single" w:sz="4" w:space="0" w:color="auto"/>
            </w:tcBorders>
            <w:vAlign w:val="center"/>
          </w:tcPr>
          <w:p w:rsidR="00865BD7" w:rsidRPr="00223730" w:rsidRDefault="00FB77E6" w:rsidP="00627748">
            <w:pPr>
              <w:spacing w:line="240" w:lineRule="auto"/>
              <w:ind w:left="-157" w:right="-108"/>
              <w:jc w:val="center"/>
              <w:rPr>
                <w:b/>
                <w:bCs/>
                <w:sz w:val="20"/>
                <w:szCs w:val="20"/>
              </w:rPr>
            </w:pPr>
            <w:r w:rsidRPr="00223730">
              <w:rPr>
                <w:b/>
                <w:bCs/>
                <w:sz w:val="20"/>
                <w:szCs w:val="20"/>
              </w:rPr>
              <w:t>23.32</w:t>
            </w:r>
          </w:p>
        </w:tc>
      </w:tr>
      <w:tr w:rsidR="00865BD7"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865BD7" w:rsidRPr="006B23F2" w:rsidRDefault="00865BD7" w:rsidP="00992668">
            <w:pPr>
              <w:spacing w:line="240" w:lineRule="auto"/>
              <w:ind w:left="-108" w:right="-108"/>
              <w:jc w:val="left"/>
              <w:rPr>
                <w:sz w:val="20"/>
                <w:szCs w:val="20"/>
              </w:rPr>
            </w:pPr>
            <w:r w:rsidRPr="006B23F2">
              <w:rPr>
                <w:sz w:val="20"/>
                <w:szCs w:val="20"/>
              </w:rPr>
              <w:t>Interest Charges</w:t>
            </w:r>
          </w:p>
        </w:tc>
        <w:tc>
          <w:tcPr>
            <w:tcW w:w="1532" w:type="dxa"/>
            <w:tcBorders>
              <w:top w:val="nil"/>
              <w:left w:val="nil"/>
              <w:bottom w:val="single" w:sz="4" w:space="0" w:color="auto"/>
              <w:right w:val="single" w:sz="4" w:space="0" w:color="auto"/>
            </w:tcBorders>
            <w:shd w:val="clear" w:color="auto" w:fill="auto"/>
            <w:noWrap/>
            <w:vAlign w:val="center"/>
          </w:tcPr>
          <w:p w:rsidR="00865BD7" w:rsidRPr="00223730" w:rsidRDefault="00223730" w:rsidP="00627748">
            <w:pPr>
              <w:spacing w:line="240" w:lineRule="auto"/>
              <w:ind w:left="-157" w:right="-108"/>
              <w:jc w:val="center"/>
              <w:rPr>
                <w:b/>
                <w:bCs/>
                <w:sz w:val="20"/>
                <w:szCs w:val="20"/>
              </w:rPr>
            </w:pPr>
            <w:r>
              <w:rPr>
                <w:b/>
                <w:bCs/>
                <w:sz w:val="20"/>
                <w:szCs w:val="20"/>
              </w:rPr>
              <w:t>15.24</w:t>
            </w:r>
          </w:p>
        </w:tc>
        <w:tc>
          <w:tcPr>
            <w:tcW w:w="1531" w:type="dxa"/>
            <w:tcBorders>
              <w:top w:val="nil"/>
              <w:left w:val="nil"/>
              <w:bottom w:val="single" w:sz="4" w:space="0" w:color="auto"/>
              <w:right w:val="single" w:sz="4" w:space="0" w:color="auto"/>
            </w:tcBorders>
            <w:vAlign w:val="center"/>
          </w:tcPr>
          <w:p w:rsidR="00865BD7" w:rsidRPr="00223730" w:rsidRDefault="004434B5" w:rsidP="00627748">
            <w:pPr>
              <w:spacing w:line="240" w:lineRule="auto"/>
              <w:ind w:left="-157" w:right="-108"/>
              <w:jc w:val="center"/>
              <w:rPr>
                <w:b/>
                <w:bCs/>
                <w:sz w:val="20"/>
                <w:szCs w:val="20"/>
              </w:rPr>
            </w:pPr>
            <w:r>
              <w:rPr>
                <w:b/>
                <w:bCs/>
                <w:sz w:val="20"/>
                <w:szCs w:val="20"/>
              </w:rPr>
              <w:t>14.53</w:t>
            </w:r>
          </w:p>
        </w:tc>
        <w:tc>
          <w:tcPr>
            <w:tcW w:w="1531" w:type="dxa"/>
            <w:tcBorders>
              <w:top w:val="nil"/>
              <w:left w:val="nil"/>
              <w:bottom w:val="single" w:sz="4" w:space="0" w:color="auto"/>
              <w:right w:val="single" w:sz="4" w:space="0" w:color="auto"/>
            </w:tcBorders>
            <w:vAlign w:val="center"/>
          </w:tcPr>
          <w:p w:rsidR="00865BD7" w:rsidRPr="00223730" w:rsidRDefault="002D6233" w:rsidP="00627748">
            <w:pPr>
              <w:spacing w:line="240" w:lineRule="auto"/>
              <w:ind w:left="-157" w:right="-108"/>
              <w:jc w:val="center"/>
              <w:rPr>
                <w:b/>
                <w:bCs/>
                <w:sz w:val="20"/>
                <w:szCs w:val="20"/>
              </w:rPr>
            </w:pPr>
            <w:r>
              <w:rPr>
                <w:b/>
                <w:bCs/>
                <w:sz w:val="20"/>
                <w:szCs w:val="20"/>
              </w:rPr>
              <w:t>14.56</w:t>
            </w:r>
          </w:p>
        </w:tc>
        <w:tc>
          <w:tcPr>
            <w:tcW w:w="1532" w:type="dxa"/>
            <w:tcBorders>
              <w:top w:val="nil"/>
              <w:left w:val="nil"/>
              <w:bottom w:val="single" w:sz="4" w:space="0" w:color="auto"/>
              <w:right w:val="single" w:sz="4" w:space="0" w:color="auto"/>
            </w:tcBorders>
            <w:vAlign w:val="center"/>
          </w:tcPr>
          <w:p w:rsidR="00865BD7" w:rsidRPr="00223730" w:rsidRDefault="00E47AB0" w:rsidP="00627748">
            <w:pPr>
              <w:spacing w:line="240" w:lineRule="auto"/>
              <w:ind w:left="-157" w:right="-108"/>
              <w:jc w:val="center"/>
              <w:rPr>
                <w:b/>
                <w:bCs/>
                <w:sz w:val="20"/>
                <w:szCs w:val="20"/>
              </w:rPr>
            </w:pPr>
            <w:r>
              <w:rPr>
                <w:b/>
                <w:bCs/>
                <w:sz w:val="20"/>
                <w:szCs w:val="20"/>
              </w:rPr>
              <w:t>14.41</w:t>
            </w:r>
          </w:p>
        </w:tc>
      </w:tr>
      <w:tr w:rsidR="00865BD7"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865BD7" w:rsidRPr="006B23F2" w:rsidRDefault="00865BD7" w:rsidP="00992668">
            <w:pPr>
              <w:spacing w:line="240" w:lineRule="auto"/>
              <w:ind w:left="-108" w:right="-108"/>
              <w:jc w:val="left"/>
              <w:rPr>
                <w:sz w:val="20"/>
                <w:szCs w:val="20"/>
              </w:rPr>
            </w:pPr>
            <w:r w:rsidRPr="006B23F2">
              <w:rPr>
                <w:sz w:val="20"/>
                <w:szCs w:val="20"/>
              </w:rPr>
              <w:t>Return on Equity</w:t>
            </w:r>
          </w:p>
        </w:tc>
        <w:tc>
          <w:tcPr>
            <w:tcW w:w="1532" w:type="dxa"/>
            <w:tcBorders>
              <w:top w:val="nil"/>
              <w:left w:val="nil"/>
              <w:bottom w:val="single" w:sz="4" w:space="0" w:color="auto"/>
              <w:right w:val="single" w:sz="4" w:space="0" w:color="auto"/>
            </w:tcBorders>
            <w:shd w:val="clear" w:color="auto" w:fill="auto"/>
            <w:noWrap/>
            <w:vAlign w:val="center"/>
          </w:tcPr>
          <w:p w:rsidR="00865BD7" w:rsidRPr="00223730" w:rsidRDefault="0073004D" w:rsidP="00627748">
            <w:pPr>
              <w:spacing w:line="240" w:lineRule="auto"/>
              <w:ind w:left="-157" w:right="-108"/>
              <w:jc w:val="center"/>
              <w:rPr>
                <w:b/>
                <w:bCs/>
                <w:sz w:val="20"/>
                <w:szCs w:val="20"/>
              </w:rPr>
            </w:pPr>
            <w:r w:rsidRPr="00223730">
              <w:rPr>
                <w:b/>
                <w:bCs/>
                <w:sz w:val="20"/>
                <w:szCs w:val="20"/>
              </w:rPr>
              <w:t>27.10</w:t>
            </w:r>
          </w:p>
        </w:tc>
        <w:tc>
          <w:tcPr>
            <w:tcW w:w="1531" w:type="dxa"/>
            <w:tcBorders>
              <w:top w:val="nil"/>
              <w:left w:val="nil"/>
              <w:bottom w:val="single" w:sz="4" w:space="0" w:color="auto"/>
              <w:right w:val="single" w:sz="4" w:space="0" w:color="auto"/>
            </w:tcBorders>
            <w:vAlign w:val="center"/>
          </w:tcPr>
          <w:p w:rsidR="00865BD7" w:rsidRPr="00223730" w:rsidRDefault="0073004D" w:rsidP="00627748">
            <w:pPr>
              <w:spacing w:line="240" w:lineRule="auto"/>
              <w:ind w:left="-157" w:right="-108"/>
              <w:jc w:val="center"/>
              <w:rPr>
                <w:b/>
                <w:bCs/>
                <w:sz w:val="20"/>
                <w:szCs w:val="20"/>
              </w:rPr>
            </w:pPr>
            <w:r w:rsidRPr="00223730">
              <w:rPr>
                <w:b/>
                <w:bCs/>
                <w:sz w:val="20"/>
                <w:szCs w:val="20"/>
              </w:rPr>
              <w:t>28.67</w:t>
            </w:r>
          </w:p>
        </w:tc>
        <w:tc>
          <w:tcPr>
            <w:tcW w:w="1531" w:type="dxa"/>
            <w:tcBorders>
              <w:top w:val="nil"/>
              <w:left w:val="nil"/>
              <w:bottom w:val="single" w:sz="4" w:space="0" w:color="auto"/>
              <w:right w:val="single" w:sz="4" w:space="0" w:color="auto"/>
            </w:tcBorders>
            <w:vAlign w:val="center"/>
          </w:tcPr>
          <w:p w:rsidR="00865BD7" w:rsidRPr="00223730" w:rsidRDefault="0073004D" w:rsidP="00627748">
            <w:pPr>
              <w:spacing w:line="240" w:lineRule="auto"/>
              <w:ind w:left="-157" w:right="-108"/>
              <w:jc w:val="center"/>
              <w:rPr>
                <w:b/>
                <w:bCs/>
                <w:sz w:val="20"/>
                <w:szCs w:val="20"/>
              </w:rPr>
            </w:pPr>
            <w:r w:rsidRPr="00223730">
              <w:rPr>
                <w:b/>
                <w:bCs/>
                <w:sz w:val="20"/>
                <w:szCs w:val="20"/>
              </w:rPr>
              <w:t>28.83</w:t>
            </w:r>
          </w:p>
        </w:tc>
        <w:tc>
          <w:tcPr>
            <w:tcW w:w="1532" w:type="dxa"/>
            <w:tcBorders>
              <w:top w:val="nil"/>
              <w:left w:val="nil"/>
              <w:bottom w:val="single" w:sz="4" w:space="0" w:color="auto"/>
              <w:right w:val="single" w:sz="4" w:space="0" w:color="auto"/>
            </w:tcBorders>
            <w:vAlign w:val="center"/>
          </w:tcPr>
          <w:p w:rsidR="00865BD7" w:rsidRPr="00223730" w:rsidRDefault="00FB77E6" w:rsidP="00627748">
            <w:pPr>
              <w:spacing w:line="240" w:lineRule="auto"/>
              <w:ind w:left="-157" w:right="-108"/>
              <w:jc w:val="center"/>
              <w:rPr>
                <w:b/>
                <w:bCs/>
                <w:sz w:val="20"/>
                <w:szCs w:val="20"/>
              </w:rPr>
            </w:pPr>
            <w:r w:rsidRPr="00223730">
              <w:rPr>
                <w:b/>
                <w:bCs/>
                <w:sz w:val="20"/>
                <w:szCs w:val="20"/>
              </w:rPr>
              <w:t>28.85</w:t>
            </w:r>
          </w:p>
        </w:tc>
      </w:tr>
      <w:tr w:rsidR="00865BD7"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865BD7" w:rsidRPr="006B23F2" w:rsidRDefault="00865BD7" w:rsidP="00992668">
            <w:pPr>
              <w:spacing w:line="240" w:lineRule="auto"/>
              <w:ind w:left="-108" w:right="-108"/>
              <w:jc w:val="left"/>
              <w:rPr>
                <w:sz w:val="20"/>
                <w:szCs w:val="20"/>
              </w:rPr>
            </w:pPr>
            <w:r w:rsidRPr="006B23F2">
              <w:rPr>
                <w:sz w:val="20"/>
                <w:szCs w:val="20"/>
              </w:rPr>
              <w:t>Interest on Working Capital</w:t>
            </w:r>
          </w:p>
        </w:tc>
        <w:tc>
          <w:tcPr>
            <w:tcW w:w="1532" w:type="dxa"/>
            <w:tcBorders>
              <w:top w:val="nil"/>
              <w:left w:val="nil"/>
              <w:bottom w:val="single" w:sz="4" w:space="0" w:color="auto"/>
              <w:right w:val="single" w:sz="4" w:space="0" w:color="auto"/>
            </w:tcBorders>
            <w:shd w:val="clear" w:color="auto" w:fill="auto"/>
            <w:noWrap/>
            <w:vAlign w:val="center"/>
          </w:tcPr>
          <w:p w:rsidR="00865BD7" w:rsidRPr="00223730" w:rsidRDefault="00FB77E6" w:rsidP="00223730">
            <w:pPr>
              <w:spacing w:line="240" w:lineRule="auto"/>
              <w:ind w:left="-157" w:right="-108"/>
              <w:jc w:val="center"/>
              <w:rPr>
                <w:b/>
                <w:bCs/>
                <w:sz w:val="20"/>
                <w:szCs w:val="20"/>
              </w:rPr>
            </w:pPr>
            <w:r w:rsidRPr="00223730">
              <w:rPr>
                <w:b/>
                <w:bCs/>
                <w:sz w:val="20"/>
                <w:szCs w:val="20"/>
              </w:rPr>
              <w:t>24.</w:t>
            </w:r>
            <w:r w:rsidR="00223730">
              <w:rPr>
                <w:b/>
                <w:bCs/>
                <w:sz w:val="20"/>
                <w:szCs w:val="20"/>
              </w:rPr>
              <w:t>13</w:t>
            </w:r>
          </w:p>
        </w:tc>
        <w:tc>
          <w:tcPr>
            <w:tcW w:w="1531" w:type="dxa"/>
            <w:tcBorders>
              <w:top w:val="nil"/>
              <w:left w:val="nil"/>
              <w:bottom w:val="single" w:sz="4" w:space="0" w:color="auto"/>
              <w:right w:val="single" w:sz="4" w:space="0" w:color="auto"/>
            </w:tcBorders>
            <w:vAlign w:val="center"/>
          </w:tcPr>
          <w:p w:rsidR="00865BD7" w:rsidRPr="00223730" w:rsidRDefault="00FB77E6" w:rsidP="004434B5">
            <w:pPr>
              <w:spacing w:line="240" w:lineRule="auto"/>
              <w:ind w:left="-157" w:right="-108"/>
              <w:jc w:val="center"/>
              <w:rPr>
                <w:b/>
                <w:bCs/>
                <w:sz w:val="20"/>
                <w:szCs w:val="20"/>
              </w:rPr>
            </w:pPr>
            <w:r w:rsidRPr="00223730">
              <w:rPr>
                <w:b/>
                <w:bCs/>
                <w:sz w:val="20"/>
                <w:szCs w:val="20"/>
              </w:rPr>
              <w:t>19.</w:t>
            </w:r>
            <w:r w:rsidR="004434B5">
              <w:rPr>
                <w:b/>
                <w:bCs/>
                <w:sz w:val="20"/>
                <w:szCs w:val="20"/>
              </w:rPr>
              <w:t>31</w:t>
            </w:r>
          </w:p>
        </w:tc>
        <w:tc>
          <w:tcPr>
            <w:tcW w:w="1531" w:type="dxa"/>
            <w:tcBorders>
              <w:top w:val="nil"/>
              <w:left w:val="nil"/>
              <w:bottom w:val="single" w:sz="4" w:space="0" w:color="auto"/>
              <w:right w:val="single" w:sz="4" w:space="0" w:color="auto"/>
            </w:tcBorders>
            <w:vAlign w:val="center"/>
          </w:tcPr>
          <w:p w:rsidR="00865BD7" w:rsidRPr="00223730" w:rsidRDefault="00FB77E6" w:rsidP="00627748">
            <w:pPr>
              <w:spacing w:line="240" w:lineRule="auto"/>
              <w:ind w:left="-157" w:right="-108"/>
              <w:jc w:val="center"/>
              <w:rPr>
                <w:b/>
                <w:bCs/>
                <w:sz w:val="20"/>
                <w:szCs w:val="20"/>
              </w:rPr>
            </w:pPr>
            <w:r w:rsidRPr="00223730">
              <w:rPr>
                <w:b/>
                <w:bCs/>
                <w:sz w:val="20"/>
                <w:szCs w:val="20"/>
              </w:rPr>
              <w:t>51.7</w:t>
            </w:r>
            <w:r w:rsidR="002D6233">
              <w:rPr>
                <w:b/>
                <w:bCs/>
                <w:sz w:val="20"/>
                <w:szCs w:val="20"/>
              </w:rPr>
              <w:t>7</w:t>
            </w:r>
          </w:p>
        </w:tc>
        <w:tc>
          <w:tcPr>
            <w:tcW w:w="1532" w:type="dxa"/>
            <w:tcBorders>
              <w:top w:val="nil"/>
              <w:left w:val="nil"/>
              <w:bottom w:val="single" w:sz="4" w:space="0" w:color="auto"/>
              <w:right w:val="single" w:sz="4" w:space="0" w:color="auto"/>
            </w:tcBorders>
            <w:vAlign w:val="center"/>
          </w:tcPr>
          <w:p w:rsidR="00865BD7" w:rsidRPr="00223730" w:rsidRDefault="00FB77E6" w:rsidP="00E47AB0">
            <w:pPr>
              <w:spacing w:line="240" w:lineRule="auto"/>
              <w:ind w:left="-157" w:right="-108"/>
              <w:jc w:val="center"/>
              <w:rPr>
                <w:b/>
                <w:bCs/>
                <w:sz w:val="20"/>
                <w:szCs w:val="20"/>
              </w:rPr>
            </w:pPr>
            <w:r w:rsidRPr="00223730">
              <w:rPr>
                <w:b/>
                <w:bCs/>
                <w:sz w:val="20"/>
                <w:szCs w:val="20"/>
              </w:rPr>
              <w:t>52.</w:t>
            </w:r>
            <w:r w:rsidR="005B7729">
              <w:rPr>
                <w:b/>
                <w:bCs/>
                <w:sz w:val="20"/>
                <w:szCs w:val="20"/>
              </w:rPr>
              <w:t>28</w:t>
            </w:r>
          </w:p>
        </w:tc>
      </w:tr>
      <w:tr w:rsidR="0073004D"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73004D" w:rsidRPr="006B23F2" w:rsidRDefault="0073004D" w:rsidP="00992668">
            <w:pPr>
              <w:spacing w:line="240" w:lineRule="auto"/>
              <w:ind w:left="-108" w:right="-108"/>
              <w:jc w:val="left"/>
              <w:rPr>
                <w:sz w:val="20"/>
                <w:szCs w:val="20"/>
              </w:rPr>
            </w:pPr>
            <w:r>
              <w:rPr>
                <w:sz w:val="20"/>
                <w:szCs w:val="20"/>
              </w:rPr>
              <w:t>Income Tax</w:t>
            </w:r>
          </w:p>
        </w:tc>
        <w:tc>
          <w:tcPr>
            <w:tcW w:w="1532" w:type="dxa"/>
            <w:tcBorders>
              <w:top w:val="nil"/>
              <w:left w:val="nil"/>
              <w:bottom w:val="single" w:sz="4" w:space="0" w:color="auto"/>
              <w:right w:val="single" w:sz="4" w:space="0" w:color="auto"/>
            </w:tcBorders>
            <w:shd w:val="clear" w:color="auto" w:fill="auto"/>
            <w:noWrap/>
            <w:vAlign w:val="center"/>
          </w:tcPr>
          <w:p w:rsidR="0073004D" w:rsidRPr="00223730" w:rsidRDefault="00223730" w:rsidP="00627748">
            <w:pPr>
              <w:spacing w:line="240" w:lineRule="auto"/>
              <w:ind w:left="-157" w:right="-108"/>
              <w:jc w:val="center"/>
              <w:rPr>
                <w:b/>
                <w:bCs/>
                <w:sz w:val="20"/>
                <w:szCs w:val="20"/>
              </w:rPr>
            </w:pPr>
            <w:r>
              <w:rPr>
                <w:b/>
                <w:bCs/>
                <w:sz w:val="20"/>
                <w:szCs w:val="20"/>
              </w:rPr>
              <w:t>8.79</w:t>
            </w:r>
          </w:p>
        </w:tc>
        <w:tc>
          <w:tcPr>
            <w:tcW w:w="1531" w:type="dxa"/>
            <w:tcBorders>
              <w:top w:val="nil"/>
              <w:left w:val="nil"/>
              <w:bottom w:val="single" w:sz="4" w:space="0" w:color="auto"/>
              <w:right w:val="single" w:sz="4" w:space="0" w:color="auto"/>
            </w:tcBorders>
            <w:vAlign w:val="center"/>
          </w:tcPr>
          <w:p w:rsidR="0073004D" w:rsidRPr="00223730" w:rsidRDefault="004434B5" w:rsidP="00627748">
            <w:pPr>
              <w:spacing w:line="240" w:lineRule="auto"/>
              <w:ind w:left="-157" w:right="-108"/>
              <w:jc w:val="center"/>
              <w:rPr>
                <w:b/>
                <w:bCs/>
                <w:sz w:val="20"/>
                <w:szCs w:val="20"/>
              </w:rPr>
            </w:pPr>
            <w:r>
              <w:rPr>
                <w:b/>
                <w:bCs/>
                <w:sz w:val="20"/>
                <w:szCs w:val="20"/>
              </w:rPr>
              <w:t>9.74</w:t>
            </w:r>
          </w:p>
        </w:tc>
        <w:tc>
          <w:tcPr>
            <w:tcW w:w="1531" w:type="dxa"/>
            <w:tcBorders>
              <w:top w:val="nil"/>
              <w:left w:val="nil"/>
              <w:bottom w:val="single" w:sz="4" w:space="0" w:color="auto"/>
              <w:right w:val="single" w:sz="4" w:space="0" w:color="auto"/>
            </w:tcBorders>
            <w:vAlign w:val="center"/>
          </w:tcPr>
          <w:p w:rsidR="0073004D" w:rsidRPr="00223730" w:rsidRDefault="0073004D" w:rsidP="00627748">
            <w:pPr>
              <w:spacing w:line="240" w:lineRule="auto"/>
              <w:ind w:left="-157" w:right="-108"/>
              <w:jc w:val="center"/>
              <w:rPr>
                <w:b/>
                <w:bCs/>
                <w:sz w:val="20"/>
                <w:szCs w:val="20"/>
              </w:rPr>
            </w:pPr>
            <w:r w:rsidRPr="00223730">
              <w:rPr>
                <w:b/>
                <w:bCs/>
                <w:sz w:val="20"/>
                <w:szCs w:val="20"/>
              </w:rPr>
              <w:t>9.80</w:t>
            </w:r>
          </w:p>
        </w:tc>
        <w:tc>
          <w:tcPr>
            <w:tcW w:w="1532" w:type="dxa"/>
            <w:tcBorders>
              <w:top w:val="nil"/>
              <w:left w:val="nil"/>
              <w:bottom w:val="single" w:sz="4" w:space="0" w:color="auto"/>
              <w:right w:val="single" w:sz="4" w:space="0" w:color="auto"/>
            </w:tcBorders>
            <w:vAlign w:val="center"/>
          </w:tcPr>
          <w:p w:rsidR="0073004D" w:rsidRPr="00223730" w:rsidRDefault="00FB77E6" w:rsidP="00627748">
            <w:pPr>
              <w:spacing w:line="240" w:lineRule="auto"/>
              <w:ind w:left="-157" w:right="-108"/>
              <w:jc w:val="center"/>
              <w:rPr>
                <w:b/>
                <w:bCs/>
                <w:sz w:val="20"/>
                <w:szCs w:val="20"/>
              </w:rPr>
            </w:pPr>
            <w:r w:rsidRPr="00223730">
              <w:rPr>
                <w:b/>
                <w:bCs/>
                <w:sz w:val="20"/>
                <w:szCs w:val="20"/>
              </w:rPr>
              <w:t>9.81</w:t>
            </w:r>
          </w:p>
        </w:tc>
      </w:tr>
      <w:tr w:rsidR="00865BD7"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865BD7" w:rsidRPr="006B23F2" w:rsidRDefault="00865BD7" w:rsidP="00992668">
            <w:pPr>
              <w:spacing w:line="240" w:lineRule="auto"/>
              <w:ind w:left="-108" w:right="-108"/>
              <w:jc w:val="left"/>
              <w:rPr>
                <w:b/>
                <w:bCs/>
                <w:sz w:val="20"/>
                <w:szCs w:val="20"/>
              </w:rPr>
            </w:pPr>
            <w:r w:rsidRPr="006B23F2">
              <w:rPr>
                <w:b/>
                <w:bCs/>
                <w:sz w:val="20"/>
                <w:szCs w:val="20"/>
              </w:rPr>
              <w:t>Total Fixed Cost</w:t>
            </w:r>
          </w:p>
        </w:tc>
        <w:tc>
          <w:tcPr>
            <w:tcW w:w="1532" w:type="dxa"/>
            <w:tcBorders>
              <w:top w:val="nil"/>
              <w:left w:val="nil"/>
              <w:bottom w:val="single" w:sz="4" w:space="0" w:color="auto"/>
              <w:right w:val="single" w:sz="4" w:space="0" w:color="auto"/>
            </w:tcBorders>
            <w:shd w:val="clear" w:color="auto" w:fill="auto"/>
            <w:noWrap/>
            <w:vAlign w:val="center"/>
          </w:tcPr>
          <w:p w:rsidR="00865BD7" w:rsidRPr="00223730" w:rsidRDefault="00223730" w:rsidP="00627748">
            <w:pPr>
              <w:spacing w:line="240" w:lineRule="auto"/>
              <w:ind w:left="-157" w:right="-108"/>
              <w:jc w:val="center"/>
              <w:rPr>
                <w:b/>
                <w:bCs/>
                <w:sz w:val="20"/>
                <w:szCs w:val="20"/>
              </w:rPr>
            </w:pPr>
            <w:r>
              <w:rPr>
                <w:b/>
                <w:bCs/>
                <w:sz w:val="20"/>
                <w:szCs w:val="20"/>
              </w:rPr>
              <w:t>181.80</w:t>
            </w:r>
          </w:p>
        </w:tc>
        <w:tc>
          <w:tcPr>
            <w:tcW w:w="1531" w:type="dxa"/>
            <w:tcBorders>
              <w:top w:val="nil"/>
              <w:left w:val="nil"/>
              <w:bottom w:val="single" w:sz="4" w:space="0" w:color="auto"/>
              <w:right w:val="single" w:sz="4" w:space="0" w:color="auto"/>
            </w:tcBorders>
            <w:vAlign w:val="center"/>
          </w:tcPr>
          <w:p w:rsidR="00865BD7" w:rsidRPr="00223730" w:rsidRDefault="004434B5" w:rsidP="00627748">
            <w:pPr>
              <w:spacing w:line="240" w:lineRule="auto"/>
              <w:ind w:left="-157" w:right="-108"/>
              <w:jc w:val="center"/>
              <w:rPr>
                <w:b/>
                <w:bCs/>
                <w:sz w:val="20"/>
                <w:szCs w:val="20"/>
              </w:rPr>
            </w:pPr>
            <w:r>
              <w:rPr>
                <w:b/>
                <w:bCs/>
                <w:sz w:val="20"/>
                <w:szCs w:val="20"/>
              </w:rPr>
              <w:t>161.94</w:t>
            </w:r>
          </w:p>
        </w:tc>
        <w:tc>
          <w:tcPr>
            <w:tcW w:w="1531" w:type="dxa"/>
            <w:tcBorders>
              <w:top w:val="nil"/>
              <w:left w:val="nil"/>
              <w:bottom w:val="single" w:sz="4" w:space="0" w:color="auto"/>
              <w:right w:val="single" w:sz="4" w:space="0" w:color="auto"/>
            </w:tcBorders>
            <w:vAlign w:val="center"/>
          </w:tcPr>
          <w:p w:rsidR="00865BD7" w:rsidRPr="00223730" w:rsidRDefault="002D6233" w:rsidP="00627748">
            <w:pPr>
              <w:spacing w:line="240" w:lineRule="auto"/>
              <w:ind w:left="-157" w:right="-108"/>
              <w:jc w:val="center"/>
              <w:rPr>
                <w:b/>
                <w:bCs/>
                <w:sz w:val="20"/>
                <w:szCs w:val="20"/>
              </w:rPr>
            </w:pPr>
            <w:r>
              <w:rPr>
                <w:b/>
                <w:bCs/>
                <w:sz w:val="20"/>
                <w:szCs w:val="20"/>
              </w:rPr>
              <w:t>193.75</w:t>
            </w:r>
          </w:p>
        </w:tc>
        <w:tc>
          <w:tcPr>
            <w:tcW w:w="1532" w:type="dxa"/>
            <w:tcBorders>
              <w:top w:val="nil"/>
              <w:left w:val="nil"/>
              <w:bottom w:val="single" w:sz="4" w:space="0" w:color="auto"/>
              <w:right w:val="single" w:sz="4" w:space="0" w:color="auto"/>
            </w:tcBorders>
            <w:vAlign w:val="center"/>
          </w:tcPr>
          <w:p w:rsidR="00865BD7" w:rsidRPr="00223730" w:rsidRDefault="005B7729" w:rsidP="00627748">
            <w:pPr>
              <w:spacing w:line="240" w:lineRule="auto"/>
              <w:ind w:left="-157" w:right="-108"/>
              <w:jc w:val="center"/>
              <w:rPr>
                <w:b/>
                <w:bCs/>
                <w:sz w:val="20"/>
                <w:szCs w:val="20"/>
              </w:rPr>
            </w:pPr>
            <w:r>
              <w:rPr>
                <w:b/>
                <w:bCs/>
                <w:sz w:val="20"/>
                <w:szCs w:val="20"/>
              </w:rPr>
              <w:t>198.24</w:t>
            </w:r>
          </w:p>
        </w:tc>
      </w:tr>
      <w:tr w:rsidR="00865BD7"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865BD7" w:rsidRPr="006B23F2" w:rsidRDefault="00865BD7" w:rsidP="00992668">
            <w:pPr>
              <w:spacing w:line="240" w:lineRule="auto"/>
              <w:ind w:left="-108" w:right="-108"/>
              <w:jc w:val="left"/>
              <w:rPr>
                <w:b/>
                <w:bCs/>
                <w:sz w:val="20"/>
                <w:szCs w:val="20"/>
              </w:rPr>
            </w:pPr>
            <w:r w:rsidRPr="006B23F2">
              <w:rPr>
                <w:b/>
                <w:bCs/>
                <w:sz w:val="20"/>
                <w:szCs w:val="20"/>
              </w:rPr>
              <w:t>Net Generation (MU)</w:t>
            </w:r>
          </w:p>
        </w:tc>
        <w:tc>
          <w:tcPr>
            <w:tcW w:w="1532" w:type="dxa"/>
            <w:tcBorders>
              <w:top w:val="nil"/>
              <w:left w:val="nil"/>
              <w:bottom w:val="single" w:sz="4" w:space="0" w:color="auto"/>
              <w:right w:val="single" w:sz="4" w:space="0" w:color="auto"/>
            </w:tcBorders>
            <w:shd w:val="clear" w:color="auto" w:fill="auto"/>
            <w:noWrap/>
            <w:vAlign w:val="center"/>
          </w:tcPr>
          <w:p w:rsidR="00865BD7" w:rsidRPr="00223730" w:rsidRDefault="00627748" w:rsidP="00627748">
            <w:pPr>
              <w:spacing w:line="240" w:lineRule="auto"/>
              <w:ind w:left="-157" w:right="-108"/>
              <w:jc w:val="center"/>
              <w:rPr>
                <w:b/>
                <w:bCs/>
                <w:sz w:val="20"/>
                <w:szCs w:val="20"/>
              </w:rPr>
            </w:pPr>
            <w:r w:rsidRPr="00223730">
              <w:rPr>
                <w:b/>
                <w:bCs/>
                <w:sz w:val="20"/>
                <w:szCs w:val="20"/>
              </w:rPr>
              <w:t>1268.42</w:t>
            </w:r>
            <w:r w:rsidR="00223730">
              <w:rPr>
                <w:b/>
                <w:bCs/>
                <w:sz w:val="20"/>
                <w:szCs w:val="20"/>
              </w:rPr>
              <w:t>2</w:t>
            </w:r>
          </w:p>
        </w:tc>
        <w:tc>
          <w:tcPr>
            <w:tcW w:w="1531" w:type="dxa"/>
            <w:tcBorders>
              <w:top w:val="nil"/>
              <w:left w:val="nil"/>
              <w:bottom w:val="single" w:sz="4" w:space="0" w:color="auto"/>
              <w:right w:val="single" w:sz="4" w:space="0" w:color="auto"/>
            </w:tcBorders>
            <w:vAlign w:val="center"/>
          </w:tcPr>
          <w:p w:rsidR="00865BD7" w:rsidRPr="00223730" w:rsidRDefault="00627748" w:rsidP="00627748">
            <w:pPr>
              <w:spacing w:line="240" w:lineRule="auto"/>
              <w:ind w:left="-157" w:right="-108"/>
              <w:jc w:val="center"/>
              <w:rPr>
                <w:b/>
                <w:bCs/>
                <w:sz w:val="20"/>
                <w:szCs w:val="20"/>
              </w:rPr>
            </w:pPr>
            <w:r w:rsidRPr="00223730">
              <w:rPr>
                <w:b/>
                <w:bCs/>
                <w:sz w:val="20"/>
                <w:szCs w:val="20"/>
              </w:rPr>
              <w:t>1006.792</w:t>
            </w:r>
          </w:p>
        </w:tc>
        <w:tc>
          <w:tcPr>
            <w:tcW w:w="1531" w:type="dxa"/>
            <w:tcBorders>
              <w:top w:val="nil"/>
              <w:left w:val="nil"/>
              <w:bottom w:val="single" w:sz="4" w:space="0" w:color="auto"/>
              <w:right w:val="single" w:sz="4" w:space="0" w:color="auto"/>
            </w:tcBorders>
            <w:vAlign w:val="center"/>
          </w:tcPr>
          <w:p w:rsidR="00865BD7" w:rsidRPr="00223730" w:rsidRDefault="00627748" w:rsidP="00627748">
            <w:pPr>
              <w:spacing w:line="240" w:lineRule="auto"/>
              <w:ind w:left="-157" w:right="-108"/>
              <w:jc w:val="center"/>
              <w:rPr>
                <w:b/>
                <w:bCs/>
                <w:sz w:val="20"/>
                <w:szCs w:val="20"/>
              </w:rPr>
            </w:pPr>
            <w:r w:rsidRPr="00223730">
              <w:rPr>
                <w:b/>
                <w:bCs/>
                <w:sz w:val="20"/>
                <w:szCs w:val="20"/>
              </w:rPr>
              <w:t>182</w:t>
            </w:r>
            <w:r w:rsidR="002D6233">
              <w:rPr>
                <w:b/>
                <w:bCs/>
                <w:sz w:val="20"/>
                <w:szCs w:val="20"/>
              </w:rPr>
              <w:t>4.231</w:t>
            </w:r>
          </w:p>
        </w:tc>
        <w:tc>
          <w:tcPr>
            <w:tcW w:w="1532" w:type="dxa"/>
            <w:tcBorders>
              <w:top w:val="nil"/>
              <w:left w:val="nil"/>
              <w:bottom w:val="single" w:sz="4" w:space="0" w:color="auto"/>
              <w:right w:val="single" w:sz="4" w:space="0" w:color="auto"/>
            </w:tcBorders>
            <w:vAlign w:val="center"/>
          </w:tcPr>
          <w:p w:rsidR="00865BD7" w:rsidRPr="00223730" w:rsidRDefault="00627748" w:rsidP="00E47AB0">
            <w:pPr>
              <w:spacing w:line="240" w:lineRule="auto"/>
              <w:ind w:left="-157" w:right="-108"/>
              <w:jc w:val="center"/>
              <w:rPr>
                <w:b/>
                <w:bCs/>
                <w:sz w:val="20"/>
                <w:szCs w:val="20"/>
              </w:rPr>
            </w:pPr>
            <w:r w:rsidRPr="00223730">
              <w:rPr>
                <w:b/>
                <w:bCs/>
                <w:sz w:val="20"/>
                <w:szCs w:val="20"/>
              </w:rPr>
              <w:t>182</w:t>
            </w:r>
            <w:r w:rsidR="00E47AB0">
              <w:rPr>
                <w:b/>
                <w:bCs/>
                <w:sz w:val="20"/>
                <w:szCs w:val="20"/>
              </w:rPr>
              <w:t>9.230</w:t>
            </w:r>
          </w:p>
        </w:tc>
      </w:tr>
      <w:tr w:rsidR="00865BD7" w:rsidRPr="00FD01EE" w:rsidTr="009031E6">
        <w:trPr>
          <w:trHeight w:val="394"/>
        </w:trPr>
        <w:tc>
          <w:tcPr>
            <w:tcW w:w="2715" w:type="dxa"/>
            <w:tcBorders>
              <w:top w:val="nil"/>
              <w:left w:val="single" w:sz="4" w:space="0" w:color="auto"/>
              <w:bottom w:val="single" w:sz="4" w:space="0" w:color="auto"/>
              <w:right w:val="single" w:sz="4" w:space="0" w:color="auto"/>
            </w:tcBorders>
            <w:shd w:val="clear" w:color="auto" w:fill="auto"/>
            <w:noWrap/>
            <w:vAlign w:val="center"/>
          </w:tcPr>
          <w:p w:rsidR="00865BD7" w:rsidRPr="006B23F2" w:rsidRDefault="00865BD7" w:rsidP="00992668">
            <w:pPr>
              <w:spacing w:line="240" w:lineRule="auto"/>
              <w:ind w:left="-108" w:right="-108"/>
              <w:jc w:val="left"/>
              <w:rPr>
                <w:b/>
                <w:bCs/>
                <w:sz w:val="20"/>
                <w:szCs w:val="20"/>
              </w:rPr>
            </w:pPr>
            <w:bookmarkStart w:id="99" w:name="_Hlk290204909"/>
            <w:r w:rsidRPr="006B23F2">
              <w:rPr>
                <w:b/>
                <w:bCs/>
                <w:sz w:val="20"/>
                <w:szCs w:val="20"/>
              </w:rPr>
              <w:t>Fixed Cost/Unit (Rs/kWh)</w:t>
            </w:r>
          </w:p>
        </w:tc>
        <w:tc>
          <w:tcPr>
            <w:tcW w:w="1532" w:type="dxa"/>
            <w:tcBorders>
              <w:top w:val="nil"/>
              <w:left w:val="nil"/>
              <w:bottom w:val="single" w:sz="4" w:space="0" w:color="auto"/>
              <w:right w:val="single" w:sz="4" w:space="0" w:color="auto"/>
            </w:tcBorders>
            <w:shd w:val="clear" w:color="auto" w:fill="auto"/>
            <w:noWrap/>
            <w:vAlign w:val="center"/>
          </w:tcPr>
          <w:p w:rsidR="00865BD7" w:rsidRPr="00E47AB0" w:rsidRDefault="00627748" w:rsidP="00223730">
            <w:pPr>
              <w:spacing w:line="240" w:lineRule="auto"/>
              <w:ind w:left="-157" w:right="-108"/>
              <w:jc w:val="center"/>
              <w:rPr>
                <w:b/>
                <w:bCs/>
                <w:sz w:val="20"/>
                <w:szCs w:val="20"/>
              </w:rPr>
            </w:pPr>
            <w:r w:rsidRPr="00E47AB0">
              <w:rPr>
                <w:b/>
                <w:bCs/>
                <w:sz w:val="20"/>
                <w:szCs w:val="20"/>
              </w:rPr>
              <w:t>1.</w:t>
            </w:r>
            <w:r w:rsidR="00223730" w:rsidRPr="00E47AB0">
              <w:rPr>
                <w:b/>
                <w:bCs/>
                <w:sz w:val="20"/>
                <w:szCs w:val="20"/>
              </w:rPr>
              <w:t>433</w:t>
            </w:r>
          </w:p>
        </w:tc>
        <w:tc>
          <w:tcPr>
            <w:tcW w:w="1531" w:type="dxa"/>
            <w:tcBorders>
              <w:top w:val="nil"/>
              <w:left w:val="nil"/>
              <w:bottom w:val="single" w:sz="4" w:space="0" w:color="auto"/>
              <w:right w:val="single" w:sz="4" w:space="0" w:color="auto"/>
            </w:tcBorders>
            <w:vAlign w:val="center"/>
          </w:tcPr>
          <w:p w:rsidR="00865BD7" w:rsidRPr="00E47AB0" w:rsidRDefault="004434B5" w:rsidP="00FB77E6">
            <w:pPr>
              <w:spacing w:line="240" w:lineRule="auto"/>
              <w:ind w:left="-157" w:right="-108"/>
              <w:jc w:val="center"/>
              <w:rPr>
                <w:b/>
                <w:bCs/>
                <w:sz w:val="20"/>
                <w:szCs w:val="20"/>
              </w:rPr>
            </w:pPr>
            <w:r w:rsidRPr="00E47AB0">
              <w:rPr>
                <w:b/>
                <w:bCs/>
                <w:sz w:val="20"/>
                <w:szCs w:val="20"/>
              </w:rPr>
              <w:t>1.608</w:t>
            </w:r>
          </w:p>
        </w:tc>
        <w:tc>
          <w:tcPr>
            <w:tcW w:w="1531" w:type="dxa"/>
            <w:tcBorders>
              <w:top w:val="nil"/>
              <w:left w:val="nil"/>
              <w:bottom w:val="single" w:sz="4" w:space="0" w:color="auto"/>
              <w:right w:val="single" w:sz="4" w:space="0" w:color="auto"/>
            </w:tcBorders>
            <w:vAlign w:val="center"/>
          </w:tcPr>
          <w:p w:rsidR="00865BD7" w:rsidRPr="00E47AB0" w:rsidRDefault="00627748" w:rsidP="00FB77E6">
            <w:pPr>
              <w:spacing w:line="240" w:lineRule="auto"/>
              <w:ind w:left="-157" w:right="-108"/>
              <w:jc w:val="center"/>
              <w:rPr>
                <w:b/>
                <w:bCs/>
                <w:sz w:val="20"/>
                <w:szCs w:val="20"/>
              </w:rPr>
            </w:pPr>
            <w:r w:rsidRPr="00E47AB0">
              <w:rPr>
                <w:b/>
                <w:bCs/>
                <w:sz w:val="20"/>
                <w:szCs w:val="20"/>
              </w:rPr>
              <w:t>1.</w:t>
            </w:r>
            <w:r w:rsidR="00FB77E6" w:rsidRPr="00E47AB0">
              <w:rPr>
                <w:b/>
                <w:bCs/>
                <w:sz w:val="20"/>
                <w:szCs w:val="20"/>
              </w:rPr>
              <w:t>0</w:t>
            </w:r>
            <w:r w:rsidR="00E47AB0" w:rsidRPr="00E47AB0">
              <w:rPr>
                <w:b/>
                <w:bCs/>
                <w:sz w:val="20"/>
                <w:szCs w:val="20"/>
              </w:rPr>
              <w:t>62</w:t>
            </w:r>
          </w:p>
        </w:tc>
        <w:tc>
          <w:tcPr>
            <w:tcW w:w="1532" w:type="dxa"/>
            <w:tcBorders>
              <w:top w:val="nil"/>
              <w:left w:val="nil"/>
              <w:bottom w:val="single" w:sz="4" w:space="0" w:color="auto"/>
              <w:right w:val="single" w:sz="4" w:space="0" w:color="auto"/>
            </w:tcBorders>
            <w:vAlign w:val="center"/>
          </w:tcPr>
          <w:p w:rsidR="00865BD7" w:rsidRPr="00E47AB0" w:rsidRDefault="00E47AB0" w:rsidP="00FB77E6">
            <w:pPr>
              <w:spacing w:line="240" w:lineRule="auto"/>
              <w:ind w:left="-157" w:right="-108"/>
              <w:jc w:val="center"/>
              <w:rPr>
                <w:b/>
                <w:bCs/>
                <w:sz w:val="20"/>
                <w:szCs w:val="20"/>
              </w:rPr>
            </w:pPr>
            <w:r w:rsidRPr="00E47AB0">
              <w:rPr>
                <w:b/>
                <w:bCs/>
                <w:sz w:val="20"/>
                <w:szCs w:val="20"/>
              </w:rPr>
              <w:t>1.0</w:t>
            </w:r>
            <w:r w:rsidR="005B7729">
              <w:rPr>
                <w:b/>
                <w:bCs/>
                <w:sz w:val="20"/>
                <w:szCs w:val="20"/>
              </w:rPr>
              <w:t>84</w:t>
            </w:r>
          </w:p>
        </w:tc>
      </w:tr>
      <w:bookmarkEnd w:id="99"/>
    </w:tbl>
    <w:p w:rsidR="00752268" w:rsidRDefault="00752268" w:rsidP="00C43BF7">
      <w:pPr>
        <w:pStyle w:val="Header"/>
        <w:tabs>
          <w:tab w:val="clear" w:pos="4320"/>
          <w:tab w:val="clear" w:pos="8640"/>
        </w:tabs>
        <w:rPr>
          <w:sz w:val="22"/>
          <w:szCs w:val="22"/>
        </w:rPr>
      </w:pPr>
    </w:p>
    <w:p w:rsidR="007B5659" w:rsidRPr="008E45EC" w:rsidRDefault="0081025B" w:rsidP="0081025B">
      <w:pPr>
        <w:pStyle w:val="Caption"/>
        <w:jc w:val="center"/>
      </w:pPr>
      <w:bookmarkStart w:id="100" w:name="_Toc174434532"/>
      <w:bookmarkStart w:id="101" w:name="_Toc411604016"/>
      <w:r>
        <w:t xml:space="preserve">Table </w:t>
      </w:r>
      <w:fldSimple w:instr=" SEQ Table \* ARABIC ">
        <w:r w:rsidR="002326CE">
          <w:rPr>
            <w:noProof/>
          </w:rPr>
          <w:t>39</w:t>
        </w:r>
      </w:fldSimple>
      <w:r>
        <w:t xml:space="preserve"> : </w:t>
      </w:r>
      <w:r w:rsidR="007B5659" w:rsidRPr="008E45EC">
        <w:t>Fixed Cost per Unit RPH</w:t>
      </w:r>
      <w:r w:rsidR="00777AF1" w:rsidRPr="008E45EC">
        <w:t xml:space="preserve"> </w:t>
      </w:r>
      <w:r w:rsidR="007B5659" w:rsidRPr="008E45EC">
        <w:t>&amp; GT</w:t>
      </w:r>
      <w:r w:rsidR="00AA7645" w:rsidRPr="008E45EC">
        <w:t xml:space="preserve"> </w:t>
      </w:r>
      <w:r w:rsidR="008E45EC">
        <w:t>S</w:t>
      </w:r>
      <w:r w:rsidR="007B5659" w:rsidRPr="008E45EC">
        <w:t>tation</w:t>
      </w:r>
      <w:r w:rsidR="00AA7645" w:rsidRPr="008E45EC">
        <w:t>s</w:t>
      </w:r>
      <w:bookmarkEnd w:id="100"/>
      <w:bookmarkEnd w:id="101"/>
    </w:p>
    <w:tbl>
      <w:tblPr>
        <w:tblW w:w="8850" w:type="dxa"/>
        <w:tblInd w:w="78" w:type="dxa"/>
        <w:tblLayout w:type="fixed"/>
        <w:tblLook w:val="0000"/>
      </w:tblPr>
      <w:tblGrid>
        <w:gridCol w:w="2730"/>
        <w:gridCol w:w="1530"/>
        <w:gridCol w:w="1530"/>
        <w:gridCol w:w="1530"/>
        <w:gridCol w:w="1530"/>
      </w:tblGrid>
      <w:tr w:rsidR="00F71DD6" w:rsidTr="00E44071">
        <w:trPr>
          <w:trHeight w:val="498"/>
        </w:trPr>
        <w:tc>
          <w:tcPr>
            <w:tcW w:w="2730" w:type="dxa"/>
            <w:tcBorders>
              <w:top w:val="single" w:sz="6" w:space="0" w:color="auto"/>
              <w:left w:val="single" w:sz="6" w:space="0" w:color="auto"/>
              <w:bottom w:val="single" w:sz="6" w:space="0" w:color="auto"/>
              <w:right w:val="single" w:sz="6" w:space="0" w:color="auto"/>
            </w:tcBorders>
            <w:shd w:val="solid" w:color="000080" w:fill="auto"/>
          </w:tcPr>
          <w:p w:rsidR="00F71DD6" w:rsidRDefault="00F71DD6" w:rsidP="008E45EC">
            <w:pPr>
              <w:autoSpaceDE w:val="0"/>
              <w:autoSpaceDN w:val="0"/>
              <w:adjustRightInd w:val="0"/>
              <w:spacing w:line="240" w:lineRule="auto"/>
              <w:jc w:val="left"/>
              <w:rPr>
                <w:rFonts w:cs="Century Gothic"/>
                <w:b/>
                <w:bCs/>
                <w:color w:val="FFFFFF"/>
                <w:sz w:val="20"/>
                <w:szCs w:val="20"/>
              </w:rPr>
            </w:pPr>
            <w:r>
              <w:rPr>
                <w:rFonts w:cs="Century Gothic"/>
                <w:b/>
                <w:bCs/>
                <w:color w:val="FFFFFF"/>
                <w:sz w:val="20"/>
                <w:szCs w:val="20"/>
              </w:rPr>
              <w:t>Particulars Rs./kwh</w:t>
            </w:r>
          </w:p>
        </w:tc>
        <w:tc>
          <w:tcPr>
            <w:tcW w:w="1530" w:type="dxa"/>
            <w:tcBorders>
              <w:top w:val="single" w:sz="6" w:space="0" w:color="auto"/>
              <w:left w:val="single" w:sz="6" w:space="0" w:color="auto"/>
              <w:bottom w:val="single" w:sz="6" w:space="0" w:color="auto"/>
              <w:right w:val="single" w:sz="6" w:space="0" w:color="auto"/>
            </w:tcBorders>
            <w:shd w:val="solid" w:color="000080" w:fill="auto"/>
          </w:tcPr>
          <w:p w:rsidR="00F71DD6" w:rsidRDefault="00F71DD6" w:rsidP="00437C4E">
            <w:pPr>
              <w:autoSpaceDE w:val="0"/>
              <w:autoSpaceDN w:val="0"/>
              <w:adjustRightInd w:val="0"/>
              <w:spacing w:line="240" w:lineRule="auto"/>
              <w:jc w:val="center"/>
              <w:rPr>
                <w:rFonts w:cs="Arial"/>
                <w:b/>
                <w:bCs/>
                <w:sz w:val="20"/>
                <w:szCs w:val="20"/>
              </w:rPr>
            </w:pPr>
            <w:r>
              <w:rPr>
                <w:rFonts w:cs="Arial"/>
                <w:b/>
                <w:bCs/>
                <w:sz w:val="20"/>
                <w:szCs w:val="20"/>
              </w:rPr>
              <w:t>12-13</w:t>
            </w:r>
          </w:p>
        </w:tc>
        <w:tc>
          <w:tcPr>
            <w:tcW w:w="1530" w:type="dxa"/>
            <w:tcBorders>
              <w:top w:val="single" w:sz="6" w:space="0" w:color="auto"/>
              <w:left w:val="single" w:sz="6" w:space="0" w:color="auto"/>
              <w:bottom w:val="single" w:sz="6" w:space="0" w:color="auto"/>
              <w:right w:val="single" w:sz="6" w:space="0" w:color="auto"/>
            </w:tcBorders>
            <w:shd w:val="solid" w:color="000080" w:fill="auto"/>
          </w:tcPr>
          <w:p w:rsidR="00F71DD6" w:rsidRDefault="00F71DD6" w:rsidP="00437C4E">
            <w:pPr>
              <w:autoSpaceDE w:val="0"/>
              <w:autoSpaceDN w:val="0"/>
              <w:adjustRightInd w:val="0"/>
              <w:spacing w:line="240" w:lineRule="auto"/>
              <w:jc w:val="center"/>
              <w:rPr>
                <w:rFonts w:cs="Arial"/>
                <w:b/>
                <w:bCs/>
                <w:sz w:val="20"/>
                <w:szCs w:val="20"/>
              </w:rPr>
            </w:pPr>
            <w:r>
              <w:rPr>
                <w:rFonts w:cs="Arial"/>
                <w:b/>
                <w:bCs/>
                <w:sz w:val="20"/>
                <w:szCs w:val="20"/>
              </w:rPr>
              <w:t>13-14</w:t>
            </w:r>
          </w:p>
        </w:tc>
        <w:tc>
          <w:tcPr>
            <w:tcW w:w="1530" w:type="dxa"/>
            <w:tcBorders>
              <w:top w:val="single" w:sz="6" w:space="0" w:color="auto"/>
              <w:left w:val="single" w:sz="6" w:space="0" w:color="auto"/>
              <w:bottom w:val="single" w:sz="6" w:space="0" w:color="auto"/>
              <w:right w:val="single" w:sz="6" w:space="0" w:color="auto"/>
            </w:tcBorders>
            <w:shd w:val="solid" w:color="000080" w:fill="auto"/>
          </w:tcPr>
          <w:p w:rsidR="00F71DD6" w:rsidRDefault="00F71DD6" w:rsidP="00437C4E">
            <w:pPr>
              <w:autoSpaceDE w:val="0"/>
              <w:autoSpaceDN w:val="0"/>
              <w:adjustRightInd w:val="0"/>
              <w:spacing w:line="240" w:lineRule="auto"/>
              <w:jc w:val="center"/>
              <w:rPr>
                <w:rFonts w:cs="Arial"/>
                <w:b/>
                <w:bCs/>
                <w:sz w:val="20"/>
                <w:szCs w:val="20"/>
              </w:rPr>
            </w:pPr>
            <w:r>
              <w:rPr>
                <w:rFonts w:cs="Arial"/>
                <w:b/>
                <w:bCs/>
                <w:sz w:val="20"/>
                <w:szCs w:val="20"/>
              </w:rPr>
              <w:t>14-15</w:t>
            </w:r>
          </w:p>
        </w:tc>
        <w:tc>
          <w:tcPr>
            <w:tcW w:w="1530" w:type="dxa"/>
            <w:tcBorders>
              <w:top w:val="single" w:sz="6" w:space="0" w:color="auto"/>
              <w:left w:val="single" w:sz="6" w:space="0" w:color="auto"/>
              <w:bottom w:val="single" w:sz="6" w:space="0" w:color="auto"/>
              <w:right w:val="single" w:sz="6" w:space="0" w:color="auto"/>
            </w:tcBorders>
            <w:shd w:val="solid" w:color="000080" w:fill="auto"/>
            <w:vAlign w:val="center"/>
          </w:tcPr>
          <w:p w:rsidR="00F71DD6" w:rsidRPr="00F71DD6" w:rsidRDefault="00F71DD6" w:rsidP="00E44071">
            <w:pPr>
              <w:spacing w:line="240" w:lineRule="auto"/>
              <w:ind w:left="-170" w:right="-201"/>
              <w:jc w:val="center"/>
              <w:rPr>
                <w:rFonts w:cs="Arial"/>
                <w:b/>
                <w:bCs/>
                <w:sz w:val="20"/>
                <w:szCs w:val="20"/>
              </w:rPr>
            </w:pPr>
            <w:r w:rsidRPr="00F71DD6">
              <w:rPr>
                <w:rFonts w:cs="Arial"/>
                <w:b/>
                <w:bCs/>
                <w:sz w:val="20"/>
                <w:szCs w:val="20"/>
              </w:rPr>
              <w:t>15-16</w:t>
            </w:r>
          </w:p>
          <w:p w:rsidR="00F71DD6" w:rsidRDefault="00F71DD6" w:rsidP="00E44071">
            <w:pPr>
              <w:spacing w:line="240" w:lineRule="auto"/>
              <w:ind w:left="-170" w:right="-201"/>
              <w:jc w:val="center"/>
              <w:rPr>
                <w:rFonts w:cs="Arial"/>
                <w:b/>
                <w:bCs/>
                <w:sz w:val="20"/>
                <w:szCs w:val="20"/>
              </w:rPr>
            </w:pPr>
            <w:r w:rsidRPr="00F71DD6">
              <w:rPr>
                <w:rFonts w:cs="Arial"/>
                <w:b/>
                <w:bCs/>
                <w:sz w:val="20"/>
                <w:szCs w:val="20"/>
              </w:rPr>
              <w:t>(Estimated)</w:t>
            </w:r>
          </w:p>
        </w:tc>
      </w:tr>
      <w:tr w:rsidR="00191270" w:rsidTr="00191270">
        <w:trPr>
          <w:trHeight w:val="498"/>
        </w:trPr>
        <w:tc>
          <w:tcPr>
            <w:tcW w:w="2730" w:type="dxa"/>
            <w:tcBorders>
              <w:top w:val="single" w:sz="6" w:space="0" w:color="auto"/>
              <w:left w:val="single" w:sz="6" w:space="0" w:color="auto"/>
              <w:bottom w:val="single" w:sz="6" w:space="0" w:color="auto"/>
              <w:right w:val="single" w:sz="6" w:space="0" w:color="auto"/>
            </w:tcBorders>
            <w:vAlign w:val="center"/>
          </w:tcPr>
          <w:p w:rsidR="00191270" w:rsidRPr="00CC1ADC" w:rsidRDefault="00191270" w:rsidP="008E45EC">
            <w:pPr>
              <w:autoSpaceDE w:val="0"/>
              <w:autoSpaceDN w:val="0"/>
              <w:adjustRightInd w:val="0"/>
              <w:spacing w:line="240" w:lineRule="auto"/>
              <w:jc w:val="left"/>
              <w:rPr>
                <w:rFonts w:ascii="Arial" w:hAnsi="Arial" w:cs="Arial"/>
                <w:b/>
                <w:color w:val="000000"/>
                <w:sz w:val="20"/>
                <w:szCs w:val="20"/>
              </w:rPr>
            </w:pPr>
            <w:r w:rsidRPr="00CC1ADC">
              <w:rPr>
                <w:rFonts w:ascii="Arial" w:hAnsi="Arial" w:cs="Arial"/>
                <w:b/>
                <w:color w:val="000000"/>
                <w:sz w:val="20"/>
                <w:szCs w:val="20"/>
              </w:rPr>
              <w:t>RPH</w:t>
            </w:r>
          </w:p>
        </w:tc>
        <w:tc>
          <w:tcPr>
            <w:tcW w:w="1530" w:type="dxa"/>
            <w:tcBorders>
              <w:top w:val="single" w:sz="6" w:space="0" w:color="auto"/>
              <w:left w:val="single" w:sz="6" w:space="0" w:color="auto"/>
              <w:bottom w:val="single" w:sz="6" w:space="0" w:color="auto"/>
              <w:right w:val="single" w:sz="6" w:space="0" w:color="auto"/>
            </w:tcBorders>
            <w:vAlign w:val="center"/>
          </w:tcPr>
          <w:p w:rsidR="00191270" w:rsidRPr="00223730" w:rsidRDefault="00191270" w:rsidP="00191270">
            <w:pPr>
              <w:spacing w:line="240" w:lineRule="auto"/>
              <w:ind w:left="-157" w:right="-108"/>
              <w:jc w:val="center"/>
              <w:rPr>
                <w:b/>
                <w:bCs/>
                <w:sz w:val="20"/>
                <w:szCs w:val="20"/>
              </w:rPr>
            </w:pPr>
            <w:r w:rsidRPr="00223730">
              <w:rPr>
                <w:b/>
                <w:bCs/>
                <w:sz w:val="20"/>
                <w:szCs w:val="20"/>
              </w:rPr>
              <w:t>2.</w:t>
            </w:r>
            <w:r>
              <w:rPr>
                <w:b/>
                <w:bCs/>
                <w:sz w:val="20"/>
                <w:szCs w:val="20"/>
              </w:rPr>
              <w:t>084</w:t>
            </w:r>
          </w:p>
        </w:tc>
        <w:tc>
          <w:tcPr>
            <w:tcW w:w="1530" w:type="dxa"/>
            <w:tcBorders>
              <w:top w:val="single" w:sz="6" w:space="0" w:color="auto"/>
              <w:left w:val="single" w:sz="6" w:space="0" w:color="auto"/>
              <w:bottom w:val="single" w:sz="6" w:space="0" w:color="auto"/>
              <w:right w:val="single" w:sz="6" w:space="0" w:color="auto"/>
            </w:tcBorders>
            <w:vAlign w:val="center"/>
          </w:tcPr>
          <w:p w:rsidR="00191270" w:rsidRPr="00223730" w:rsidRDefault="00191270" w:rsidP="00191270">
            <w:pPr>
              <w:spacing w:line="240" w:lineRule="auto"/>
              <w:ind w:left="-157" w:right="-108"/>
              <w:jc w:val="center"/>
              <w:rPr>
                <w:b/>
                <w:bCs/>
                <w:sz w:val="20"/>
                <w:szCs w:val="20"/>
              </w:rPr>
            </w:pPr>
            <w:r>
              <w:rPr>
                <w:b/>
                <w:bCs/>
                <w:sz w:val="20"/>
                <w:szCs w:val="20"/>
              </w:rPr>
              <w:t>4.286</w:t>
            </w:r>
          </w:p>
        </w:tc>
        <w:tc>
          <w:tcPr>
            <w:tcW w:w="1530" w:type="dxa"/>
            <w:tcBorders>
              <w:top w:val="single" w:sz="6" w:space="0" w:color="auto"/>
              <w:left w:val="single" w:sz="6" w:space="0" w:color="auto"/>
              <w:bottom w:val="single" w:sz="6" w:space="0" w:color="auto"/>
              <w:right w:val="single" w:sz="6" w:space="0" w:color="auto"/>
            </w:tcBorders>
            <w:vAlign w:val="center"/>
          </w:tcPr>
          <w:p w:rsidR="00191270" w:rsidRPr="00223730" w:rsidRDefault="00191270" w:rsidP="00191270">
            <w:pPr>
              <w:spacing w:line="240" w:lineRule="auto"/>
              <w:ind w:left="-157" w:right="-108"/>
              <w:jc w:val="center"/>
              <w:rPr>
                <w:b/>
                <w:bCs/>
                <w:sz w:val="20"/>
                <w:szCs w:val="20"/>
              </w:rPr>
            </w:pPr>
            <w:r>
              <w:rPr>
                <w:b/>
                <w:bCs/>
                <w:sz w:val="20"/>
                <w:szCs w:val="20"/>
              </w:rPr>
              <w:t>2.231</w:t>
            </w:r>
          </w:p>
        </w:tc>
        <w:tc>
          <w:tcPr>
            <w:tcW w:w="1530" w:type="dxa"/>
            <w:tcBorders>
              <w:top w:val="single" w:sz="6" w:space="0" w:color="auto"/>
              <w:left w:val="single" w:sz="6" w:space="0" w:color="auto"/>
              <w:bottom w:val="single" w:sz="6" w:space="0" w:color="auto"/>
              <w:right w:val="single" w:sz="6" w:space="0" w:color="auto"/>
            </w:tcBorders>
            <w:vAlign w:val="center"/>
          </w:tcPr>
          <w:p w:rsidR="00191270" w:rsidRPr="00223730" w:rsidRDefault="00DA4720" w:rsidP="00191270">
            <w:pPr>
              <w:spacing w:line="240" w:lineRule="auto"/>
              <w:ind w:left="-157" w:right="-108"/>
              <w:jc w:val="center"/>
              <w:rPr>
                <w:b/>
                <w:bCs/>
                <w:sz w:val="20"/>
                <w:szCs w:val="20"/>
              </w:rPr>
            </w:pPr>
            <w:r>
              <w:rPr>
                <w:b/>
                <w:bCs/>
                <w:sz w:val="20"/>
                <w:szCs w:val="20"/>
              </w:rPr>
              <w:t>2.250</w:t>
            </w:r>
          </w:p>
        </w:tc>
      </w:tr>
      <w:tr w:rsidR="00E47AB0" w:rsidTr="00F31E77">
        <w:trPr>
          <w:trHeight w:val="498"/>
        </w:trPr>
        <w:tc>
          <w:tcPr>
            <w:tcW w:w="2730" w:type="dxa"/>
            <w:tcBorders>
              <w:top w:val="single" w:sz="6" w:space="0" w:color="auto"/>
              <w:left w:val="single" w:sz="6" w:space="0" w:color="auto"/>
              <w:bottom w:val="single" w:sz="6" w:space="0" w:color="auto"/>
              <w:right w:val="single" w:sz="6" w:space="0" w:color="auto"/>
            </w:tcBorders>
            <w:vAlign w:val="center"/>
          </w:tcPr>
          <w:p w:rsidR="00E47AB0" w:rsidRPr="00CC1ADC" w:rsidRDefault="00E47AB0" w:rsidP="008E45EC">
            <w:pPr>
              <w:autoSpaceDE w:val="0"/>
              <w:autoSpaceDN w:val="0"/>
              <w:adjustRightInd w:val="0"/>
              <w:spacing w:line="240" w:lineRule="auto"/>
              <w:jc w:val="left"/>
              <w:rPr>
                <w:rFonts w:ascii="Arial" w:hAnsi="Arial" w:cs="Arial"/>
                <w:b/>
                <w:color w:val="000000"/>
                <w:sz w:val="20"/>
                <w:szCs w:val="20"/>
              </w:rPr>
            </w:pPr>
            <w:r w:rsidRPr="00CC1ADC">
              <w:rPr>
                <w:rFonts w:ascii="Arial" w:hAnsi="Arial" w:cs="Arial"/>
                <w:b/>
                <w:color w:val="000000"/>
                <w:sz w:val="20"/>
                <w:szCs w:val="20"/>
              </w:rPr>
              <w:t>GTPS</w:t>
            </w:r>
          </w:p>
        </w:tc>
        <w:tc>
          <w:tcPr>
            <w:tcW w:w="1530" w:type="dxa"/>
            <w:tcBorders>
              <w:top w:val="single" w:sz="6" w:space="0" w:color="auto"/>
              <w:left w:val="single" w:sz="6" w:space="0" w:color="auto"/>
              <w:bottom w:val="single" w:sz="6" w:space="0" w:color="auto"/>
              <w:right w:val="single" w:sz="6" w:space="0" w:color="auto"/>
            </w:tcBorders>
            <w:vAlign w:val="center"/>
          </w:tcPr>
          <w:p w:rsidR="00E47AB0" w:rsidRPr="00E47AB0" w:rsidRDefault="00E47AB0" w:rsidP="00551169">
            <w:pPr>
              <w:spacing w:line="240" w:lineRule="auto"/>
              <w:ind w:left="-157" w:right="-108"/>
              <w:jc w:val="center"/>
              <w:rPr>
                <w:b/>
                <w:bCs/>
                <w:sz w:val="20"/>
                <w:szCs w:val="20"/>
              </w:rPr>
            </w:pPr>
            <w:r w:rsidRPr="00E47AB0">
              <w:rPr>
                <w:b/>
                <w:bCs/>
                <w:sz w:val="20"/>
                <w:szCs w:val="20"/>
              </w:rPr>
              <w:t>1.433</w:t>
            </w:r>
          </w:p>
        </w:tc>
        <w:tc>
          <w:tcPr>
            <w:tcW w:w="1530" w:type="dxa"/>
            <w:tcBorders>
              <w:top w:val="single" w:sz="6" w:space="0" w:color="auto"/>
              <w:left w:val="single" w:sz="6" w:space="0" w:color="auto"/>
              <w:bottom w:val="single" w:sz="6" w:space="0" w:color="auto"/>
              <w:right w:val="single" w:sz="6" w:space="0" w:color="auto"/>
            </w:tcBorders>
            <w:vAlign w:val="center"/>
          </w:tcPr>
          <w:p w:rsidR="00E47AB0" w:rsidRPr="00E47AB0" w:rsidRDefault="00E47AB0" w:rsidP="00551169">
            <w:pPr>
              <w:spacing w:line="240" w:lineRule="auto"/>
              <w:ind w:left="-157" w:right="-108"/>
              <w:jc w:val="center"/>
              <w:rPr>
                <w:b/>
                <w:bCs/>
                <w:sz w:val="20"/>
                <w:szCs w:val="20"/>
              </w:rPr>
            </w:pPr>
            <w:r w:rsidRPr="00E47AB0">
              <w:rPr>
                <w:b/>
                <w:bCs/>
                <w:sz w:val="20"/>
                <w:szCs w:val="20"/>
              </w:rPr>
              <w:t>1.608</w:t>
            </w:r>
          </w:p>
        </w:tc>
        <w:tc>
          <w:tcPr>
            <w:tcW w:w="1530" w:type="dxa"/>
            <w:tcBorders>
              <w:top w:val="single" w:sz="6" w:space="0" w:color="auto"/>
              <w:left w:val="single" w:sz="6" w:space="0" w:color="auto"/>
              <w:bottom w:val="single" w:sz="6" w:space="0" w:color="auto"/>
              <w:right w:val="single" w:sz="6" w:space="0" w:color="auto"/>
            </w:tcBorders>
            <w:vAlign w:val="center"/>
          </w:tcPr>
          <w:p w:rsidR="00E47AB0" w:rsidRPr="00E47AB0" w:rsidRDefault="00E47AB0" w:rsidP="00551169">
            <w:pPr>
              <w:spacing w:line="240" w:lineRule="auto"/>
              <w:ind w:left="-157" w:right="-108"/>
              <w:jc w:val="center"/>
              <w:rPr>
                <w:b/>
                <w:bCs/>
                <w:sz w:val="20"/>
                <w:szCs w:val="20"/>
              </w:rPr>
            </w:pPr>
            <w:r w:rsidRPr="00E47AB0">
              <w:rPr>
                <w:b/>
                <w:bCs/>
                <w:sz w:val="20"/>
                <w:szCs w:val="20"/>
              </w:rPr>
              <w:t>1.062</w:t>
            </w:r>
          </w:p>
        </w:tc>
        <w:tc>
          <w:tcPr>
            <w:tcW w:w="1530" w:type="dxa"/>
            <w:tcBorders>
              <w:top w:val="single" w:sz="6" w:space="0" w:color="auto"/>
              <w:left w:val="single" w:sz="6" w:space="0" w:color="auto"/>
              <w:bottom w:val="single" w:sz="6" w:space="0" w:color="auto"/>
              <w:right w:val="single" w:sz="6" w:space="0" w:color="auto"/>
            </w:tcBorders>
            <w:vAlign w:val="center"/>
          </w:tcPr>
          <w:p w:rsidR="00E47AB0" w:rsidRPr="00E47AB0" w:rsidRDefault="00E47AB0" w:rsidP="00DA4720">
            <w:pPr>
              <w:spacing w:line="240" w:lineRule="auto"/>
              <w:ind w:left="-157" w:right="-108"/>
              <w:jc w:val="center"/>
              <w:rPr>
                <w:b/>
                <w:bCs/>
                <w:sz w:val="20"/>
                <w:szCs w:val="20"/>
              </w:rPr>
            </w:pPr>
            <w:r w:rsidRPr="00E47AB0">
              <w:rPr>
                <w:b/>
                <w:bCs/>
                <w:sz w:val="20"/>
                <w:szCs w:val="20"/>
              </w:rPr>
              <w:t>1.0</w:t>
            </w:r>
            <w:r w:rsidR="00DA4720">
              <w:rPr>
                <w:b/>
                <w:bCs/>
                <w:sz w:val="20"/>
                <w:szCs w:val="20"/>
              </w:rPr>
              <w:t>84</w:t>
            </w:r>
          </w:p>
        </w:tc>
      </w:tr>
    </w:tbl>
    <w:p w:rsidR="007B5659" w:rsidRDefault="007B5659" w:rsidP="00C43BF7">
      <w:pPr>
        <w:pStyle w:val="Header"/>
        <w:tabs>
          <w:tab w:val="clear" w:pos="4320"/>
          <w:tab w:val="clear" w:pos="8640"/>
        </w:tabs>
        <w:rPr>
          <w:sz w:val="22"/>
          <w:szCs w:val="22"/>
        </w:rPr>
      </w:pPr>
    </w:p>
    <w:p w:rsidR="00AB2930" w:rsidRDefault="00AB2930" w:rsidP="00FB3482">
      <w:pPr>
        <w:pStyle w:val="Header"/>
        <w:tabs>
          <w:tab w:val="clear" w:pos="4320"/>
          <w:tab w:val="clear" w:pos="8640"/>
        </w:tabs>
        <w:rPr>
          <w:sz w:val="22"/>
          <w:szCs w:val="22"/>
        </w:rPr>
      </w:pPr>
    </w:p>
    <w:p w:rsidR="006237FA" w:rsidRDefault="006237FA" w:rsidP="00FB3482">
      <w:pPr>
        <w:pStyle w:val="Header"/>
        <w:tabs>
          <w:tab w:val="clear" w:pos="4320"/>
          <w:tab w:val="clear" w:pos="8640"/>
        </w:tabs>
        <w:rPr>
          <w:sz w:val="22"/>
          <w:szCs w:val="22"/>
        </w:rPr>
      </w:pPr>
    </w:p>
    <w:p w:rsidR="006237FA" w:rsidRDefault="006237FA" w:rsidP="00FB3482">
      <w:pPr>
        <w:pStyle w:val="Header"/>
        <w:tabs>
          <w:tab w:val="clear" w:pos="4320"/>
          <w:tab w:val="clear" w:pos="8640"/>
        </w:tabs>
        <w:rPr>
          <w:sz w:val="22"/>
          <w:szCs w:val="22"/>
        </w:rPr>
      </w:pPr>
    </w:p>
    <w:p w:rsidR="002326CE" w:rsidRDefault="002326CE" w:rsidP="00FB3482">
      <w:pPr>
        <w:pStyle w:val="Header"/>
        <w:tabs>
          <w:tab w:val="clear" w:pos="4320"/>
          <w:tab w:val="clear" w:pos="8640"/>
        </w:tabs>
        <w:rPr>
          <w:sz w:val="22"/>
          <w:szCs w:val="22"/>
        </w:rPr>
      </w:pPr>
      <w:r>
        <w:rPr>
          <w:sz w:val="22"/>
          <w:szCs w:val="22"/>
        </w:rPr>
        <w:br/>
      </w:r>
    </w:p>
    <w:p w:rsidR="00AB2930" w:rsidRDefault="00AB2930" w:rsidP="00695996">
      <w:pPr>
        <w:tabs>
          <w:tab w:val="left" w:pos="3690"/>
        </w:tabs>
        <w:rPr>
          <w:sz w:val="22"/>
          <w:szCs w:val="22"/>
        </w:rPr>
      </w:pPr>
      <w:r>
        <w:t xml:space="preserve">The Performa giving details of above as per DERC format are enclosed as </w:t>
      </w:r>
      <w:r>
        <w:rPr>
          <w:b/>
        </w:rPr>
        <w:t xml:space="preserve">Annexure-C </w:t>
      </w:r>
      <w:r w:rsidRPr="00875E3B">
        <w:t>and</w:t>
      </w:r>
      <w:r>
        <w:rPr>
          <w:b/>
        </w:rPr>
        <w:t xml:space="preserve"> Annexure-D </w:t>
      </w:r>
      <w:r w:rsidRPr="00875E3B">
        <w:t>for</w:t>
      </w:r>
      <w:r>
        <w:rPr>
          <w:b/>
        </w:rPr>
        <w:t xml:space="preserve"> RPH </w:t>
      </w:r>
      <w:r w:rsidRPr="00875E3B">
        <w:t>and</w:t>
      </w:r>
      <w:r>
        <w:rPr>
          <w:b/>
        </w:rPr>
        <w:t xml:space="preserve"> GTPS </w:t>
      </w:r>
      <w:r w:rsidRPr="00875E3B">
        <w:t>respectively</w:t>
      </w:r>
      <w:r>
        <w:rPr>
          <w:b/>
        </w:rPr>
        <w:t>.</w:t>
      </w:r>
    </w:p>
    <w:p w:rsidR="00AB2930" w:rsidRDefault="00AB2930" w:rsidP="00FB3482">
      <w:pPr>
        <w:pStyle w:val="Header"/>
        <w:tabs>
          <w:tab w:val="clear" w:pos="4320"/>
          <w:tab w:val="clear" w:pos="8640"/>
        </w:tabs>
        <w:rPr>
          <w:sz w:val="22"/>
          <w:szCs w:val="22"/>
        </w:rPr>
      </w:pPr>
    </w:p>
    <w:p w:rsidR="00CA48CD" w:rsidRDefault="00401523" w:rsidP="00FB3482">
      <w:pPr>
        <w:pStyle w:val="Header"/>
        <w:tabs>
          <w:tab w:val="clear" w:pos="4320"/>
          <w:tab w:val="clear" w:pos="8640"/>
        </w:tabs>
        <w:rPr>
          <w:sz w:val="22"/>
          <w:szCs w:val="22"/>
        </w:rPr>
      </w:pPr>
      <w:r>
        <w:rPr>
          <w:sz w:val="22"/>
          <w:szCs w:val="22"/>
        </w:rPr>
        <w:t xml:space="preserve">The petitioner would like to pray to the Hon’ble </w:t>
      </w:r>
      <w:r w:rsidR="00EE281D">
        <w:rPr>
          <w:sz w:val="22"/>
          <w:szCs w:val="22"/>
        </w:rPr>
        <w:t xml:space="preserve">Commission to true up the cost </w:t>
      </w:r>
      <w:r>
        <w:rPr>
          <w:sz w:val="22"/>
          <w:szCs w:val="22"/>
        </w:rPr>
        <w:t>and parameters f</w:t>
      </w:r>
      <w:r w:rsidR="00FB3482">
        <w:rPr>
          <w:sz w:val="22"/>
          <w:szCs w:val="22"/>
        </w:rPr>
        <w:t>rom</w:t>
      </w:r>
      <w:r>
        <w:rPr>
          <w:sz w:val="22"/>
          <w:szCs w:val="22"/>
        </w:rPr>
        <w:t xml:space="preserve"> </w:t>
      </w:r>
      <w:r w:rsidR="008B3188">
        <w:rPr>
          <w:sz w:val="22"/>
          <w:szCs w:val="22"/>
        </w:rPr>
        <w:t xml:space="preserve">FY 2012-13 to FY </w:t>
      </w:r>
      <w:r w:rsidR="00126916">
        <w:rPr>
          <w:sz w:val="22"/>
          <w:szCs w:val="22"/>
        </w:rPr>
        <w:t>2013-14</w:t>
      </w:r>
      <w:r w:rsidR="008B3188">
        <w:rPr>
          <w:sz w:val="22"/>
          <w:szCs w:val="22"/>
        </w:rPr>
        <w:t xml:space="preserve"> </w:t>
      </w:r>
      <w:r>
        <w:rPr>
          <w:sz w:val="22"/>
          <w:szCs w:val="22"/>
        </w:rPr>
        <w:t xml:space="preserve">based on the actual performance </w:t>
      </w:r>
      <w:r w:rsidR="00FB3482">
        <w:rPr>
          <w:sz w:val="22"/>
          <w:szCs w:val="22"/>
        </w:rPr>
        <w:t xml:space="preserve">and </w:t>
      </w:r>
      <w:r w:rsidR="007F7F59">
        <w:rPr>
          <w:sz w:val="22"/>
          <w:szCs w:val="22"/>
        </w:rPr>
        <w:t xml:space="preserve">approve </w:t>
      </w:r>
      <w:r w:rsidR="008B3188">
        <w:rPr>
          <w:sz w:val="22"/>
          <w:szCs w:val="22"/>
        </w:rPr>
        <w:t>as proposed for</w:t>
      </w:r>
      <w:r w:rsidR="00126916">
        <w:rPr>
          <w:sz w:val="22"/>
          <w:szCs w:val="22"/>
        </w:rPr>
        <w:t xml:space="preserve"> FY 2014-15 and </w:t>
      </w:r>
      <w:r w:rsidR="008B3188">
        <w:rPr>
          <w:sz w:val="22"/>
          <w:szCs w:val="22"/>
        </w:rPr>
        <w:t xml:space="preserve">FY </w:t>
      </w:r>
      <w:r w:rsidR="00E15C81">
        <w:rPr>
          <w:sz w:val="22"/>
          <w:szCs w:val="22"/>
        </w:rPr>
        <w:t>20</w:t>
      </w:r>
      <w:r w:rsidR="008B3188">
        <w:rPr>
          <w:sz w:val="22"/>
          <w:szCs w:val="22"/>
        </w:rPr>
        <w:t>15-16</w:t>
      </w:r>
      <w:r w:rsidR="00EE281D">
        <w:rPr>
          <w:sz w:val="22"/>
          <w:szCs w:val="22"/>
        </w:rPr>
        <w:t>. The submissions</w:t>
      </w:r>
      <w:r>
        <w:rPr>
          <w:sz w:val="22"/>
          <w:szCs w:val="22"/>
        </w:rPr>
        <w:t xml:space="preserve"> </w:t>
      </w:r>
      <w:r w:rsidR="00E45A33">
        <w:rPr>
          <w:sz w:val="22"/>
          <w:szCs w:val="22"/>
        </w:rPr>
        <w:t xml:space="preserve">for </w:t>
      </w:r>
      <w:r>
        <w:rPr>
          <w:sz w:val="22"/>
          <w:szCs w:val="22"/>
        </w:rPr>
        <w:t>the deviation of various pa</w:t>
      </w:r>
      <w:r w:rsidR="00EE281D">
        <w:rPr>
          <w:sz w:val="22"/>
          <w:szCs w:val="22"/>
        </w:rPr>
        <w:t>rameters and costs have</w:t>
      </w:r>
      <w:r>
        <w:rPr>
          <w:sz w:val="22"/>
          <w:szCs w:val="22"/>
        </w:rPr>
        <w:t xml:space="preserve"> been detailed out in the petition and are beyond the control of the petitioner. </w:t>
      </w:r>
    </w:p>
    <w:p w:rsidR="000532D6" w:rsidRDefault="000532D6"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C0E93" w:rsidRDefault="008C0E93"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FB3482">
      <w:pPr>
        <w:pStyle w:val="Header"/>
        <w:tabs>
          <w:tab w:val="clear" w:pos="4320"/>
          <w:tab w:val="clear" w:pos="8640"/>
        </w:tabs>
        <w:rPr>
          <w:sz w:val="22"/>
          <w:szCs w:val="22"/>
        </w:rPr>
      </w:pPr>
    </w:p>
    <w:p w:rsidR="008F4809" w:rsidRDefault="008F4809" w:rsidP="008F4809">
      <w:pPr>
        <w:pStyle w:val="Header"/>
        <w:tabs>
          <w:tab w:val="clear" w:pos="4320"/>
          <w:tab w:val="clear" w:pos="8640"/>
        </w:tabs>
        <w:spacing w:line="240" w:lineRule="auto"/>
        <w:rPr>
          <w:sz w:val="22"/>
          <w:szCs w:val="22"/>
        </w:rPr>
      </w:pPr>
    </w:p>
    <w:p w:rsidR="00D42C62" w:rsidRDefault="00B33E42" w:rsidP="00A362FA">
      <w:pPr>
        <w:pStyle w:val="Heading1"/>
        <w:numPr>
          <w:ilvl w:val="0"/>
          <w:numId w:val="0"/>
        </w:numPr>
        <w:ind w:right="-518"/>
        <w:jc w:val="center"/>
      </w:pPr>
      <w:bookmarkStart w:id="102" w:name="_Toc411605257"/>
      <w:bookmarkStart w:id="103" w:name="_Toc173941689"/>
      <w:bookmarkStart w:id="104" w:name="_Toc173941688"/>
      <w:r>
        <w:t xml:space="preserve">Chapter 4: </w:t>
      </w:r>
      <w:r w:rsidR="00D42C62" w:rsidRPr="00062E82">
        <w:t>Capital</w:t>
      </w:r>
      <w:r w:rsidR="00D42C62">
        <w:rPr>
          <w:color w:val="000080"/>
        </w:rPr>
        <w:t xml:space="preserve"> </w:t>
      </w:r>
      <w:r w:rsidR="00D42C62" w:rsidRPr="00B33E42">
        <w:t>Expenditure</w:t>
      </w:r>
      <w:bookmarkEnd w:id="102"/>
      <w:r w:rsidR="00D42C62">
        <w:rPr>
          <w:color w:val="000080"/>
        </w:rPr>
        <w:t xml:space="preserve">  </w:t>
      </w:r>
      <w:bookmarkEnd w:id="103"/>
    </w:p>
    <w:p w:rsidR="00A630C0" w:rsidRDefault="00D04349" w:rsidP="00D04349">
      <w:pPr>
        <w:pStyle w:val="StyleHeading216ptJustifiedLinespacing15lines"/>
        <w:numPr>
          <w:ilvl w:val="0"/>
          <w:numId w:val="0"/>
        </w:numPr>
        <w:ind w:left="360"/>
        <w:rPr>
          <w:sz w:val="22"/>
          <w:szCs w:val="22"/>
        </w:rPr>
      </w:pPr>
      <w:bookmarkStart w:id="105" w:name="_Toc411605258"/>
      <w:bookmarkEnd w:id="104"/>
      <w:r>
        <w:rPr>
          <w:color w:val="000080"/>
        </w:rPr>
        <w:t>4.</w:t>
      </w:r>
      <w:r>
        <w:rPr>
          <w:color w:val="000080"/>
        </w:rPr>
        <w:tab/>
      </w:r>
      <w:r w:rsidR="00A630C0" w:rsidRPr="00D04349">
        <w:rPr>
          <w:color w:val="000080"/>
        </w:rPr>
        <w:t>Capital</w:t>
      </w:r>
      <w:r w:rsidR="00A630C0">
        <w:rPr>
          <w:sz w:val="22"/>
          <w:szCs w:val="22"/>
        </w:rPr>
        <w:t xml:space="preserve"> </w:t>
      </w:r>
      <w:r w:rsidR="00A630C0" w:rsidRPr="00AB094D">
        <w:rPr>
          <w:color w:val="000080"/>
        </w:rPr>
        <w:t>Expenditure</w:t>
      </w:r>
      <w:bookmarkEnd w:id="105"/>
      <w:r w:rsidR="00A630C0">
        <w:rPr>
          <w:sz w:val="22"/>
          <w:szCs w:val="22"/>
        </w:rPr>
        <w:t xml:space="preserve"> </w:t>
      </w:r>
      <w:r w:rsidR="00A630C0">
        <w:rPr>
          <w:sz w:val="22"/>
          <w:szCs w:val="22"/>
        </w:rPr>
        <w:tab/>
      </w:r>
    </w:p>
    <w:p w:rsidR="0067376D" w:rsidRDefault="00675224" w:rsidP="00AF26FC">
      <w:pPr>
        <w:ind w:left="360"/>
        <w:rPr>
          <w:sz w:val="22"/>
          <w:szCs w:val="22"/>
        </w:rPr>
      </w:pPr>
      <w:r>
        <w:rPr>
          <w:sz w:val="22"/>
          <w:szCs w:val="22"/>
        </w:rPr>
        <w:t>This Chapter de</w:t>
      </w:r>
      <w:r w:rsidR="00155684">
        <w:rPr>
          <w:sz w:val="22"/>
          <w:szCs w:val="22"/>
        </w:rPr>
        <w:t>als with</w:t>
      </w:r>
      <w:r w:rsidR="00C43BF7">
        <w:rPr>
          <w:sz w:val="22"/>
          <w:szCs w:val="22"/>
        </w:rPr>
        <w:t xml:space="preserve"> the various Capital </w:t>
      </w:r>
      <w:r w:rsidR="008A0BC4">
        <w:rPr>
          <w:sz w:val="22"/>
          <w:szCs w:val="22"/>
        </w:rPr>
        <w:t>Expenditure during</w:t>
      </w:r>
      <w:r w:rsidR="00155684">
        <w:rPr>
          <w:sz w:val="22"/>
          <w:szCs w:val="22"/>
        </w:rPr>
        <w:t xml:space="preserve"> </w:t>
      </w:r>
      <w:r w:rsidR="00580A89">
        <w:rPr>
          <w:sz w:val="22"/>
          <w:szCs w:val="22"/>
        </w:rPr>
        <w:t>the MYT</w:t>
      </w:r>
      <w:r w:rsidR="00155684">
        <w:rPr>
          <w:sz w:val="22"/>
          <w:szCs w:val="22"/>
        </w:rPr>
        <w:t xml:space="preserve"> control period </w:t>
      </w:r>
      <w:r w:rsidR="0017189C">
        <w:rPr>
          <w:sz w:val="22"/>
          <w:szCs w:val="22"/>
        </w:rPr>
        <w:t xml:space="preserve">FY 2012-13 to </w:t>
      </w:r>
      <w:r w:rsidR="00155684">
        <w:rPr>
          <w:sz w:val="22"/>
          <w:szCs w:val="22"/>
        </w:rPr>
        <w:t>FY 201</w:t>
      </w:r>
      <w:r w:rsidR="0017189C">
        <w:rPr>
          <w:sz w:val="22"/>
          <w:szCs w:val="22"/>
        </w:rPr>
        <w:t>4</w:t>
      </w:r>
      <w:r w:rsidR="00155684">
        <w:rPr>
          <w:sz w:val="22"/>
          <w:szCs w:val="22"/>
        </w:rPr>
        <w:t>-1</w:t>
      </w:r>
      <w:r w:rsidR="0017189C">
        <w:rPr>
          <w:sz w:val="22"/>
          <w:szCs w:val="22"/>
        </w:rPr>
        <w:t>5</w:t>
      </w:r>
      <w:r w:rsidR="003074B8">
        <w:rPr>
          <w:sz w:val="22"/>
          <w:szCs w:val="22"/>
        </w:rPr>
        <w:t xml:space="preserve"> and extended period 2015-16</w:t>
      </w:r>
      <w:r>
        <w:rPr>
          <w:sz w:val="22"/>
          <w:szCs w:val="22"/>
        </w:rPr>
        <w:t xml:space="preserve">. </w:t>
      </w:r>
    </w:p>
    <w:p w:rsidR="0067376D" w:rsidRDefault="0067376D" w:rsidP="0067376D">
      <w:pPr>
        <w:ind w:left="600"/>
        <w:rPr>
          <w:sz w:val="22"/>
          <w:szCs w:val="22"/>
        </w:rPr>
      </w:pPr>
      <w:r>
        <w:rPr>
          <w:sz w:val="22"/>
          <w:szCs w:val="22"/>
        </w:rPr>
        <w:t xml:space="preserve">In this regard, Petitioner may like to submit that </w:t>
      </w:r>
      <w:r w:rsidR="00686E20">
        <w:rPr>
          <w:sz w:val="22"/>
          <w:szCs w:val="22"/>
        </w:rPr>
        <w:t>RPH and GTPS are</w:t>
      </w:r>
      <w:r>
        <w:rPr>
          <w:sz w:val="22"/>
          <w:szCs w:val="22"/>
        </w:rPr>
        <w:t xml:space="preserve"> designated consumer</w:t>
      </w:r>
      <w:r w:rsidR="007A5189">
        <w:rPr>
          <w:sz w:val="22"/>
          <w:szCs w:val="22"/>
        </w:rPr>
        <w:t>s</w:t>
      </w:r>
      <w:r>
        <w:rPr>
          <w:sz w:val="22"/>
          <w:szCs w:val="22"/>
        </w:rPr>
        <w:t xml:space="preserve"> under PAT Scheme of Bureau of Energy Efficiency, Ministry of Power, GOI, Notification on 30</w:t>
      </w:r>
      <w:r w:rsidRPr="00F17445">
        <w:rPr>
          <w:sz w:val="22"/>
          <w:szCs w:val="22"/>
          <w:vertAlign w:val="superscript"/>
        </w:rPr>
        <w:t>th</w:t>
      </w:r>
      <w:r>
        <w:rPr>
          <w:sz w:val="22"/>
          <w:szCs w:val="22"/>
        </w:rPr>
        <w:t xml:space="preserve"> March, 2012.  The PAT framework has been developed considering the legal requirement under EC Act, 2010.  The PAT scheme is involved in Order to incentivize industry to achieve better energy efficiency improvement than their specified SEC improvement targets in a cost effective manner.  BEE, the nodal agency for implementation of PAT had given target to</w:t>
      </w:r>
      <w:r w:rsidR="00747C99">
        <w:rPr>
          <w:sz w:val="22"/>
          <w:szCs w:val="22"/>
        </w:rPr>
        <w:t xml:space="preserve"> RPH power station of petitioner</w:t>
      </w:r>
      <w:r>
        <w:rPr>
          <w:sz w:val="22"/>
          <w:szCs w:val="22"/>
        </w:rPr>
        <w:t xml:space="preserve"> to reduce its net specific heat rate (NSHR) from average heat rat of </w:t>
      </w:r>
      <w:r w:rsidR="00747C99">
        <w:rPr>
          <w:sz w:val="22"/>
          <w:szCs w:val="22"/>
        </w:rPr>
        <w:t>4011</w:t>
      </w:r>
      <w:r>
        <w:rPr>
          <w:sz w:val="22"/>
          <w:szCs w:val="22"/>
        </w:rPr>
        <w:t xml:space="preserve"> to </w:t>
      </w:r>
      <w:r w:rsidR="00747C99">
        <w:rPr>
          <w:sz w:val="22"/>
          <w:szCs w:val="22"/>
        </w:rPr>
        <w:t>3766</w:t>
      </w:r>
      <w:r>
        <w:rPr>
          <w:sz w:val="22"/>
          <w:szCs w:val="22"/>
        </w:rPr>
        <w:t xml:space="preserve"> Kcal/kWh during 2012-13 to 2014-15</w:t>
      </w:r>
      <w:r w:rsidR="00747C99">
        <w:rPr>
          <w:sz w:val="22"/>
          <w:szCs w:val="22"/>
        </w:rPr>
        <w:t xml:space="preserve"> and Gas Turbine Power Station of petitioner to</w:t>
      </w:r>
      <w:r w:rsidR="00747C99" w:rsidRPr="00747C99">
        <w:rPr>
          <w:sz w:val="22"/>
          <w:szCs w:val="22"/>
        </w:rPr>
        <w:t xml:space="preserve"> </w:t>
      </w:r>
      <w:r w:rsidR="00747C99">
        <w:rPr>
          <w:sz w:val="22"/>
          <w:szCs w:val="22"/>
        </w:rPr>
        <w:t xml:space="preserve">reduce its net specific heat rate (NSHR) from average heat rat of </w:t>
      </w:r>
      <w:r w:rsidR="00E60B15">
        <w:rPr>
          <w:sz w:val="22"/>
          <w:szCs w:val="22"/>
        </w:rPr>
        <w:t>2815</w:t>
      </w:r>
      <w:r w:rsidR="00747C99">
        <w:rPr>
          <w:sz w:val="22"/>
          <w:szCs w:val="22"/>
        </w:rPr>
        <w:t xml:space="preserve"> to </w:t>
      </w:r>
      <w:r w:rsidR="008D23AC">
        <w:rPr>
          <w:sz w:val="22"/>
          <w:szCs w:val="22"/>
        </w:rPr>
        <w:t>2649</w:t>
      </w:r>
      <w:r w:rsidR="00747C99">
        <w:rPr>
          <w:sz w:val="22"/>
          <w:szCs w:val="22"/>
        </w:rPr>
        <w:t xml:space="preserve"> Kcal/kWh during 2012-13 to 2014-15  </w:t>
      </w:r>
      <w:r>
        <w:rPr>
          <w:sz w:val="22"/>
          <w:szCs w:val="22"/>
        </w:rPr>
        <w:t xml:space="preserve">.  This has been computed for average annual net generation of </w:t>
      </w:r>
      <w:r w:rsidR="00483DFF">
        <w:rPr>
          <w:sz w:val="22"/>
          <w:szCs w:val="22"/>
        </w:rPr>
        <w:t>696</w:t>
      </w:r>
      <w:r>
        <w:rPr>
          <w:sz w:val="22"/>
          <w:szCs w:val="22"/>
        </w:rPr>
        <w:t xml:space="preserve"> MU</w:t>
      </w:r>
      <w:r w:rsidR="00483DFF">
        <w:rPr>
          <w:sz w:val="22"/>
          <w:szCs w:val="22"/>
        </w:rPr>
        <w:t xml:space="preserve"> in case of RPH and 1308 MU in case of GTPS</w:t>
      </w:r>
      <w:r>
        <w:rPr>
          <w:sz w:val="22"/>
          <w:szCs w:val="22"/>
        </w:rPr>
        <w:t xml:space="preserve">.  Earlier, the petitioner had submitted energy efficiency improvement scheme of the </w:t>
      </w:r>
      <w:r w:rsidR="004B41F1">
        <w:rPr>
          <w:sz w:val="22"/>
          <w:szCs w:val="22"/>
        </w:rPr>
        <w:t xml:space="preserve">GTPS </w:t>
      </w:r>
      <w:r>
        <w:rPr>
          <w:sz w:val="22"/>
          <w:szCs w:val="22"/>
        </w:rPr>
        <w:t>station of the petitioner.  The schemes undertaken for energy efficiency im</w:t>
      </w:r>
      <w:r w:rsidR="004B41F1">
        <w:rPr>
          <w:sz w:val="22"/>
          <w:szCs w:val="22"/>
        </w:rPr>
        <w:t>provement are capital in nature</w:t>
      </w:r>
      <w:r>
        <w:rPr>
          <w:sz w:val="22"/>
          <w:szCs w:val="22"/>
        </w:rPr>
        <w:t>.  Due to implementation of above schemes</w:t>
      </w:r>
      <w:r w:rsidR="004B41F1">
        <w:rPr>
          <w:sz w:val="22"/>
          <w:szCs w:val="22"/>
        </w:rPr>
        <w:t xml:space="preserve"> at GTPS station </w:t>
      </w:r>
      <w:r>
        <w:rPr>
          <w:sz w:val="22"/>
          <w:szCs w:val="22"/>
        </w:rPr>
        <w:t xml:space="preserve"> petitioner </w:t>
      </w:r>
      <w:r w:rsidR="004B41F1">
        <w:rPr>
          <w:sz w:val="22"/>
          <w:szCs w:val="22"/>
        </w:rPr>
        <w:t>was</w:t>
      </w:r>
      <w:r>
        <w:rPr>
          <w:sz w:val="22"/>
          <w:szCs w:val="22"/>
        </w:rPr>
        <w:t xml:space="preserve"> able to achieve target TOE (Tones of Oil Equivalent) </w:t>
      </w:r>
      <w:r w:rsidR="004B41F1">
        <w:rPr>
          <w:sz w:val="22"/>
          <w:szCs w:val="22"/>
        </w:rPr>
        <w:t>during FY 2012-13, however, during FY 13-14 and 14-15 due to backing down and partial</w:t>
      </w:r>
      <w:r w:rsidR="003870FE">
        <w:rPr>
          <w:sz w:val="22"/>
          <w:szCs w:val="22"/>
        </w:rPr>
        <w:t xml:space="preserve"> operation on instruction of SL</w:t>
      </w:r>
      <w:r w:rsidR="004B41F1">
        <w:rPr>
          <w:sz w:val="22"/>
          <w:szCs w:val="22"/>
        </w:rPr>
        <w:t>DC the heat rate and auxiliary have increased substantially</w:t>
      </w:r>
      <w:r>
        <w:rPr>
          <w:sz w:val="22"/>
          <w:szCs w:val="22"/>
        </w:rPr>
        <w:t xml:space="preserve">. </w:t>
      </w:r>
      <w:r w:rsidR="004B41F1">
        <w:rPr>
          <w:sz w:val="22"/>
          <w:szCs w:val="22"/>
        </w:rPr>
        <w:t xml:space="preserve">In </w:t>
      </w:r>
      <w:r w:rsidR="004B41F1">
        <w:rPr>
          <w:sz w:val="22"/>
          <w:szCs w:val="22"/>
        </w:rPr>
        <w:lastRenderedPageBreak/>
        <w:t>case of RPH due to envisaged closure during previous years of MYT period no capex scheme were proposed and only need based O&amp;M was taken up.</w:t>
      </w:r>
      <w:r w:rsidR="002D1946">
        <w:rPr>
          <w:sz w:val="22"/>
          <w:szCs w:val="22"/>
        </w:rPr>
        <w:t xml:space="preserve">  BEE have also denied to exclude the station from PAT Scheme.  In case, station runs in FY 15-16 and 16-17 i.e. first 2 years of </w:t>
      </w:r>
      <w:r w:rsidR="004B41F1">
        <w:rPr>
          <w:sz w:val="22"/>
          <w:szCs w:val="22"/>
        </w:rPr>
        <w:t xml:space="preserve"> </w:t>
      </w:r>
      <w:r>
        <w:rPr>
          <w:sz w:val="22"/>
          <w:szCs w:val="22"/>
        </w:rPr>
        <w:t xml:space="preserve"> next PAT cycle of FY 15-16, 16-17, &amp; 17-18 petitioner needs to implement energy saving schemes to achieve the target set by BEE for the period.  </w:t>
      </w:r>
      <w:r w:rsidR="003870FE">
        <w:rPr>
          <w:sz w:val="22"/>
          <w:szCs w:val="22"/>
        </w:rPr>
        <w:t xml:space="preserve">Therefore, the </w:t>
      </w:r>
      <w:r>
        <w:rPr>
          <w:sz w:val="22"/>
          <w:szCs w:val="22"/>
        </w:rPr>
        <w:t xml:space="preserve">Petitioner had </w:t>
      </w:r>
      <w:r w:rsidR="002D1946">
        <w:rPr>
          <w:sz w:val="22"/>
          <w:szCs w:val="22"/>
        </w:rPr>
        <w:t xml:space="preserve">to </w:t>
      </w:r>
      <w:r>
        <w:rPr>
          <w:sz w:val="22"/>
          <w:szCs w:val="22"/>
        </w:rPr>
        <w:t>frame some action plan for energy efficiency improvement during next PAT cycle before notification for next PAT cycle</w:t>
      </w:r>
      <w:r w:rsidR="002D1946">
        <w:rPr>
          <w:sz w:val="22"/>
          <w:szCs w:val="22"/>
        </w:rPr>
        <w:t xml:space="preserve">.  </w:t>
      </w:r>
      <w:r w:rsidR="000F6A44">
        <w:rPr>
          <w:sz w:val="22"/>
          <w:szCs w:val="22"/>
        </w:rPr>
        <w:t>The schemes approved for GTPS</w:t>
      </w:r>
    </w:p>
    <w:p w:rsidR="0067376D" w:rsidRDefault="0067376D" w:rsidP="00AF26FC">
      <w:pPr>
        <w:ind w:left="360"/>
        <w:rPr>
          <w:sz w:val="22"/>
          <w:szCs w:val="22"/>
        </w:rPr>
      </w:pPr>
    </w:p>
    <w:p w:rsidR="00C43BF7" w:rsidRDefault="00932238" w:rsidP="00AF26FC">
      <w:pPr>
        <w:ind w:left="360"/>
        <w:rPr>
          <w:sz w:val="22"/>
          <w:szCs w:val="22"/>
        </w:rPr>
      </w:pPr>
      <w:r>
        <w:rPr>
          <w:sz w:val="22"/>
          <w:szCs w:val="22"/>
        </w:rPr>
        <w:t xml:space="preserve">has been </w:t>
      </w:r>
      <w:r w:rsidR="00AF4C57">
        <w:rPr>
          <w:sz w:val="22"/>
          <w:szCs w:val="22"/>
        </w:rPr>
        <w:t>considered</w:t>
      </w:r>
      <w:r w:rsidR="00155684">
        <w:rPr>
          <w:sz w:val="22"/>
          <w:szCs w:val="22"/>
        </w:rPr>
        <w:t xml:space="preserve"> to be </w:t>
      </w:r>
      <w:r w:rsidR="00BE2224">
        <w:rPr>
          <w:sz w:val="22"/>
          <w:szCs w:val="22"/>
        </w:rPr>
        <w:t>funded through</w:t>
      </w:r>
      <w:r w:rsidR="00155684">
        <w:rPr>
          <w:sz w:val="22"/>
          <w:szCs w:val="22"/>
        </w:rPr>
        <w:t xml:space="preserve"> </w:t>
      </w:r>
      <w:r w:rsidR="008A0BC4">
        <w:rPr>
          <w:sz w:val="22"/>
          <w:szCs w:val="22"/>
        </w:rPr>
        <w:t>the debt</w:t>
      </w:r>
      <w:r>
        <w:rPr>
          <w:sz w:val="22"/>
          <w:szCs w:val="22"/>
        </w:rPr>
        <w:t xml:space="preserve"> and </w:t>
      </w:r>
      <w:r w:rsidR="000C519F">
        <w:rPr>
          <w:sz w:val="22"/>
          <w:szCs w:val="22"/>
        </w:rPr>
        <w:t>equity of</w:t>
      </w:r>
      <w:r>
        <w:rPr>
          <w:sz w:val="22"/>
          <w:szCs w:val="22"/>
        </w:rPr>
        <w:t xml:space="preserve"> 70:30 ratio </w:t>
      </w:r>
      <w:r w:rsidR="000C519F">
        <w:rPr>
          <w:sz w:val="22"/>
          <w:szCs w:val="22"/>
        </w:rPr>
        <w:t>for calculating</w:t>
      </w:r>
      <w:r>
        <w:rPr>
          <w:sz w:val="22"/>
          <w:szCs w:val="22"/>
        </w:rPr>
        <w:t xml:space="preserve"> the fixed cost.</w:t>
      </w:r>
      <w:r w:rsidR="00563A26">
        <w:rPr>
          <w:sz w:val="22"/>
          <w:szCs w:val="22"/>
        </w:rPr>
        <w:t xml:space="preserve"> It </w:t>
      </w:r>
      <w:r w:rsidR="00340280">
        <w:rPr>
          <w:sz w:val="22"/>
          <w:szCs w:val="22"/>
        </w:rPr>
        <w:t xml:space="preserve">is </w:t>
      </w:r>
      <w:r w:rsidR="00563A26">
        <w:rPr>
          <w:sz w:val="22"/>
          <w:szCs w:val="22"/>
        </w:rPr>
        <w:t>to further inform that Hon,ble</w:t>
      </w:r>
      <w:r w:rsidR="00340280">
        <w:rPr>
          <w:sz w:val="22"/>
          <w:szCs w:val="22"/>
        </w:rPr>
        <w:t xml:space="preserve"> Commission </w:t>
      </w:r>
      <w:r w:rsidR="00563A26">
        <w:rPr>
          <w:sz w:val="22"/>
          <w:szCs w:val="22"/>
        </w:rPr>
        <w:t xml:space="preserve"> had approved certain capex Schemes in FY 2012-13, 2013-14, FY 2014-15</w:t>
      </w:r>
      <w:r w:rsidR="00DD505C">
        <w:rPr>
          <w:sz w:val="22"/>
          <w:szCs w:val="22"/>
        </w:rPr>
        <w:t xml:space="preserve"> or prior period of F</w:t>
      </w:r>
      <w:r w:rsidR="00F06949">
        <w:rPr>
          <w:sz w:val="22"/>
          <w:szCs w:val="22"/>
        </w:rPr>
        <w:t>Y</w:t>
      </w:r>
      <w:r w:rsidR="00DD505C">
        <w:rPr>
          <w:sz w:val="22"/>
          <w:szCs w:val="22"/>
        </w:rPr>
        <w:t xml:space="preserve"> 2007-8 to 2010-11</w:t>
      </w:r>
      <w:r w:rsidR="00A82CDC">
        <w:rPr>
          <w:sz w:val="22"/>
          <w:szCs w:val="22"/>
        </w:rPr>
        <w:t xml:space="preserve"> for GTPS </w:t>
      </w:r>
      <w:r w:rsidR="00A871D7">
        <w:rPr>
          <w:sz w:val="22"/>
          <w:szCs w:val="22"/>
        </w:rPr>
        <w:t xml:space="preserve">. The most of the schemes has already been </w:t>
      </w:r>
      <w:r w:rsidR="00A919B4">
        <w:rPr>
          <w:sz w:val="22"/>
          <w:szCs w:val="22"/>
        </w:rPr>
        <w:t>implemented</w:t>
      </w:r>
      <w:r w:rsidR="00897718">
        <w:rPr>
          <w:sz w:val="22"/>
          <w:szCs w:val="22"/>
        </w:rPr>
        <w:t>, however</w:t>
      </w:r>
      <w:r w:rsidR="00A871D7">
        <w:rPr>
          <w:sz w:val="22"/>
          <w:szCs w:val="22"/>
        </w:rPr>
        <w:t xml:space="preserve"> some of the Schemes as detailed below would spill</w:t>
      </w:r>
      <w:r w:rsidR="0014646C">
        <w:rPr>
          <w:sz w:val="22"/>
          <w:szCs w:val="22"/>
        </w:rPr>
        <w:t xml:space="preserve"> over</w:t>
      </w:r>
      <w:r w:rsidR="00A871D7">
        <w:rPr>
          <w:sz w:val="22"/>
          <w:szCs w:val="22"/>
        </w:rPr>
        <w:t xml:space="preserve"> to FY 2015-16. There is no Capex Schem</w:t>
      </w:r>
      <w:r w:rsidR="00897718">
        <w:rPr>
          <w:sz w:val="22"/>
          <w:szCs w:val="22"/>
        </w:rPr>
        <w:t>e</w:t>
      </w:r>
      <w:r w:rsidR="00A871D7">
        <w:rPr>
          <w:sz w:val="22"/>
          <w:szCs w:val="22"/>
        </w:rPr>
        <w:t xml:space="preserve"> proposed for GTPS for FY 2015-16. </w:t>
      </w:r>
    </w:p>
    <w:p w:rsidR="00F2136D" w:rsidRDefault="00973CD1" w:rsidP="00F744C1">
      <w:pPr>
        <w:pStyle w:val="Caption"/>
        <w:jc w:val="center"/>
      </w:pPr>
      <w:bookmarkStart w:id="106" w:name="_Toc411604017"/>
      <w:r>
        <w:t xml:space="preserve">Table </w:t>
      </w:r>
      <w:fldSimple w:instr=" SEQ Table \* ARABIC ">
        <w:r w:rsidR="002326CE">
          <w:rPr>
            <w:noProof/>
          </w:rPr>
          <w:t>40</w:t>
        </w:r>
      </w:fldSimple>
      <w:r>
        <w:t xml:space="preserve"> : </w:t>
      </w:r>
      <w:r w:rsidR="00F2136D">
        <w:t>Capital Expenditure for GT Station</w:t>
      </w:r>
      <w:bookmarkEnd w:id="106"/>
    </w:p>
    <w:tbl>
      <w:tblPr>
        <w:tblW w:w="90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
        <w:gridCol w:w="4500"/>
        <w:gridCol w:w="1890"/>
        <w:gridCol w:w="1848"/>
      </w:tblGrid>
      <w:tr w:rsidR="00AF06E9" w:rsidRPr="003431E9" w:rsidTr="00CD38C4">
        <w:trPr>
          <w:trHeight w:val="331"/>
        </w:trPr>
        <w:tc>
          <w:tcPr>
            <w:tcW w:w="825" w:type="dxa"/>
            <w:shd w:val="clear" w:color="auto" w:fill="000080"/>
          </w:tcPr>
          <w:p w:rsidR="00AF06E9" w:rsidRPr="003431E9" w:rsidRDefault="00AF06E9" w:rsidP="00973CD1">
            <w:pPr>
              <w:spacing w:line="240" w:lineRule="auto"/>
              <w:rPr>
                <w:b/>
                <w:bCs/>
                <w:sz w:val="20"/>
                <w:szCs w:val="20"/>
                <w:lang w:bidi="gu-IN"/>
              </w:rPr>
            </w:pPr>
            <w:r>
              <w:rPr>
                <w:b/>
                <w:bCs/>
                <w:sz w:val="20"/>
                <w:szCs w:val="20"/>
                <w:lang w:bidi="gu-IN"/>
              </w:rPr>
              <w:t xml:space="preserve">Sr No </w:t>
            </w:r>
          </w:p>
        </w:tc>
        <w:tc>
          <w:tcPr>
            <w:tcW w:w="4500" w:type="dxa"/>
            <w:shd w:val="clear" w:color="auto" w:fill="000080"/>
            <w:vAlign w:val="center"/>
          </w:tcPr>
          <w:p w:rsidR="00AF06E9" w:rsidRPr="003431E9" w:rsidRDefault="00AF06E9" w:rsidP="00973CD1">
            <w:pPr>
              <w:spacing w:line="240" w:lineRule="auto"/>
              <w:rPr>
                <w:b/>
                <w:bCs/>
                <w:sz w:val="20"/>
                <w:szCs w:val="20"/>
                <w:lang w:bidi="gu-IN"/>
              </w:rPr>
            </w:pPr>
            <w:r w:rsidRPr="003431E9">
              <w:rPr>
                <w:b/>
                <w:bCs/>
                <w:sz w:val="20"/>
                <w:szCs w:val="20"/>
                <w:lang w:bidi="gu-IN"/>
              </w:rPr>
              <w:t>Description (Rs.</w:t>
            </w:r>
            <w:r>
              <w:rPr>
                <w:b/>
                <w:bCs/>
                <w:sz w:val="20"/>
                <w:szCs w:val="20"/>
                <w:lang w:bidi="gu-IN"/>
              </w:rPr>
              <w:t xml:space="preserve"> </w:t>
            </w:r>
            <w:r w:rsidR="0070103A" w:rsidRPr="003431E9">
              <w:rPr>
                <w:b/>
                <w:bCs/>
                <w:sz w:val="20"/>
                <w:szCs w:val="20"/>
                <w:lang w:bidi="gu-IN"/>
              </w:rPr>
              <w:t>I</w:t>
            </w:r>
            <w:r w:rsidRPr="003431E9">
              <w:rPr>
                <w:b/>
                <w:bCs/>
                <w:sz w:val="20"/>
                <w:szCs w:val="20"/>
                <w:lang w:bidi="gu-IN"/>
              </w:rPr>
              <w:t xml:space="preserve">n </w:t>
            </w:r>
            <w:r>
              <w:rPr>
                <w:b/>
                <w:bCs/>
                <w:sz w:val="20"/>
                <w:szCs w:val="20"/>
                <w:lang w:bidi="gu-IN"/>
              </w:rPr>
              <w:t>lakh</w:t>
            </w:r>
            <w:r w:rsidRPr="003431E9">
              <w:rPr>
                <w:b/>
                <w:bCs/>
                <w:sz w:val="20"/>
                <w:szCs w:val="20"/>
                <w:lang w:bidi="gu-IN"/>
              </w:rPr>
              <w:t>)</w:t>
            </w:r>
          </w:p>
        </w:tc>
        <w:tc>
          <w:tcPr>
            <w:tcW w:w="1890" w:type="dxa"/>
            <w:shd w:val="clear" w:color="auto" w:fill="000080"/>
            <w:noWrap/>
            <w:vAlign w:val="center"/>
          </w:tcPr>
          <w:p w:rsidR="00AF06E9" w:rsidRPr="003431E9" w:rsidRDefault="00AF06E9" w:rsidP="00973CD1">
            <w:pPr>
              <w:spacing w:line="240" w:lineRule="auto"/>
              <w:jc w:val="center"/>
              <w:rPr>
                <w:b/>
                <w:bCs/>
                <w:sz w:val="20"/>
                <w:szCs w:val="20"/>
                <w:lang w:bidi="gu-IN"/>
              </w:rPr>
            </w:pPr>
            <w:r>
              <w:rPr>
                <w:b/>
                <w:bCs/>
                <w:sz w:val="20"/>
                <w:szCs w:val="20"/>
                <w:lang w:bidi="gu-IN"/>
              </w:rPr>
              <w:t xml:space="preserve">2015-16 </w:t>
            </w:r>
          </w:p>
        </w:tc>
        <w:tc>
          <w:tcPr>
            <w:tcW w:w="1848" w:type="dxa"/>
            <w:shd w:val="clear" w:color="auto" w:fill="000080"/>
          </w:tcPr>
          <w:p w:rsidR="00AF06E9" w:rsidRPr="003431E9" w:rsidRDefault="00AF06E9" w:rsidP="00973CD1">
            <w:pPr>
              <w:spacing w:line="240" w:lineRule="auto"/>
              <w:jc w:val="center"/>
              <w:rPr>
                <w:b/>
                <w:bCs/>
                <w:sz w:val="20"/>
                <w:szCs w:val="20"/>
                <w:lang w:bidi="gu-IN"/>
              </w:rPr>
            </w:pPr>
            <w:r>
              <w:rPr>
                <w:b/>
                <w:bCs/>
                <w:sz w:val="20"/>
                <w:szCs w:val="20"/>
                <w:lang w:bidi="gu-IN"/>
              </w:rPr>
              <w:t xml:space="preserve">Remarks </w:t>
            </w:r>
          </w:p>
        </w:tc>
      </w:tr>
      <w:tr w:rsidR="00AF06E9" w:rsidRPr="003431E9" w:rsidTr="00CD38C4">
        <w:trPr>
          <w:trHeight w:val="416"/>
        </w:trPr>
        <w:tc>
          <w:tcPr>
            <w:tcW w:w="825" w:type="dxa"/>
          </w:tcPr>
          <w:p w:rsidR="00AF06E9" w:rsidRDefault="00AF06E9" w:rsidP="00973CD1">
            <w:pPr>
              <w:spacing w:line="240" w:lineRule="auto"/>
              <w:rPr>
                <w:sz w:val="20"/>
                <w:szCs w:val="20"/>
                <w:lang w:bidi="gu-IN"/>
              </w:rPr>
            </w:pPr>
            <w:r>
              <w:rPr>
                <w:sz w:val="20"/>
                <w:szCs w:val="20"/>
                <w:lang w:bidi="gu-IN"/>
              </w:rPr>
              <w:t>1</w:t>
            </w:r>
          </w:p>
        </w:tc>
        <w:tc>
          <w:tcPr>
            <w:tcW w:w="4500" w:type="dxa"/>
            <w:vAlign w:val="center"/>
          </w:tcPr>
          <w:p w:rsidR="00AF06E9" w:rsidRPr="00D42C62" w:rsidDel="00E57B2E" w:rsidRDefault="00AF06E9" w:rsidP="00973CD1">
            <w:pPr>
              <w:spacing w:line="240" w:lineRule="auto"/>
              <w:rPr>
                <w:sz w:val="20"/>
                <w:szCs w:val="20"/>
                <w:lang w:bidi="gu-IN"/>
              </w:rPr>
            </w:pPr>
            <w:r>
              <w:rPr>
                <w:sz w:val="20"/>
                <w:szCs w:val="20"/>
                <w:lang w:bidi="gu-IN"/>
              </w:rPr>
              <w:t xml:space="preserve">Standby 7.50 MVA Auxiliary Transformer </w:t>
            </w:r>
          </w:p>
        </w:tc>
        <w:tc>
          <w:tcPr>
            <w:tcW w:w="1890" w:type="dxa"/>
            <w:noWrap/>
            <w:vAlign w:val="center"/>
          </w:tcPr>
          <w:p w:rsidR="00AF06E9" w:rsidRPr="008724C1" w:rsidDel="00E57B2E" w:rsidRDefault="00AF06E9" w:rsidP="00973CD1">
            <w:pPr>
              <w:spacing w:line="240" w:lineRule="auto"/>
              <w:jc w:val="center"/>
              <w:rPr>
                <w:sz w:val="20"/>
                <w:szCs w:val="20"/>
                <w:lang w:bidi="gu-IN"/>
              </w:rPr>
            </w:pPr>
            <w:r w:rsidRPr="008724C1">
              <w:rPr>
                <w:sz w:val="20"/>
                <w:szCs w:val="20"/>
                <w:lang w:bidi="gu-IN"/>
              </w:rPr>
              <w:t>60.00</w:t>
            </w:r>
          </w:p>
        </w:tc>
        <w:tc>
          <w:tcPr>
            <w:tcW w:w="1848" w:type="dxa"/>
          </w:tcPr>
          <w:p w:rsidR="00AF06E9" w:rsidRPr="0032767C" w:rsidRDefault="00AF06E9" w:rsidP="00973CD1">
            <w:pPr>
              <w:spacing w:line="240" w:lineRule="auto"/>
              <w:jc w:val="center"/>
              <w:rPr>
                <w:color w:val="FF0000"/>
                <w:sz w:val="20"/>
                <w:szCs w:val="20"/>
                <w:lang w:bidi="gu-IN"/>
              </w:rPr>
            </w:pPr>
          </w:p>
        </w:tc>
      </w:tr>
      <w:tr w:rsidR="00AF06E9" w:rsidRPr="003431E9" w:rsidTr="00CD38C4">
        <w:trPr>
          <w:trHeight w:val="416"/>
        </w:trPr>
        <w:tc>
          <w:tcPr>
            <w:tcW w:w="825" w:type="dxa"/>
          </w:tcPr>
          <w:p w:rsidR="00AF06E9" w:rsidRDefault="00AF06E9" w:rsidP="00973CD1">
            <w:pPr>
              <w:spacing w:line="240" w:lineRule="auto"/>
              <w:rPr>
                <w:sz w:val="20"/>
                <w:szCs w:val="20"/>
                <w:lang w:bidi="gu-IN"/>
              </w:rPr>
            </w:pPr>
            <w:r>
              <w:rPr>
                <w:sz w:val="20"/>
                <w:szCs w:val="20"/>
                <w:lang w:bidi="gu-IN"/>
              </w:rPr>
              <w:t>2</w:t>
            </w:r>
          </w:p>
        </w:tc>
        <w:tc>
          <w:tcPr>
            <w:tcW w:w="4500" w:type="dxa"/>
            <w:vAlign w:val="center"/>
          </w:tcPr>
          <w:p w:rsidR="00AF06E9" w:rsidRPr="00D42C62" w:rsidDel="00E57B2E" w:rsidRDefault="00AF06E9" w:rsidP="00973CD1">
            <w:pPr>
              <w:spacing w:line="240" w:lineRule="auto"/>
              <w:rPr>
                <w:sz w:val="20"/>
                <w:szCs w:val="20"/>
                <w:lang w:bidi="gu-IN"/>
              </w:rPr>
            </w:pPr>
            <w:r>
              <w:rPr>
                <w:sz w:val="20"/>
                <w:szCs w:val="20"/>
                <w:lang w:bidi="gu-IN"/>
              </w:rPr>
              <w:t>Renovation/ up-gradation of 66kV Breakers</w:t>
            </w:r>
          </w:p>
        </w:tc>
        <w:tc>
          <w:tcPr>
            <w:tcW w:w="1890" w:type="dxa"/>
            <w:noWrap/>
            <w:vAlign w:val="center"/>
          </w:tcPr>
          <w:p w:rsidR="00AF06E9" w:rsidRPr="008724C1" w:rsidDel="00E57B2E" w:rsidRDefault="00AF06E9" w:rsidP="00973CD1">
            <w:pPr>
              <w:spacing w:line="240" w:lineRule="auto"/>
              <w:jc w:val="center"/>
              <w:rPr>
                <w:sz w:val="20"/>
                <w:szCs w:val="20"/>
                <w:lang w:bidi="gu-IN"/>
              </w:rPr>
            </w:pPr>
            <w:r w:rsidRPr="008724C1">
              <w:rPr>
                <w:sz w:val="20"/>
                <w:szCs w:val="20"/>
                <w:lang w:bidi="gu-IN"/>
              </w:rPr>
              <w:t>60.00</w:t>
            </w:r>
          </w:p>
        </w:tc>
        <w:tc>
          <w:tcPr>
            <w:tcW w:w="1848" w:type="dxa"/>
          </w:tcPr>
          <w:p w:rsidR="00AF06E9" w:rsidRPr="0032767C" w:rsidRDefault="00AF06E9" w:rsidP="00973CD1">
            <w:pPr>
              <w:spacing w:line="240" w:lineRule="auto"/>
              <w:jc w:val="center"/>
              <w:rPr>
                <w:color w:val="FF0000"/>
                <w:sz w:val="20"/>
                <w:szCs w:val="20"/>
                <w:lang w:bidi="gu-IN"/>
              </w:rPr>
            </w:pPr>
          </w:p>
        </w:tc>
      </w:tr>
      <w:tr w:rsidR="00AF06E9" w:rsidRPr="003431E9" w:rsidTr="00CD38C4">
        <w:trPr>
          <w:trHeight w:val="416"/>
        </w:trPr>
        <w:tc>
          <w:tcPr>
            <w:tcW w:w="825" w:type="dxa"/>
          </w:tcPr>
          <w:p w:rsidR="00AF06E9" w:rsidRDefault="00AF06E9" w:rsidP="00973CD1">
            <w:pPr>
              <w:spacing w:line="240" w:lineRule="auto"/>
              <w:rPr>
                <w:sz w:val="20"/>
                <w:szCs w:val="20"/>
                <w:lang w:bidi="gu-IN"/>
              </w:rPr>
            </w:pPr>
            <w:r>
              <w:rPr>
                <w:sz w:val="20"/>
                <w:szCs w:val="20"/>
                <w:lang w:bidi="gu-IN"/>
              </w:rPr>
              <w:t>3</w:t>
            </w:r>
          </w:p>
        </w:tc>
        <w:tc>
          <w:tcPr>
            <w:tcW w:w="4500" w:type="dxa"/>
            <w:vAlign w:val="center"/>
          </w:tcPr>
          <w:p w:rsidR="00AF06E9" w:rsidRDefault="00AF06E9" w:rsidP="00973CD1">
            <w:pPr>
              <w:spacing w:line="240" w:lineRule="auto"/>
              <w:rPr>
                <w:sz w:val="20"/>
                <w:szCs w:val="20"/>
                <w:lang w:bidi="gu-IN"/>
              </w:rPr>
            </w:pPr>
            <w:r>
              <w:rPr>
                <w:sz w:val="20"/>
                <w:szCs w:val="20"/>
                <w:lang w:bidi="gu-IN"/>
              </w:rPr>
              <w:t>Replacement of halon Gas and Renovation of fire fighting System/Equipments</w:t>
            </w:r>
          </w:p>
        </w:tc>
        <w:tc>
          <w:tcPr>
            <w:tcW w:w="1890" w:type="dxa"/>
            <w:noWrap/>
            <w:vAlign w:val="center"/>
          </w:tcPr>
          <w:p w:rsidR="00AF06E9" w:rsidRPr="008724C1" w:rsidRDefault="00AF06E9" w:rsidP="00973CD1">
            <w:pPr>
              <w:spacing w:line="240" w:lineRule="auto"/>
              <w:jc w:val="center"/>
              <w:rPr>
                <w:sz w:val="20"/>
                <w:szCs w:val="20"/>
                <w:lang w:bidi="gu-IN"/>
              </w:rPr>
            </w:pPr>
            <w:r w:rsidRPr="008724C1">
              <w:rPr>
                <w:sz w:val="20"/>
                <w:szCs w:val="20"/>
                <w:lang w:bidi="gu-IN"/>
              </w:rPr>
              <w:t>150.00</w:t>
            </w:r>
          </w:p>
        </w:tc>
        <w:tc>
          <w:tcPr>
            <w:tcW w:w="1848" w:type="dxa"/>
          </w:tcPr>
          <w:p w:rsidR="00AF06E9" w:rsidRDefault="00AF06E9" w:rsidP="00973CD1">
            <w:pPr>
              <w:spacing w:line="240" w:lineRule="auto"/>
              <w:jc w:val="center"/>
              <w:rPr>
                <w:color w:val="FF0000"/>
                <w:sz w:val="20"/>
                <w:szCs w:val="20"/>
                <w:lang w:bidi="gu-IN"/>
              </w:rPr>
            </w:pPr>
          </w:p>
        </w:tc>
      </w:tr>
      <w:tr w:rsidR="00AF06E9" w:rsidRPr="003431E9" w:rsidTr="00CD38C4">
        <w:trPr>
          <w:trHeight w:val="416"/>
        </w:trPr>
        <w:tc>
          <w:tcPr>
            <w:tcW w:w="825" w:type="dxa"/>
          </w:tcPr>
          <w:p w:rsidR="00AF06E9" w:rsidRDefault="00AF06E9" w:rsidP="00973CD1">
            <w:pPr>
              <w:spacing w:line="240" w:lineRule="auto"/>
              <w:rPr>
                <w:sz w:val="20"/>
                <w:szCs w:val="20"/>
                <w:lang w:bidi="gu-IN"/>
              </w:rPr>
            </w:pPr>
            <w:r>
              <w:rPr>
                <w:sz w:val="20"/>
                <w:szCs w:val="20"/>
                <w:lang w:bidi="gu-IN"/>
              </w:rPr>
              <w:t>4</w:t>
            </w:r>
          </w:p>
        </w:tc>
        <w:tc>
          <w:tcPr>
            <w:tcW w:w="4500" w:type="dxa"/>
            <w:vAlign w:val="center"/>
          </w:tcPr>
          <w:p w:rsidR="00AF06E9" w:rsidRPr="00154BB4" w:rsidRDefault="00AF06E9" w:rsidP="00973CD1">
            <w:pPr>
              <w:spacing w:line="240" w:lineRule="auto"/>
              <w:rPr>
                <w:sz w:val="20"/>
                <w:szCs w:val="20"/>
                <w:lang w:bidi="gu-IN"/>
              </w:rPr>
            </w:pPr>
            <w:r>
              <w:rPr>
                <w:sz w:val="20"/>
                <w:szCs w:val="20"/>
                <w:lang w:bidi="gu-IN"/>
              </w:rPr>
              <w:t xml:space="preserve">Renovation of exhaust Plenum  insulation of three GTs for efficiency Improvement </w:t>
            </w:r>
          </w:p>
        </w:tc>
        <w:tc>
          <w:tcPr>
            <w:tcW w:w="1890" w:type="dxa"/>
            <w:noWrap/>
            <w:vAlign w:val="center"/>
          </w:tcPr>
          <w:p w:rsidR="00AF06E9" w:rsidRDefault="00AF06E9" w:rsidP="00973CD1">
            <w:pPr>
              <w:spacing w:line="240" w:lineRule="auto"/>
              <w:jc w:val="center"/>
              <w:rPr>
                <w:sz w:val="20"/>
                <w:szCs w:val="20"/>
                <w:lang w:bidi="gu-IN"/>
              </w:rPr>
            </w:pPr>
            <w:r>
              <w:rPr>
                <w:sz w:val="20"/>
                <w:szCs w:val="20"/>
                <w:lang w:bidi="gu-IN"/>
              </w:rPr>
              <w:t>375.00</w:t>
            </w:r>
          </w:p>
        </w:tc>
        <w:tc>
          <w:tcPr>
            <w:tcW w:w="1848" w:type="dxa"/>
          </w:tcPr>
          <w:p w:rsidR="00AF06E9" w:rsidRDefault="00AF06E9" w:rsidP="00973CD1">
            <w:pPr>
              <w:spacing w:line="240" w:lineRule="auto"/>
              <w:jc w:val="center"/>
              <w:rPr>
                <w:sz w:val="20"/>
                <w:szCs w:val="20"/>
                <w:lang w:bidi="gu-IN"/>
              </w:rPr>
            </w:pPr>
            <w:r>
              <w:rPr>
                <w:sz w:val="20"/>
                <w:szCs w:val="20"/>
                <w:lang w:bidi="gu-IN"/>
              </w:rPr>
              <w:t>Implementation completed in GT#3&amp;4 and in progress in GT#2</w:t>
            </w:r>
          </w:p>
        </w:tc>
      </w:tr>
      <w:tr w:rsidR="00AF06E9" w:rsidRPr="003431E9" w:rsidTr="00CD38C4">
        <w:trPr>
          <w:trHeight w:val="416"/>
        </w:trPr>
        <w:tc>
          <w:tcPr>
            <w:tcW w:w="825" w:type="dxa"/>
          </w:tcPr>
          <w:p w:rsidR="00AF06E9" w:rsidRDefault="00AF06E9" w:rsidP="00973CD1">
            <w:pPr>
              <w:spacing w:line="240" w:lineRule="auto"/>
              <w:rPr>
                <w:sz w:val="20"/>
                <w:szCs w:val="20"/>
                <w:lang w:bidi="gu-IN"/>
              </w:rPr>
            </w:pPr>
            <w:r>
              <w:rPr>
                <w:sz w:val="20"/>
                <w:szCs w:val="20"/>
                <w:lang w:bidi="gu-IN"/>
              </w:rPr>
              <w:t>5</w:t>
            </w:r>
          </w:p>
        </w:tc>
        <w:tc>
          <w:tcPr>
            <w:tcW w:w="4500" w:type="dxa"/>
            <w:vAlign w:val="center"/>
          </w:tcPr>
          <w:p w:rsidR="00AF06E9" w:rsidRPr="00154BB4" w:rsidRDefault="00AF06E9" w:rsidP="00973CD1">
            <w:pPr>
              <w:spacing w:line="240" w:lineRule="auto"/>
              <w:rPr>
                <w:sz w:val="20"/>
                <w:szCs w:val="20"/>
                <w:lang w:bidi="gu-IN"/>
              </w:rPr>
            </w:pPr>
            <w:r>
              <w:rPr>
                <w:sz w:val="20"/>
                <w:szCs w:val="20"/>
                <w:lang w:bidi="gu-IN"/>
              </w:rPr>
              <w:t xml:space="preserve">Energy conservation Initiatives –BFP speed control/capacity review etc for APC reduction </w:t>
            </w:r>
          </w:p>
        </w:tc>
        <w:tc>
          <w:tcPr>
            <w:tcW w:w="1890" w:type="dxa"/>
            <w:noWrap/>
            <w:vAlign w:val="center"/>
          </w:tcPr>
          <w:p w:rsidR="00AF06E9" w:rsidRDefault="00AF06E9" w:rsidP="00973CD1">
            <w:pPr>
              <w:spacing w:line="240" w:lineRule="auto"/>
              <w:jc w:val="center"/>
              <w:rPr>
                <w:sz w:val="20"/>
                <w:szCs w:val="20"/>
                <w:lang w:bidi="gu-IN"/>
              </w:rPr>
            </w:pPr>
            <w:r>
              <w:rPr>
                <w:sz w:val="20"/>
                <w:szCs w:val="20"/>
                <w:lang w:bidi="gu-IN"/>
              </w:rPr>
              <w:t>200.00</w:t>
            </w:r>
          </w:p>
        </w:tc>
        <w:tc>
          <w:tcPr>
            <w:tcW w:w="1848" w:type="dxa"/>
          </w:tcPr>
          <w:p w:rsidR="00AF06E9" w:rsidRDefault="00AF06E9" w:rsidP="00973CD1">
            <w:pPr>
              <w:spacing w:line="240" w:lineRule="auto"/>
              <w:jc w:val="center"/>
              <w:rPr>
                <w:sz w:val="20"/>
                <w:szCs w:val="20"/>
                <w:lang w:bidi="gu-IN"/>
              </w:rPr>
            </w:pPr>
            <w:r>
              <w:rPr>
                <w:sz w:val="20"/>
                <w:szCs w:val="20"/>
                <w:lang w:bidi="gu-IN"/>
              </w:rPr>
              <w:t xml:space="preserve">Procurement under progress </w:t>
            </w:r>
          </w:p>
        </w:tc>
      </w:tr>
      <w:tr w:rsidR="00AF06E9" w:rsidTr="00CD38C4">
        <w:trPr>
          <w:trHeight w:val="331"/>
        </w:trPr>
        <w:tc>
          <w:tcPr>
            <w:tcW w:w="825" w:type="dxa"/>
          </w:tcPr>
          <w:p w:rsidR="00AF06E9" w:rsidRPr="003431E9" w:rsidRDefault="00AF06E9" w:rsidP="00973CD1">
            <w:pPr>
              <w:spacing w:line="240" w:lineRule="auto"/>
              <w:rPr>
                <w:b/>
                <w:bCs/>
                <w:sz w:val="20"/>
                <w:szCs w:val="20"/>
                <w:lang w:bidi="gu-IN"/>
              </w:rPr>
            </w:pPr>
            <w:r>
              <w:rPr>
                <w:b/>
                <w:bCs/>
                <w:sz w:val="20"/>
                <w:szCs w:val="20"/>
                <w:lang w:bidi="gu-IN"/>
              </w:rPr>
              <w:t>6</w:t>
            </w:r>
          </w:p>
        </w:tc>
        <w:tc>
          <w:tcPr>
            <w:tcW w:w="4500" w:type="dxa"/>
            <w:vAlign w:val="center"/>
          </w:tcPr>
          <w:p w:rsidR="00AF06E9" w:rsidRPr="003431E9" w:rsidRDefault="00433A64" w:rsidP="00973CD1">
            <w:pPr>
              <w:spacing w:line="240" w:lineRule="auto"/>
              <w:rPr>
                <w:b/>
                <w:bCs/>
                <w:sz w:val="20"/>
                <w:szCs w:val="20"/>
                <w:lang w:bidi="gu-IN"/>
              </w:rPr>
            </w:pPr>
            <w:r>
              <w:rPr>
                <w:b/>
                <w:bCs/>
                <w:sz w:val="20"/>
                <w:szCs w:val="20"/>
                <w:lang w:bidi="gu-IN"/>
              </w:rPr>
              <w:t xml:space="preserve">SWAS System Renovation </w:t>
            </w:r>
          </w:p>
        </w:tc>
        <w:tc>
          <w:tcPr>
            <w:tcW w:w="1890" w:type="dxa"/>
            <w:noWrap/>
            <w:vAlign w:val="center"/>
          </w:tcPr>
          <w:p w:rsidR="00AF06E9" w:rsidRPr="008D796C" w:rsidRDefault="00433A64" w:rsidP="00973CD1">
            <w:pPr>
              <w:spacing w:line="240" w:lineRule="auto"/>
              <w:jc w:val="center"/>
              <w:rPr>
                <w:b/>
                <w:bCs/>
                <w:sz w:val="20"/>
                <w:szCs w:val="20"/>
                <w:lang w:bidi="gu-IN"/>
              </w:rPr>
            </w:pPr>
            <w:r>
              <w:rPr>
                <w:b/>
                <w:bCs/>
                <w:sz w:val="20"/>
                <w:szCs w:val="20"/>
                <w:lang w:bidi="gu-IN"/>
              </w:rPr>
              <w:t xml:space="preserve">50.00 </w:t>
            </w:r>
          </w:p>
        </w:tc>
        <w:tc>
          <w:tcPr>
            <w:tcW w:w="1848" w:type="dxa"/>
          </w:tcPr>
          <w:p w:rsidR="00AF06E9" w:rsidRPr="008D796C" w:rsidRDefault="007A00B0" w:rsidP="00973CD1">
            <w:pPr>
              <w:spacing w:line="240" w:lineRule="auto"/>
              <w:jc w:val="center"/>
              <w:rPr>
                <w:b/>
                <w:bCs/>
                <w:sz w:val="20"/>
                <w:szCs w:val="20"/>
                <w:lang w:bidi="gu-IN"/>
              </w:rPr>
            </w:pPr>
            <w:r>
              <w:rPr>
                <w:b/>
                <w:bCs/>
                <w:sz w:val="20"/>
                <w:szCs w:val="20"/>
                <w:lang w:bidi="gu-IN"/>
              </w:rPr>
              <w:t xml:space="preserve">Under process </w:t>
            </w:r>
          </w:p>
        </w:tc>
      </w:tr>
      <w:tr w:rsidR="007A00B0" w:rsidTr="00CD38C4">
        <w:trPr>
          <w:trHeight w:val="331"/>
        </w:trPr>
        <w:tc>
          <w:tcPr>
            <w:tcW w:w="825" w:type="dxa"/>
          </w:tcPr>
          <w:p w:rsidR="007A00B0" w:rsidRDefault="007A00B0" w:rsidP="00973CD1">
            <w:pPr>
              <w:spacing w:line="240" w:lineRule="auto"/>
              <w:rPr>
                <w:b/>
                <w:bCs/>
                <w:sz w:val="20"/>
                <w:szCs w:val="20"/>
                <w:lang w:bidi="gu-IN"/>
              </w:rPr>
            </w:pPr>
            <w:r>
              <w:rPr>
                <w:b/>
                <w:bCs/>
                <w:sz w:val="20"/>
                <w:szCs w:val="20"/>
                <w:lang w:bidi="gu-IN"/>
              </w:rPr>
              <w:t>7</w:t>
            </w:r>
          </w:p>
        </w:tc>
        <w:tc>
          <w:tcPr>
            <w:tcW w:w="4500" w:type="dxa"/>
            <w:vAlign w:val="center"/>
          </w:tcPr>
          <w:p w:rsidR="007A00B0" w:rsidRDefault="007A00B0" w:rsidP="00973CD1">
            <w:pPr>
              <w:spacing w:line="240" w:lineRule="auto"/>
              <w:rPr>
                <w:b/>
                <w:bCs/>
                <w:sz w:val="20"/>
                <w:szCs w:val="20"/>
                <w:lang w:bidi="gu-IN"/>
              </w:rPr>
            </w:pPr>
            <w:r>
              <w:rPr>
                <w:b/>
                <w:bCs/>
                <w:sz w:val="20"/>
                <w:szCs w:val="20"/>
                <w:lang w:bidi="gu-IN"/>
              </w:rPr>
              <w:t xml:space="preserve">Procurement of Steam Turbine rotor/Guide Blades carrier /inner casing /steam glands for steam Turbine </w:t>
            </w:r>
          </w:p>
        </w:tc>
        <w:tc>
          <w:tcPr>
            <w:tcW w:w="1890" w:type="dxa"/>
            <w:noWrap/>
            <w:vAlign w:val="center"/>
          </w:tcPr>
          <w:p w:rsidR="007A00B0" w:rsidRDefault="007A00B0" w:rsidP="00973CD1">
            <w:pPr>
              <w:spacing w:line="240" w:lineRule="auto"/>
              <w:jc w:val="center"/>
              <w:rPr>
                <w:b/>
                <w:bCs/>
                <w:sz w:val="20"/>
                <w:szCs w:val="20"/>
                <w:lang w:bidi="gu-IN"/>
              </w:rPr>
            </w:pPr>
            <w:r>
              <w:rPr>
                <w:b/>
                <w:bCs/>
                <w:sz w:val="20"/>
                <w:szCs w:val="20"/>
                <w:lang w:bidi="gu-IN"/>
              </w:rPr>
              <w:t>1664.19</w:t>
            </w:r>
          </w:p>
        </w:tc>
        <w:tc>
          <w:tcPr>
            <w:tcW w:w="1848" w:type="dxa"/>
          </w:tcPr>
          <w:p w:rsidR="007A00B0" w:rsidRPr="008D796C" w:rsidRDefault="007A00B0" w:rsidP="0070103A">
            <w:pPr>
              <w:spacing w:line="240" w:lineRule="auto"/>
              <w:jc w:val="center"/>
              <w:rPr>
                <w:b/>
                <w:bCs/>
                <w:sz w:val="20"/>
                <w:szCs w:val="20"/>
                <w:lang w:bidi="gu-IN"/>
              </w:rPr>
            </w:pPr>
            <w:r>
              <w:rPr>
                <w:b/>
                <w:bCs/>
                <w:sz w:val="20"/>
                <w:szCs w:val="20"/>
                <w:lang w:bidi="gu-IN"/>
              </w:rPr>
              <w:t>With Hon,ble</w:t>
            </w:r>
            <w:r w:rsidR="0070103A">
              <w:rPr>
                <w:b/>
                <w:bCs/>
                <w:sz w:val="20"/>
                <w:szCs w:val="20"/>
                <w:lang w:bidi="gu-IN"/>
              </w:rPr>
              <w:t xml:space="preserve"> Commission </w:t>
            </w:r>
            <w:r>
              <w:rPr>
                <w:b/>
                <w:bCs/>
                <w:sz w:val="20"/>
                <w:szCs w:val="20"/>
                <w:lang w:bidi="gu-IN"/>
              </w:rPr>
              <w:t xml:space="preserve">for approval </w:t>
            </w:r>
          </w:p>
        </w:tc>
      </w:tr>
      <w:tr w:rsidR="0070103A" w:rsidTr="00CD38C4">
        <w:trPr>
          <w:trHeight w:val="331"/>
        </w:trPr>
        <w:tc>
          <w:tcPr>
            <w:tcW w:w="825" w:type="dxa"/>
          </w:tcPr>
          <w:p w:rsidR="0070103A" w:rsidRDefault="0070103A" w:rsidP="00973CD1">
            <w:pPr>
              <w:spacing w:line="240" w:lineRule="auto"/>
              <w:rPr>
                <w:b/>
                <w:bCs/>
                <w:sz w:val="20"/>
                <w:szCs w:val="20"/>
                <w:lang w:bidi="gu-IN"/>
              </w:rPr>
            </w:pPr>
            <w:r>
              <w:rPr>
                <w:b/>
                <w:bCs/>
                <w:sz w:val="20"/>
                <w:szCs w:val="20"/>
                <w:lang w:bidi="gu-IN"/>
              </w:rPr>
              <w:t>8</w:t>
            </w:r>
          </w:p>
        </w:tc>
        <w:tc>
          <w:tcPr>
            <w:tcW w:w="4500" w:type="dxa"/>
            <w:vAlign w:val="center"/>
          </w:tcPr>
          <w:p w:rsidR="0070103A" w:rsidRDefault="00F77DA1" w:rsidP="00973CD1">
            <w:pPr>
              <w:spacing w:line="240" w:lineRule="auto"/>
              <w:rPr>
                <w:b/>
                <w:bCs/>
                <w:sz w:val="20"/>
                <w:szCs w:val="20"/>
                <w:lang w:bidi="gu-IN"/>
              </w:rPr>
            </w:pPr>
            <w:r>
              <w:rPr>
                <w:b/>
                <w:bCs/>
                <w:sz w:val="20"/>
                <w:szCs w:val="20"/>
                <w:lang w:bidi="gu-IN"/>
              </w:rPr>
              <w:t>Replacement of 27 Nos. of Steel Gates at Yamuna Barrage</w:t>
            </w:r>
          </w:p>
        </w:tc>
        <w:tc>
          <w:tcPr>
            <w:tcW w:w="1890" w:type="dxa"/>
            <w:noWrap/>
            <w:vAlign w:val="center"/>
          </w:tcPr>
          <w:p w:rsidR="0070103A" w:rsidRDefault="00F77DA1" w:rsidP="00191270">
            <w:pPr>
              <w:spacing w:line="240" w:lineRule="auto"/>
              <w:jc w:val="center"/>
              <w:rPr>
                <w:b/>
                <w:bCs/>
                <w:sz w:val="20"/>
                <w:szCs w:val="20"/>
                <w:lang w:bidi="gu-IN"/>
              </w:rPr>
            </w:pPr>
            <w:r>
              <w:rPr>
                <w:b/>
                <w:bCs/>
                <w:sz w:val="20"/>
                <w:szCs w:val="20"/>
                <w:lang w:bidi="gu-IN"/>
              </w:rPr>
              <w:t>600</w:t>
            </w:r>
            <w:r w:rsidR="00191270">
              <w:rPr>
                <w:b/>
                <w:bCs/>
                <w:sz w:val="20"/>
                <w:szCs w:val="20"/>
                <w:lang w:bidi="gu-IN"/>
              </w:rPr>
              <w:t>.00</w:t>
            </w:r>
          </w:p>
        </w:tc>
        <w:tc>
          <w:tcPr>
            <w:tcW w:w="1848" w:type="dxa"/>
          </w:tcPr>
          <w:p w:rsidR="0070103A" w:rsidRDefault="00F77DA1" w:rsidP="00973CD1">
            <w:pPr>
              <w:spacing w:line="240" w:lineRule="auto"/>
              <w:jc w:val="center"/>
              <w:rPr>
                <w:b/>
                <w:bCs/>
                <w:sz w:val="20"/>
                <w:szCs w:val="20"/>
                <w:lang w:bidi="gu-IN"/>
              </w:rPr>
            </w:pPr>
            <w:r>
              <w:rPr>
                <w:b/>
                <w:bCs/>
                <w:sz w:val="20"/>
                <w:szCs w:val="20"/>
                <w:lang w:bidi="gu-IN"/>
              </w:rPr>
              <w:t>‘A’</w:t>
            </w:r>
          </w:p>
        </w:tc>
      </w:tr>
    </w:tbl>
    <w:p w:rsidR="00F2136D" w:rsidRPr="00664F43" w:rsidRDefault="00F2136D" w:rsidP="00664F43">
      <w:pPr>
        <w:rPr>
          <w:sz w:val="22"/>
          <w:szCs w:val="22"/>
        </w:rPr>
      </w:pPr>
    </w:p>
    <w:p w:rsidR="00F77DA1" w:rsidRPr="00664F43" w:rsidRDefault="00CE7B17" w:rsidP="00664F43">
      <w:pPr>
        <w:pStyle w:val="ListParagraph"/>
        <w:numPr>
          <w:ilvl w:val="0"/>
          <w:numId w:val="41"/>
        </w:numPr>
        <w:spacing w:line="360" w:lineRule="auto"/>
        <w:jc w:val="both"/>
        <w:rPr>
          <w:rFonts w:ascii="Century Gothic" w:hAnsi="Century Gothic"/>
          <w:sz w:val="22"/>
          <w:szCs w:val="22"/>
        </w:rPr>
      </w:pPr>
      <w:r>
        <w:rPr>
          <w:rFonts w:ascii="Century Gothic" w:hAnsi="Century Gothic"/>
          <w:sz w:val="22"/>
          <w:szCs w:val="22"/>
        </w:rPr>
        <w:t xml:space="preserve">Further, </w:t>
      </w:r>
      <w:r w:rsidR="00A52F5F">
        <w:rPr>
          <w:rFonts w:ascii="Century Gothic" w:hAnsi="Century Gothic"/>
          <w:sz w:val="22"/>
          <w:szCs w:val="22"/>
        </w:rPr>
        <w:t xml:space="preserve">the </w:t>
      </w:r>
      <w:r w:rsidR="00A52F5F" w:rsidRPr="00664F43">
        <w:rPr>
          <w:rFonts w:ascii="Century Gothic" w:hAnsi="Century Gothic"/>
          <w:sz w:val="22"/>
          <w:szCs w:val="22"/>
        </w:rPr>
        <w:t>scheme</w:t>
      </w:r>
      <w:r>
        <w:rPr>
          <w:rFonts w:ascii="Century Gothic" w:hAnsi="Century Gothic"/>
          <w:sz w:val="22"/>
          <w:szCs w:val="22"/>
        </w:rPr>
        <w:t xml:space="preserve"> for replacement of ITO Barrage Gates</w:t>
      </w:r>
      <w:r w:rsidR="00F77DA1" w:rsidRPr="00664F43">
        <w:rPr>
          <w:rFonts w:ascii="Century Gothic" w:hAnsi="Century Gothic"/>
          <w:sz w:val="22"/>
          <w:szCs w:val="22"/>
        </w:rPr>
        <w:t xml:space="preserve"> was approved in MYT period 2007 to 2011 to replace 27 Nos. of gates of Y</w:t>
      </w:r>
      <w:r w:rsidR="00D411E6" w:rsidRPr="00664F43">
        <w:rPr>
          <w:rFonts w:ascii="Century Gothic" w:hAnsi="Century Gothic"/>
          <w:sz w:val="22"/>
          <w:szCs w:val="22"/>
        </w:rPr>
        <w:t>a</w:t>
      </w:r>
      <w:r w:rsidR="00F77DA1" w:rsidRPr="00664F43">
        <w:rPr>
          <w:rFonts w:ascii="Century Gothic" w:hAnsi="Century Gothic"/>
          <w:sz w:val="22"/>
          <w:szCs w:val="22"/>
        </w:rPr>
        <w:t xml:space="preserve">muna Barrage as the gates were erected &amp; commissioned more than 40 years back by </w:t>
      </w:r>
      <w:r w:rsidR="00F77DA1" w:rsidRPr="00664F43">
        <w:rPr>
          <w:rFonts w:ascii="Century Gothic" w:hAnsi="Century Gothic"/>
          <w:sz w:val="22"/>
          <w:szCs w:val="22"/>
        </w:rPr>
        <w:lastRenderedPageBreak/>
        <w:t xml:space="preserve">Haryana Irrigation Deptt.  The raw water to RPH &amp; GTPS is drawn through intake channel </w:t>
      </w:r>
      <w:r w:rsidR="006B33E4">
        <w:rPr>
          <w:rFonts w:ascii="Century Gothic" w:hAnsi="Century Gothic"/>
          <w:sz w:val="22"/>
          <w:szCs w:val="22"/>
        </w:rPr>
        <w:t>of</w:t>
      </w:r>
      <w:r w:rsidR="00F77DA1" w:rsidRPr="00664F43">
        <w:rPr>
          <w:rFonts w:ascii="Century Gothic" w:hAnsi="Century Gothic"/>
          <w:sz w:val="22"/>
          <w:szCs w:val="22"/>
        </w:rPr>
        <w:t xml:space="preserve"> this barrage.  In order to maintain a particular level of water in the river these gates are required to be operated as per requirement from time to time.  These gates have outlived their lives due to toxic / acidic nature of raw water.  </w:t>
      </w:r>
      <w:r w:rsidR="00D411E6" w:rsidRPr="00664F43">
        <w:rPr>
          <w:rFonts w:ascii="Century Gothic" w:hAnsi="Century Gothic"/>
          <w:sz w:val="22"/>
          <w:szCs w:val="22"/>
        </w:rPr>
        <w:t xml:space="preserve">Therefore, Hon’ble Commission has approved to replace these gates for total capital cost of Rs.6.00 Cr. during FY 2007 to 2011.  </w:t>
      </w:r>
      <w:r w:rsidR="00F77DA1" w:rsidRPr="00664F43">
        <w:rPr>
          <w:rFonts w:ascii="Century Gothic" w:hAnsi="Century Gothic"/>
          <w:sz w:val="22"/>
          <w:szCs w:val="22"/>
        </w:rPr>
        <w:t>Out of 27 gates only 14 gates have been replaced during 2007 to 2011-12 and 5 gates have been</w:t>
      </w:r>
      <w:r w:rsidR="00B13915" w:rsidRPr="00664F43">
        <w:rPr>
          <w:rFonts w:ascii="Century Gothic" w:hAnsi="Century Gothic"/>
          <w:sz w:val="22"/>
          <w:szCs w:val="22"/>
        </w:rPr>
        <w:t xml:space="preserve"> planned during MYT 2012 to 2014 and remaining 8 Nos. of gates are planned to be replaced in FY 2015-16 &amp; 2016-17.</w:t>
      </w:r>
      <w:r w:rsidR="005F0952" w:rsidRPr="00664F43">
        <w:rPr>
          <w:rFonts w:ascii="Century Gothic" w:hAnsi="Century Gothic"/>
          <w:sz w:val="22"/>
          <w:szCs w:val="22"/>
        </w:rPr>
        <w:t xml:space="preserve">  Out of this total cost Rs.468.00 lacs have already been incurred till FY 2014-15 and Rs.200.00 lacs will be required for replacing 8 Nos. of gates in phased manner during 2015 to 2017.</w:t>
      </w:r>
      <w:r w:rsidR="006955B0" w:rsidRPr="00664F43">
        <w:rPr>
          <w:rFonts w:ascii="Century Gothic" w:hAnsi="Century Gothic"/>
          <w:sz w:val="22"/>
          <w:szCs w:val="22"/>
        </w:rPr>
        <w:t xml:space="preserve">  The details of expenditure incurred and proposed to be incurred are summarized as under :</w:t>
      </w:r>
    </w:p>
    <w:p w:rsidR="00D144EA" w:rsidRDefault="008765A4" w:rsidP="00F06893">
      <w:pPr>
        <w:pStyle w:val="Caption"/>
        <w:jc w:val="center"/>
      </w:pPr>
      <w:bookmarkStart w:id="107" w:name="_Toc411604018"/>
      <w:r>
        <w:t xml:space="preserve">Table </w:t>
      </w:r>
      <w:fldSimple w:instr=" SEQ Table \* ARABIC ">
        <w:r w:rsidR="002326CE">
          <w:rPr>
            <w:noProof/>
          </w:rPr>
          <w:t>41</w:t>
        </w:r>
      </w:fldSimple>
      <w:r>
        <w:t xml:space="preserve"> : Capital Expenditure schemes for ITO Barrage</w:t>
      </w:r>
      <w:bookmarkEnd w:id="107"/>
      <w:r>
        <w:t xml:space="preserve"> </w:t>
      </w:r>
    </w:p>
    <w:tbl>
      <w:tblPr>
        <w:tblStyle w:val="TableGrid"/>
        <w:tblW w:w="9378" w:type="dxa"/>
        <w:tblLook w:val="04A0"/>
      </w:tblPr>
      <w:tblGrid>
        <w:gridCol w:w="828"/>
        <w:gridCol w:w="2264"/>
        <w:gridCol w:w="3136"/>
        <w:gridCol w:w="3150"/>
      </w:tblGrid>
      <w:tr w:rsidR="00E7617B" w:rsidTr="0081341E">
        <w:tc>
          <w:tcPr>
            <w:tcW w:w="828" w:type="dxa"/>
            <w:shd w:val="clear" w:color="auto" w:fill="002060"/>
          </w:tcPr>
          <w:p w:rsidR="00E7617B" w:rsidRDefault="00E7617B" w:rsidP="00E7617B">
            <w:pPr>
              <w:spacing w:line="240" w:lineRule="auto"/>
            </w:pPr>
            <w:r>
              <w:t>S.No.</w:t>
            </w:r>
          </w:p>
        </w:tc>
        <w:tc>
          <w:tcPr>
            <w:tcW w:w="2264" w:type="dxa"/>
            <w:shd w:val="clear" w:color="auto" w:fill="002060"/>
          </w:tcPr>
          <w:p w:rsidR="00E7617B" w:rsidRDefault="00E7617B" w:rsidP="00E7617B">
            <w:pPr>
              <w:spacing w:line="240" w:lineRule="auto"/>
            </w:pPr>
            <w:r>
              <w:t>MYT period / FY</w:t>
            </w:r>
          </w:p>
        </w:tc>
        <w:tc>
          <w:tcPr>
            <w:tcW w:w="3136" w:type="dxa"/>
            <w:shd w:val="clear" w:color="auto" w:fill="002060"/>
          </w:tcPr>
          <w:p w:rsidR="00E7617B" w:rsidRDefault="00E7617B" w:rsidP="00E7617B">
            <w:pPr>
              <w:spacing w:line="240" w:lineRule="auto"/>
            </w:pPr>
            <w:r>
              <w:t>No. of gates replaced</w:t>
            </w:r>
          </w:p>
        </w:tc>
        <w:tc>
          <w:tcPr>
            <w:tcW w:w="3150" w:type="dxa"/>
            <w:shd w:val="clear" w:color="auto" w:fill="002060"/>
          </w:tcPr>
          <w:p w:rsidR="00E7617B" w:rsidRDefault="00E7617B" w:rsidP="00E7617B">
            <w:pPr>
              <w:spacing w:line="240" w:lineRule="auto"/>
            </w:pPr>
            <w:r>
              <w:t>Actual Expr. (Rs. In Cr.)</w:t>
            </w:r>
          </w:p>
        </w:tc>
      </w:tr>
      <w:tr w:rsidR="00E7617B" w:rsidTr="00CA2C65">
        <w:tc>
          <w:tcPr>
            <w:tcW w:w="828" w:type="dxa"/>
            <w:vAlign w:val="center"/>
          </w:tcPr>
          <w:p w:rsidR="00E7617B" w:rsidRDefault="00E7617B" w:rsidP="00CA2C65">
            <w:pPr>
              <w:jc w:val="center"/>
            </w:pPr>
            <w:r>
              <w:t>1</w:t>
            </w:r>
          </w:p>
        </w:tc>
        <w:tc>
          <w:tcPr>
            <w:tcW w:w="2264" w:type="dxa"/>
            <w:vAlign w:val="center"/>
          </w:tcPr>
          <w:p w:rsidR="00E7617B" w:rsidRDefault="00E7617B" w:rsidP="00CA2C65">
            <w:pPr>
              <w:jc w:val="center"/>
            </w:pPr>
            <w:r>
              <w:t>2007 - 12</w:t>
            </w:r>
          </w:p>
        </w:tc>
        <w:tc>
          <w:tcPr>
            <w:tcW w:w="3136" w:type="dxa"/>
            <w:vAlign w:val="center"/>
          </w:tcPr>
          <w:p w:rsidR="00E7617B" w:rsidRDefault="00E7617B" w:rsidP="00CA2C65">
            <w:pPr>
              <w:jc w:val="center"/>
            </w:pPr>
            <w:r>
              <w:t>14</w:t>
            </w:r>
          </w:p>
        </w:tc>
        <w:tc>
          <w:tcPr>
            <w:tcW w:w="3150" w:type="dxa"/>
            <w:vAlign w:val="center"/>
          </w:tcPr>
          <w:p w:rsidR="00E7617B" w:rsidRDefault="00E7617B" w:rsidP="00CA2C65">
            <w:pPr>
              <w:jc w:val="center"/>
            </w:pPr>
            <w:r>
              <w:t>3.48</w:t>
            </w:r>
          </w:p>
        </w:tc>
      </w:tr>
      <w:tr w:rsidR="00E7617B" w:rsidTr="00CA2C65">
        <w:tc>
          <w:tcPr>
            <w:tcW w:w="828" w:type="dxa"/>
            <w:vAlign w:val="center"/>
          </w:tcPr>
          <w:p w:rsidR="00E7617B" w:rsidRDefault="00E7617B" w:rsidP="00CA2C65">
            <w:pPr>
              <w:jc w:val="center"/>
            </w:pPr>
            <w:r>
              <w:t>2</w:t>
            </w:r>
          </w:p>
        </w:tc>
        <w:tc>
          <w:tcPr>
            <w:tcW w:w="2264" w:type="dxa"/>
            <w:vAlign w:val="center"/>
          </w:tcPr>
          <w:p w:rsidR="00E7617B" w:rsidRDefault="00E7617B" w:rsidP="00CA2C65">
            <w:pPr>
              <w:jc w:val="center"/>
            </w:pPr>
            <w:r>
              <w:t>2012 – 15</w:t>
            </w:r>
          </w:p>
        </w:tc>
        <w:tc>
          <w:tcPr>
            <w:tcW w:w="3136" w:type="dxa"/>
            <w:vAlign w:val="center"/>
          </w:tcPr>
          <w:p w:rsidR="00E7617B" w:rsidRDefault="00E7617B" w:rsidP="00CA2C65">
            <w:pPr>
              <w:jc w:val="center"/>
            </w:pPr>
            <w:r>
              <w:t>5</w:t>
            </w:r>
          </w:p>
        </w:tc>
        <w:tc>
          <w:tcPr>
            <w:tcW w:w="3150" w:type="dxa"/>
            <w:vAlign w:val="center"/>
          </w:tcPr>
          <w:p w:rsidR="00E7617B" w:rsidRDefault="00E7617B" w:rsidP="00CA2C65">
            <w:pPr>
              <w:jc w:val="center"/>
            </w:pPr>
            <w:r>
              <w:t>1.19</w:t>
            </w:r>
          </w:p>
        </w:tc>
      </w:tr>
      <w:tr w:rsidR="00E7617B" w:rsidTr="00CA2C65">
        <w:tc>
          <w:tcPr>
            <w:tcW w:w="828" w:type="dxa"/>
            <w:vAlign w:val="center"/>
          </w:tcPr>
          <w:p w:rsidR="00E7617B" w:rsidRDefault="00E7617B" w:rsidP="00CA2C65">
            <w:pPr>
              <w:jc w:val="center"/>
            </w:pPr>
            <w:r>
              <w:t>3</w:t>
            </w:r>
          </w:p>
        </w:tc>
        <w:tc>
          <w:tcPr>
            <w:tcW w:w="2264" w:type="dxa"/>
            <w:vAlign w:val="center"/>
          </w:tcPr>
          <w:p w:rsidR="00E7617B" w:rsidRDefault="00E7617B" w:rsidP="00CA2C65">
            <w:pPr>
              <w:jc w:val="center"/>
            </w:pPr>
            <w:r>
              <w:t>2015 -16</w:t>
            </w:r>
          </w:p>
        </w:tc>
        <w:tc>
          <w:tcPr>
            <w:tcW w:w="3136" w:type="dxa"/>
            <w:vAlign w:val="center"/>
          </w:tcPr>
          <w:p w:rsidR="00E7617B" w:rsidRDefault="00E7617B" w:rsidP="00CA2C65">
            <w:pPr>
              <w:jc w:val="center"/>
            </w:pPr>
            <w:r>
              <w:t>4</w:t>
            </w:r>
          </w:p>
        </w:tc>
        <w:tc>
          <w:tcPr>
            <w:tcW w:w="3150" w:type="dxa"/>
            <w:vAlign w:val="center"/>
          </w:tcPr>
          <w:p w:rsidR="00E7617B" w:rsidRDefault="00E7617B" w:rsidP="00CA2C65">
            <w:pPr>
              <w:jc w:val="center"/>
            </w:pPr>
            <w:r>
              <w:t>1.00</w:t>
            </w:r>
          </w:p>
        </w:tc>
      </w:tr>
      <w:tr w:rsidR="00B33EC3" w:rsidTr="00CA2C65">
        <w:tc>
          <w:tcPr>
            <w:tcW w:w="828" w:type="dxa"/>
            <w:vAlign w:val="center"/>
          </w:tcPr>
          <w:p w:rsidR="00B33EC3" w:rsidRDefault="00B33EC3" w:rsidP="00CA2C65">
            <w:pPr>
              <w:jc w:val="center"/>
            </w:pPr>
            <w:r>
              <w:t>4</w:t>
            </w:r>
          </w:p>
        </w:tc>
        <w:tc>
          <w:tcPr>
            <w:tcW w:w="2264" w:type="dxa"/>
            <w:vAlign w:val="center"/>
          </w:tcPr>
          <w:p w:rsidR="00B33EC3" w:rsidRDefault="00B33EC3" w:rsidP="00CA2C65">
            <w:pPr>
              <w:jc w:val="center"/>
            </w:pPr>
            <w:r>
              <w:t>2016 – 17</w:t>
            </w:r>
          </w:p>
        </w:tc>
        <w:tc>
          <w:tcPr>
            <w:tcW w:w="3136" w:type="dxa"/>
            <w:vAlign w:val="center"/>
          </w:tcPr>
          <w:p w:rsidR="00B33EC3" w:rsidRDefault="00B33EC3" w:rsidP="00CA2C65">
            <w:pPr>
              <w:jc w:val="center"/>
            </w:pPr>
            <w:r>
              <w:t>4</w:t>
            </w:r>
          </w:p>
        </w:tc>
        <w:tc>
          <w:tcPr>
            <w:tcW w:w="3150" w:type="dxa"/>
            <w:vAlign w:val="center"/>
          </w:tcPr>
          <w:p w:rsidR="00B33EC3" w:rsidRDefault="00B33EC3" w:rsidP="00CA2C65">
            <w:pPr>
              <w:jc w:val="center"/>
            </w:pPr>
            <w:r>
              <w:t>1.00</w:t>
            </w:r>
          </w:p>
        </w:tc>
      </w:tr>
      <w:tr w:rsidR="00B33EC3" w:rsidTr="00CA2C65">
        <w:tc>
          <w:tcPr>
            <w:tcW w:w="828" w:type="dxa"/>
            <w:vAlign w:val="center"/>
          </w:tcPr>
          <w:p w:rsidR="00B33EC3" w:rsidRDefault="00B33EC3" w:rsidP="00CA2C65">
            <w:pPr>
              <w:jc w:val="center"/>
            </w:pPr>
          </w:p>
        </w:tc>
        <w:tc>
          <w:tcPr>
            <w:tcW w:w="2264" w:type="dxa"/>
            <w:vAlign w:val="center"/>
          </w:tcPr>
          <w:p w:rsidR="00B33EC3" w:rsidRPr="00590067" w:rsidRDefault="00B33EC3" w:rsidP="00CA2C65">
            <w:pPr>
              <w:jc w:val="center"/>
              <w:rPr>
                <w:b/>
              </w:rPr>
            </w:pPr>
            <w:r w:rsidRPr="00590067">
              <w:rPr>
                <w:b/>
              </w:rPr>
              <w:t>TOTAL</w:t>
            </w:r>
          </w:p>
        </w:tc>
        <w:tc>
          <w:tcPr>
            <w:tcW w:w="3136" w:type="dxa"/>
            <w:vAlign w:val="center"/>
          </w:tcPr>
          <w:p w:rsidR="00B33EC3" w:rsidRPr="00590067" w:rsidRDefault="00B33EC3" w:rsidP="00CA2C65">
            <w:pPr>
              <w:jc w:val="center"/>
              <w:rPr>
                <w:b/>
              </w:rPr>
            </w:pPr>
            <w:r w:rsidRPr="00590067">
              <w:rPr>
                <w:b/>
              </w:rPr>
              <w:t>27</w:t>
            </w:r>
          </w:p>
        </w:tc>
        <w:tc>
          <w:tcPr>
            <w:tcW w:w="3150" w:type="dxa"/>
            <w:vAlign w:val="center"/>
          </w:tcPr>
          <w:p w:rsidR="00B33EC3" w:rsidRPr="00590067" w:rsidRDefault="00F85EDD" w:rsidP="00CA2C65">
            <w:pPr>
              <w:jc w:val="center"/>
              <w:rPr>
                <w:b/>
              </w:rPr>
            </w:pPr>
            <w:r w:rsidRPr="00590067">
              <w:rPr>
                <w:b/>
              </w:rPr>
              <w:t>6</w:t>
            </w:r>
            <w:r w:rsidR="00B33EC3" w:rsidRPr="00590067">
              <w:rPr>
                <w:b/>
              </w:rPr>
              <w:t>.67</w:t>
            </w:r>
          </w:p>
        </w:tc>
      </w:tr>
    </w:tbl>
    <w:p w:rsidR="006955B0" w:rsidRDefault="006955B0" w:rsidP="006955B0"/>
    <w:p w:rsidR="002C654C" w:rsidRDefault="002C654C" w:rsidP="006955B0">
      <w:r>
        <w:t>Hon’ble Commission is, therefore</w:t>
      </w:r>
      <w:r w:rsidR="00D0418E" w:rsidRPr="00D0418E">
        <w:t xml:space="preserve"> </w:t>
      </w:r>
      <w:r w:rsidR="00D0418E">
        <w:t>schemes at Sl.No.1 to 7 and for scheme at Sl. No.8</w:t>
      </w:r>
      <w:r>
        <w:t xml:space="preserve"> to spill over in FY 2015-16 </w:t>
      </w:r>
      <w:r w:rsidR="00D0418E">
        <w:t xml:space="preserve">and to approve balance ITO Barrage Gate replacement with </w:t>
      </w:r>
      <w:r>
        <w:t>additional cost of Rs.67 lacs over and above already approved cost of Rs.600 lacs  in FY 2015-16 &amp; 2016-17.</w:t>
      </w:r>
    </w:p>
    <w:p w:rsidR="00F2136D" w:rsidRDefault="00F2136D" w:rsidP="00F2136D">
      <w:pPr>
        <w:rPr>
          <w:b/>
          <w:bCs/>
        </w:rPr>
      </w:pPr>
    </w:p>
    <w:p w:rsidR="002B0DEC" w:rsidRDefault="002B0DEC" w:rsidP="00F2136D">
      <w:pPr>
        <w:rPr>
          <w:b/>
          <w:bCs/>
        </w:rPr>
      </w:pPr>
    </w:p>
    <w:p w:rsidR="00A176DC" w:rsidRDefault="00A176DC" w:rsidP="00F2136D">
      <w:pPr>
        <w:rPr>
          <w:b/>
          <w:bCs/>
        </w:rPr>
      </w:pPr>
    </w:p>
    <w:p w:rsidR="00A176DC" w:rsidRDefault="00A176DC" w:rsidP="00F2136D">
      <w:pPr>
        <w:rPr>
          <w:b/>
          <w:bCs/>
        </w:rPr>
      </w:pPr>
    </w:p>
    <w:p w:rsidR="00A176DC" w:rsidRDefault="00A176DC" w:rsidP="00F2136D">
      <w:pPr>
        <w:rPr>
          <w:b/>
          <w:bCs/>
        </w:rPr>
      </w:pPr>
    </w:p>
    <w:p w:rsidR="00A176DC" w:rsidRDefault="00A176DC" w:rsidP="00F2136D">
      <w:pPr>
        <w:rPr>
          <w:b/>
          <w:bCs/>
        </w:rPr>
      </w:pPr>
    </w:p>
    <w:p w:rsidR="00A176DC" w:rsidRDefault="00A176DC" w:rsidP="00F2136D">
      <w:pPr>
        <w:rPr>
          <w:b/>
          <w:bCs/>
        </w:rPr>
      </w:pPr>
    </w:p>
    <w:p w:rsidR="00A176DC" w:rsidRDefault="00A176DC" w:rsidP="00F2136D">
      <w:pPr>
        <w:rPr>
          <w:b/>
          <w:bCs/>
        </w:rPr>
      </w:pPr>
    </w:p>
    <w:p w:rsidR="00A176DC" w:rsidRDefault="00A176DC" w:rsidP="00F2136D">
      <w:pPr>
        <w:rPr>
          <w:b/>
          <w:bCs/>
        </w:rPr>
      </w:pPr>
    </w:p>
    <w:p w:rsidR="00A176DC" w:rsidRDefault="00A176DC" w:rsidP="00F2136D">
      <w:pPr>
        <w:rPr>
          <w:b/>
          <w:bCs/>
        </w:rPr>
      </w:pPr>
    </w:p>
    <w:p w:rsidR="002B0DEC" w:rsidRDefault="002B0DEC" w:rsidP="00F2136D">
      <w:pPr>
        <w:rPr>
          <w:b/>
          <w:bCs/>
        </w:rPr>
      </w:pPr>
    </w:p>
    <w:p w:rsidR="00590067" w:rsidRDefault="00590067" w:rsidP="00F2136D">
      <w:pPr>
        <w:rPr>
          <w:b/>
          <w:bCs/>
        </w:rPr>
      </w:pPr>
    </w:p>
    <w:p w:rsidR="00590067" w:rsidRDefault="00590067" w:rsidP="00F2136D">
      <w:pPr>
        <w:rPr>
          <w:b/>
          <w:bCs/>
        </w:rPr>
      </w:pPr>
    </w:p>
    <w:p w:rsidR="00590067" w:rsidRDefault="00590067" w:rsidP="00F2136D">
      <w:pPr>
        <w:rPr>
          <w:b/>
          <w:bCs/>
        </w:rPr>
      </w:pPr>
    </w:p>
    <w:p w:rsidR="00590067" w:rsidRDefault="00590067" w:rsidP="00590067">
      <w:pPr>
        <w:spacing w:line="240" w:lineRule="auto"/>
        <w:rPr>
          <w:b/>
          <w:bCs/>
        </w:rPr>
      </w:pPr>
    </w:p>
    <w:p w:rsidR="00C43BF7" w:rsidRDefault="00317CBA" w:rsidP="00317CBA">
      <w:pPr>
        <w:pStyle w:val="Heading1"/>
        <w:numPr>
          <w:ilvl w:val="0"/>
          <w:numId w:val="0"/>
        </w:numPr>
        <w:jc w:val="center"/>
      </w:pPr>
      <w:bookmarkStart w:id="108" w:name="_Ref146459147"/>
      <w:bookmarkStart w:id="109" w:name="_Toc173941690"/>
      <w:bookmarkStart w:id="110" w:name="_Toc411605259"/>
      <w:r>
        <w:t>Chapter 5</w:t>
      </w:r>
      <w:r w:rsidR="00C43BF7">
        <w:t>: Prayer</w:t>
      </w:r>
      <w:bookmarkEnd w:id="108"/>
      <w:bookmarkEnd w:id="109"/>
      <w:bookmarkEnd w:id="110"/>
    </w:p>
    <w:p w:rsidR="00C43BF7" w:rsidRDefault="00C43BF7" w:rsidP="00B4252E">
      <w:pPr>
        <w:pStyle w:val="StyleHeading216ptJustifiedLinespacing15lines"/>
        <w:numPr>
          <w:ilvl w:val="0"/>
          <w:numId w:val="13"/>
        </w:numPr>
        <w:tabs>
          <w:tab w:val="clear" w:pos="720"/>
          <w:tab w:val="num" w:pos="360"/>
        </w:tabs>
        <w:ind w:left="360"/>
        <w:rPr>
          <w:color w:val="000080"/>
        </w:rPr>
      </w:pPr>
      <w:bookmarkStart w:id="111" w:name="_Toc115252385"/>
      <w:bookmarkStart w:id="112" w:name="_Toc173941691"/>
      <w:bookmarkStart w:id="113" w:name="_Toc411605260"/>
      <w:r>
        <w:rPr>
          <w:color w:val="000080"/>
        </w:rPr>
        <w:t>Prayer</w:t>
      </w:r>
      <w:bookmarkEnd w:id="111"/>
      <w:bookmarkEnd w:id="112"/>
      <w:bookmarkEnd w:id="113"/>
    </w:p>
    <w:p w:rsidR="004312CA" w:rsidRDefault="004312CA" w:rsidP="004312CA">
      <w:pPr>
        <w:pStyle w:val="StyleHeading216ptJustifiedLinespacing15lines"/>
        <w:numPr>
          <w:ilvl w:val="0"/>
          <w:numId w:val="0"/>
        </w:numPr>
        <w:rPr>
          <w:color w:val="000080"/>
        </w:rPr>
      </w:pPr>
    </w:p>
    <w:p w:rsidR="00C43BF7" w:rsidRDefault="00C43BF7" w:rsidP="00C43BF7">
      <w:pPr>
        <w:rPr>
          <w:sz w:val="22"/>
          <w:szCs w:val="22"/>
        </w:rPr>
      </w:pPr>
      <w:r>
        <w:rPr>
          <w:sz w:val="22"/>
          <w:szCs w:val="22"/>
        </w:rPr>
        <w:t>IPGCL respectfully prays to the Hon'ble Commission;</w:t>
      </w:r>
    </w:p>
    <w:p w:rsidR="005B3844" w:rsidRDefault="005B3844" w:rsidP="00C43BF7">
      <w:pPr>
        <w:rPr>
          <w:sz w:val="22"/>
          <w:szCs w:val="22"/>
        </w:rPr>
      </w:pPr>
    </w:p>
    <w:p w:rsidR="00C43BF7" w:rsidRDefault="00C43BF7" w:rsidP="005925C7">
      <w:pPr>
        <w:numPr>
          <w:ilvl w:val="0"/>
          <w:numId w:val="5"/>
        </w:numPr>
        <w:tabs>
          <w:tab w:val="clear" w:pos="360"/>
          <w:tab w:val="num" w:pos="720"/>
        </w:tabs>
        <w:ind w:left="720"/>
        <w:rPr>
          <w:sz w:val="22"/>
          <w:szCs w:val="22"/>
        </w:rPr>
      </w:pPr>
      <w:r>
        <w:rPr>
          <w:sz w:val="22"/>
          <w:szCs w:val="22"/>
        </w:rPr>
        <w:t xml:space="preserve">To admit this petition. </w:t>
      </w:r>
    </w:p>
    <w:p w:rsidR="008578A7" w:rsidRDefault="008578A7" w:rsidP="008578A7">
      <w:pPr>
        <w:ind w:left="360"/>
        <w:rPr>
          <w:sz w:val="22"/>
          <w:szCs w:val="22"/>
        </w:rPr>
      </w:pPr>
    </w:p>
    <w:p w:rsidR="000D6483" w:rsidRDefault="00401523" w:rsidP="005925C7">
      <w:pPr>
        <w:numPr>
          <w:ilvl w:val="0"/>
          <w:numId w:val="5"/>
        </w:numPr>
        <w:tabs>
          <w:tab w:val="clear" w:pos="360"/>
          <w:tab w:val="num" w:pos="720"/>
        </w:tabs>
        <w:ind w:left="720"/>
        <w:rPr>
          <w:sz w:val="22"/>
          <w:szCs w:val="22"/>
        </w:rPr>
      </w:pPr>
      <w:r>
        <w:rPr>
          <w:sz w:val="22"/>
          <w:szCs w:val="22"/>
        </w:rPr>
        <w:t xml:space="preserve">To true up the expenditure for </w:t>
      </w:r>
      <w:r w:rsidR="00DF07D3">
        <w:rPr>
          <w:sz w:val="22"/>
          <w:szCs w:val="22"/>
        </w:rPr>
        <w:t xml:space="preserve">the Control Period from </w:t>
      </w:r>
      <w:r w:rsidR="00CB6363">
        <w:rPr>
          <w:sz w:val="22"/>
          <w:szCs w:val="22"/>
        </w:rPr>
        <w:t>FY 2012-13 to FY 2013-14</w:t>
      </w:r>
      <w:r w:rsidR="00DF07D3">
        <w:rPr>
          <w:sz w:val="22"/>
          <w:szCs w:val="22"/>
        </w:rPr>
        <w:t xml:space="preserve"> </w:t>
      </w:r>
      <w:r>
        <w:rPr>
          <w:sz w:val="22"/>
          <w:szCs w:val="22"/>
        </w:rPr>
        <w:t xml:space="preserve"> based on the actual performance of IPGCL plants</w:t>
      </w:r>
      <w:r w:rsidR="000D6483">
        <w:rPr>
          <w:sz w:val="22"/>
          <w:szCs w:val="22"/>
        </w:rPr>
        <w:t xml:space="preserve"> and to approve the tariff</w:t>
      </w:r>
      <w:r w:rsidR="00CB6363">
        <w:rPr>
          <w:sz w:val="22"/>
          <w:szCs w:val="22"/>
        </w:rPr>
        <w:t xml:space="preserve"> for FY 15-16 and revised estimate for FY 14-15</w:t>
      </w:r>
      <w:r>
        <w:rPr>
          <w:sz w:val="22"/>
          <w:szCs w:val="22"/>
        </w:rPr>
        <w:t>.</w:t>
      </w:r>
      <w:r w:rsidR="00A07AAD">
        <w:rPr>
          <w:sz w:val="22"/>
          <w:szCs w:val="22"/>
        </w:rPr>
        <w:t xml:space="preserve"> </w:t>
      </w:r>
    </w:p>
    <w:p w:rsidR="008578A7" w:rsidRDefault="008578A7" w:rsidP="008578A7">
      <w:pPr>
        <w:rPr>
          <w:sz w:val="22"/>
          <w:szCs w:val="22"/>
        </w:rPr>
      </w:pPr>
    </w:p>
    <w:p w:rsidR="00260FF4" w:rsidRDefault="00507D3E" w:rsidP="005925C7">
      <w:pPr>
        <w:numPr>
          <w:ilvl w:val="0"/>
          <w:numId w:val="5"/>
        </w:numPr>
        <w:tabs>
          <w:tab w:val="clear" w:pos="360"/>
          <w:tab w:val="num" w:pos="720"/>
        </w:tabs>
        <w:ind w:left="720"/>
        <w:rPr>
          <w:sz w:val="22"/>
          <w:szCs w:val="22"/>
        </w:rPr>
      </w:pPr>
      <w:r>
        <w:rPr>
          <w:sz w:val="22"/>
          <w:szCs w:val="22"/>
        </w:rPr>
        <w:t>To relax</w:t>
      </w:r>
      <w:r w:rsidR="00260FF4">
        <w:rPr>
          <w:sz w:val="22"/>
          <w:szCs w:val="22"/>
        </w:rPr>
        <w:t xml:space="preserve"> the operational, technical and financial norms and parameters</w:t>
      </w:r>
      <w:r w:rsidR="003A5B19">
        <w:rPr>
          <w:sz w:val="22"/>
          <w:szCs w:val="22"/>
        </w:rPr>
        <w:t xml:space="preserve"> defined in the Regulation</w:t>
      </w:r>
      <w:r w:rsidRPr="00507D3E">
        <w:rPr>
          <w:sz w:val="22"/>
          <w:szCs w:val="22"/>
        </w:rPr>
        <w:t xml:space="preserve"> </w:t>
      </w:r>
      <w:r w:rsidR="008732B5">
        <w:rPr>
          <w:bCs/>
          <w:sz w:val="22"/>
          <w:szCs w:val="22"/>
        </w:rPr>
        <w:t>under clause</w:t>
      </w:r>
      <w:r w:rsidR="00F2136D">
        <w:rPr>
          <w:bCs/>
          <w:sz w:val="22"/>
          <w:szCs w:val="22"/>
        </w:rPr>
        <w:t xml:space="preserve"> 7.5, 11.10, 11.14 of the MYT Regulations, 2011</w:t>
      </w:r>
      <w:r w:rsidR="00260FF4">
        <w:rPr>
          <w:sz w:val="22"/>
          <w:szCs w:val="22"/>
        </w:rPr>
        <w:t>.</w:t>
      </w:r>
    </w:p>
    <w:p w:rsidR="008578A7" w:rsidRDefault="008578A7" w:rsidP="008578A7">
      <w:pPr>
        <w:rPr>
          <w:sz w:val="22"/>
          <w:szCs w:val="22"/>
        </w:rPr>
      </w:pPr>
    </w:p>
    <w:p w:rsidR="008578A7" w:rsidRDefault="00260FF4" w:rsidP="005925C7">
      <w:pPr>
        <w:numPr>
          <w:ilvl w:val="0"/>
          <w:numId w:val="5"/>
        </w:numPr>
        <w:tabs>
          <w:tab w:val="clear" w:pos="360"/>
          <w:tab w:val="num" w:pos="720"/>
        </w:tabs>
        <w:ind w:left="720"/>
        <w:rPr>
          <w:sz w:val="22"/>
          <w:szCs w:val="22"/>
        </w:rPr>
      </w:pPr>
      <w:r>
        <w:rPr>
          <w:sz w:val="22"/>
          <w:szCs w:val="22"/>
        </w:rPr>
        <w:t>To</w:t>
      </w:r>
      <w:r w:rsidR="00C43BF7">
        <w:rPr>
          <w:sz w:val="22"/>
          <w:szCs w:val="22"/>
        </w:rPr>
        <w:t xml:space="preserve"> approve the operational and financial </w:t>
      </w:r>
      <w:r w:rsidR="005B3844">
        <w:rPr>
          <w:sz w:val="22"/>
          <w:szCs w:val="22"/>
        </w:rPr>
        <w:t>parameters as proposed</w:t>
      </w:r>
      <w:r w:rsidR="00765E05">
        <w:rPr>
          <w:sz w:val="22"/>
          <w:szCs w:val="22"/>
        </w:rPr>
        <w:t xml:space="preserve"> for FY</w:t>
      </w:r>
      <w:r w:rsidR="003B3CDB">
        <w:rPr>
          <w:sz w:val="22"/>
          <w:szCs w:val="22"/>
        </w:rPr>
        <w:t xml:space="preserve"> </w:t>
      </w:r>
      <w:r w:rsidR="008732B5">
        <w:rPr>
          <w:sz w:val="22"/>
          <w:szCs w:val="22"/>
        </w:rPr>
        <w:t>15-16</w:t>
      </w:r>
      <w:r w:rsidR="008578A7">
        <w:rPr>
          <w:sz w:val="22"/>
          <w:szCs w:val="22"/>
        </w:rPr>
        <w:t>.</w:t>
      </w:r>
    </w:p>
    <w:p w:rsidR="00E14791" w:rsidRDefault="00E14791" w:rsidP="00E14791">
      <w:pPr>
        <w:pStyle w:val="ListParagraph"/>
        <w:rPr>
          <w:sz w:val="22"/>
          <w:szCs w:val="22"/>
        </w:rPr>
      </w:pPr>
    </w:p>
    <w:p w:rsidR="00E14791" w:rsidRDefault="00E14791" w:rsidP="005925C7">
      <w:pPr>
        <w:numPr>
          <w:ilvl w:val="0"/>
          <w:numId w:val="5"/>
        </w:numPr>
        <w:tabs>
          <w:tab w:val="clear" w:pos="360"/>
          <w:tab w:val="num" w:pos="720"/>
        </w:tabs>
        <w:ind w:left="720"/>
        <w:rPr>
          <w:sz w:val="22"/>
          <w:szCs w:val="22"/>
        </w:rPr>
      </w:pPr>
      <w:r>
        <w:rPr>
          <w:sz w:val="22"/>
          <w:szCs w:val="22"/>
        </w:rPr>
        <w:t>To Approve special R&amp;M for RPH as per Clause 6.14 &amp; 6.15 of Regulation, 2011 as prayed.</w:t>
      </w:r>
    </w:p>
    <w:p w:rsidR="00043E11" w:rsidRDefault="00043E11" w:rsidP="00043E11">
      <w:pPr>
        <w:pStyle w:val="ListParagraph"/>
        <w:rPr>
          <w:sz w:val="22"/>
          <w:szCs w:val="22"/>
        </w:rPr>
      </w:pPr>
    </w:p>
    <w:p w:rsidR="00043E11" w:rsidRDefault="00043E11" w:rsidP="005925C7">
      <w:pPr>
        <w:numPr>
          <w:ilvl w:val="0"/>
          <w:numId w:val="5"/>
        </w:numPr>
        <w:tabs>
          <w:tab w:val="clear" w:pos="360"/>
          <w:tab w:val="num" w:pos="720"/>
        </w:tabs>
        <w:ind w:left="720"/>
        <w:rPr>
          <w:sz w:val="22"/>
          <w:szCs w:val="22"/>
        </w:rPr>
      </w:pPr>
      <w:r>
        <w:rPr>
          <w:sz w:val="22"/>
          <w:szCs w:val="22"/>
        </w:rPr>
        <w:t xml:space="preserve">To approve spill over of capex </w:t>
      </w:r>
      <w:r w:rsidR="00CD4825">
        <w:rPr>
          <w:sz w:val="22"/>
          <w:szCs w:val="22"/>
        </w:rPr>
        <w:t>Schemes</w:t>
      </w:r>
      <w:r>
        <w:rPr>
          <w:sz w:val="22"/>
          <w:szCs w:val="22"/>
        </w:rPr>
        <w:t xml:space="preserve"> of GTPS during FY 2015-16.</w:t>
      </w:r>
    </w:p>
    <w:p w:rsidR="008578A7" w:rsidRDefault="008578A7" w:rsidP="008578A7">
      <w:pPr>
        <w:rPr>
          <w:sz w:val="22"/>
          <w:szCs w:val="22"/>
        </w:rPr>
      </w:pPr>
    </w:p>
    <w:p w:rsidR="00C43BF7" w:rsidRDefault="00C43BF7" w:rsidP="005925C7">
      <w:pPr>
        <w:numPr>
          <w:ilvl w:val="0"/>
          <w:numId w:val="5"/>
        </w:numPr>
        <w:tabs>
          <w:tab w:val="clear" w:pos="360"/>
          <w:tab w:val="num" w:pos="720"/>
        </w:tabs>
        <w:ind w:left="720"/>
        <w:rPr>
          <w:sz w:val="22"/>
          <w:szCs w:val="22"/>
        </w:rPr>
      </w:pPr>
      <w:r>
        <w:rPr>
          <w:sz w:val="22"/>
          <w:szCs w:val="22"/>
        </w:rPr>
        <w:lastRenderedPageBreak/>
        <w:t xml:space="preserve">To approve the Station operating parameters viz. actual Auxiliary </w:t>
      </w:r>
      <w:r w:rsidR="00BF74FD">
        <w:rPr>
          <w:sz w:val="22"/>
          <w:szCs w:val="22"/>
        </w:rPr>
        <w:t xml:space="preserve">Power </w:t>
      </w:r>
      <w:r>
        <w:rPr>
          <w:sz w:val="22"/>
          <w:szCs w:val="22"/>
        </w:rPr>
        <w:t xml:space="preserve">Consumption,  Station Heat Rate,  Specific Oil Consumption, actual </w:t>
      </w:r>
      <w:r w:rsidR="00D34E9A">
        <w:rPr>
          <w:sz w:val="22"/>
          <w:szCs w:val="22"/>
        </w:rPr>
        <w:t>availability</w:t>
      </w:r>
      <w:r w:rsidR="00BF74FD">
        <w:rPr>
          <w:sz w:val="22"/>
          <w:szCs w:val="22"/>
        </w:rPr>
        <w:t xml:space="preserve"> </w:t>
      </w:r>
      <w:r>
        <w:rPr>
          <w:sz w:val="22"/>
          <w:szCs w:val="22"/>
        </w:rPr>
        <w:t xml:space="preserve"> during Control Period </w:t>
      </w:r>
      <w:r w:rsidR="00BF74FD">
        <w:rPr>
          <w:sz w:val="22"/>
          <w:szCs w:val="22"/>
        </w:rPr>
        <w:t xml:space="preserve">from FY </w:t>
      </w:r>
      <w:r w:rsidR="00283AC6">
        <w:rPr>
          <w:sz w:val="22"/>
          <w:szCs w:val="22"/>
        </w:rPr>
        <w:t>2012-13 and 2013-14</w:t>
      </w:r>
      <w:r>
        <w:rPr>
          <w:sz w:val="22"/>
          <w:szCs w:val="22"/>
        </w:rPr>
        <w:t xml:space="preserve">. </w:t>
      </w:r>
    </w:p>
    <w:p w:rsidR="008578A7" w:rsidRDefault="008578A7" w:rsidP="008578A7">
      <w:pPr>
        <w:rPr>
          <w:sz w:val="22"/>
          <w:szCs w:val="22"/>
        </w:rPr>
      </w:pPr>
    </w:p>
    <w:p w:rsidR="00C43BF7" w:rsidRDefault="00C43BF7" w:rsidP="005925C7">
      <w:pPr>
        <w:numPr>
          <w:ilvl w:val="0"/>
          <w:numId w:val="5"/>
        </w:numPr>
        <w:tabs>
          <w:tab w:val="clear" w:pos="360"/>
          <w:tab w:val="num" w:pos="720"/>
        </w:tabs>
        <w:ind w:left="720"/>
        <w:rPr>
          <w:sz w:val="22"/>
          <w:szCs w:val="22"/>
        </w:rPr>
      </w:pPr>
      <w:r>
        <w:rPr>
          <w:sz w:val="22"/>
          <w:szCs w:val="22"/>
        </w:rPr>
        <w:t xml:space="preserve">To approve </w:t>
      </w:r>
      <w:r w:rsidR="00210934">
        <w:rPr>
          <w:sz w:val="22"/>
          <w:szCs w:val="22"/>
        </w:rPr>
        <w:t>proposed</w:t>
      </w:r>
      <w:r>
        <w:rPr>
          <w:sz w:val="22"/>
          <w:szCs w:val="22"/>
        </w:rPr>
        <w:t xml:space="preserve"> O&amp;M cost.</w:t>
      </w:r>
    </w:p>
    <w:p w:rsidR="00870277" w:rsidRDefault="00870277" w:rsidP="00870277">
      <w:pPr>
        <w:rPr>
          <w:sz w:val="22"/>
          <w:szCs w:val="22"/>
        </w:rPr>
      </w:pPr>
    </w:p>
    <w:p w:rsidR="00870277" w:rsidRDefault="00870277" w:rsidP="005925C7">
      <w:pPr>
        <w:numPr>
          <w:ilvl w:val="0"/>
          <w:numId w:val="5"/>
        </w:numPr>
        <w:tabs>
          <w:tab w:val="clear" w:pos="360"/>
          <w:tab w:val="num" w:pos="720"/>
        </w:tabs>
        <w:ind w:left="720"/>
        <w:rPr>
          <w:sz w:val="22"/>
          <w:szCs w:val="22"/>
        </w:rPr>
      </w:pPr>
      <w:r>
        <w:rPr>
          <w:sz w:val="22"/>
          <w:szCs w:val="22"/>
        </w:rPr>
        <w:t xml:space="preserve">To </w:t>
      </w:r>
      <w:r w:rsidR="00F94D96">
        <w:rPr>
          <w:sz w:val="22"/>
          <w:szCs w:val="22"/>
        </w:rPr>
        <w:t xml:space="preserve">relax </w:t>
      </w:r>
      <w:r>
        <w:rPr>
          <w:sz w:val="22"/>
          <w:szCs w:val="22"/>
        </w:rPr>
        <w:t>the norm of depreciation and approve the depreciation as proposed for FY 2012-13 to FY 2014-15</w:t>
      </w:r>
      <w:r w:rsidR="001D31EB">
        <w:rPr>
          <w:sz w:val="22"/>
          <w:szCs w:val="22"/>
        </w:rPr>
        <w:t xml:space="preserve"> and extended period 15-16</w:t>
      </w:r>
      <w:r>
        <w:rPr>
          <w:sz w:val="22"/>
          <w:szCs w:val="22"/>
        </w:rPr>
        <w:t xml:space="preserve">. </w:t>
      </w:r>
    </w:p>
    <w:p w:rsidR="00870277" w:rsidRDefault="00870277" w:rsidP="00870277">
      <w:pPr>
        <w:rPr>
          <w:sz w:val="22"/>
          <w:szCs w:val="22"/>
        </w:rPr>
      </w:pPr>
    </w:p>
    <w:p w:rsidR="00870277" w:rsidRDefault="00870277" w:rsidP="00870277">
      <w:pPr>
        <w:numPr>
          <w:ilvl w:val="0"/>
          <w:numId w:val="5"/>
        </w:numPr>
        <w:tabs>
          <w:tab w:val="clear" w:pos="360"/>
          <w:tab w:val="num" w:pos="720"/>
        </w:tabs>
        <w:ind w:left="720"/>
        <w:rPr>
          <w:sz w:val="22"/>
          <w:szCs w:val="22"/>
        </w:rPr>
      </w:pPr>
      <w:r>
        <w:rPr>
          <w:sz w:val="22"/>
          <w:szCs w:val="22"/>
        </w:rPr>
        <w:t xml:space="preserve">To relax </w:t>
      </w:r>
      <w:r w:rsidR="00F94D96">
        <w:rPr>
          <w:sz w:val="22"/>
          <w:szCs w:val="22"/>
        </w:rPr>
        <w:t xml:space="preserve">the norm of Return on Equity </w:t>
      </w:r>
      <w:r>
        <w:rPr>
          <w:sz w:val="22"/>
          <w:szCs w:val="22"/>
        </w:rPr>
        <w:t xml:space="preserve">and increase the Return on Equity from 14% to 15.5% in line </w:t>
      </w:r>
      <w:r w:rsidR="00BC25AB">
        <w:rPr>
          <w:sz w:val="22"/>
          <w:szCs w:val="22"/>
        </w:rPr>
        <w:t>with the</w:t>
      </w:r>
      <w:r>
        <w:rPr>
          <w:sz w:val="22"/>
          <w:szCs w:val="22"/>
        </w:rPr>
        <w:t xml:space="preserve"> CERC Tariff Regulations, 2009.</w:t>
      </w:r>
    </w:p>
    <w:p w:rsidR="004E1485" w:rsidRDefault="004E1485" w:rsidP="004E1485">
      <w:pPr>
        <w:rPr>
          <w:sz w:val="22"/>
          <w:szCs w:val="22"/>
        </w:rPr>
      </w:pPr>
    </w:p>
    <w:p w:rsidR="005B3844" w:rsidRDefault="005B3844" w:rsidP="005925C7">
      <w:pPr>
        <w:numPr>
          <w:ilvl w:val="0"/>
          <w:numId w:val="5"/>
        </w:numPr>
        <w:tabs>
          <w:tab w:val="clear" w:pos="360"/>
          <w:tab w:val="num" w:pos="720"/>
        </w:tabs>
        <w:ind w:left="720"/>
        <w:rPr>
          <w:sz w:val="22"/>
          <w:szCs w:val="22"/>
        </w:rPr>
      </w:pPr>
      <w:r>
        <w:rPr>
          <w:sz w:val="22"/>
          <w:szCs w:val="22"/>
        </w:rPr>
        <w:t xml:space="preserve">To </w:t>
      </w:r>
      <w:r w:rsidR="007B0247">
        <w:rPr>
          <w:sz w:val="22"/>
          <w:szCs w:val="22"/>
        </w:rPr>
        <w:t>true- up the capital additions for FY 2012-13 to FY 2014-15</w:t>
      </w:r>
      <w:r>
        <w:rPr>
          <w:sz w:val="22"/>
          <w:szCs w:val="22"/>
        </w:rPr>
        <w:t>.</w:t>
      </w:r>
    </w:p>
    <w:p w:rsidR="004E1485" w:rsidRDefault="004E1485" w:rsidP="004E1485">
      <w:pPr>
        <w:rPr>
          <w:sz w:val="22"/>
          <w:szCs w:val="22"/>
        </w:rPr>
      </w:pPr>
    </w:p>
    <w:p w:rsidR="005E5410" w:rsidRDefault="002B4F76" w:rsidP="005925C7">
      <w:pPr>
        <w:numPr>
          <w:ilvl w:val="0"/>
          <w:numId w:val="5"/>
        </w:numPr>
        <w:tabs>
          <w:tab w:val="clear" w:pos="360"/>
          <w:tab w:val="num" w:pos="720"/>
        </w:tabs>
        <w:ind w:left="720"/>
        <w:rPr>
          <w:sz w:val="22"/>
          <w:szCs w:val="22"/>
        </w:rPr>
      </w:pPr>
      <w:r>
        <w:rPr>
          <w:sz w:val="22"/>
          <w:szCs w:val="22"/>
        </w:rPr>
        <w:t>To allow taxes, property tax, cess, etc as pass through on actual basis</w:t>
      </w:r>
      <w:r w:rsidR="00C06E70">
        <w:rPr>
          <w:sz w:val="22"/>
          <w:szCs w:val="22"/>
        </w:rPr>
        <w:t xml:space="preserve"> for FY 201</w:t>
      </w:r>
      <w:r w:rsidR="00EC6CF2">
        <w:rPr>
          <w:sz w:val="22"/>
          <w:szCs w:val="22"/>
        </w:rPr>
        <w:t>2</w:t>
      </w:r>
      <w:r w:rsidR="00C06E70">
        <w:rPr>
          <w:sz w:val="22"/>
          <w:szCs w:val="22"/>
        </w:rPr>
        <w:t>-1</w:t>
      </w:r>
      <w:r w:rsidR="00EC6CF2">
        <w:rPr>
          <w:sz w:val="22"/>
          <w:szCs w:val="22"/>
        </w:rPr>
        <w:t>3 to FY 2014-15</w:t>
      </w:r>
      <w:r w:rsidR="00A47CE2">
        <w:rPr>
          <w:sz w:val="22"/>
          <w:szCs w:val="22"/>
        </w:rPr>
        <w:t xml:space="preserve"> and FY 15-16</w:t>
      </w:r>
      <w:r>
        <w:rPr>
          <w:sz w:val="22"/>
          <w:szCs w:val="22"/>
        </w:rPr>
        <w:t>.</w:t>
      </w:r>
    </w:p>
    <w:p w:rsidR="004E1485" w:rsidRDefault="004E1485" w:rsidP="004E1485">
      <w:pPr>
        <w:rPr>
          <w:sz w:val="22"/>
          <w:szCs w:val="22"/>
        </w:rPr>
      </w:pPr>
    </w:p>
    <w:p w:rsidR="005171D4" w:rsidRDefault="005171D4" w:rsidP="005925C7">
      <w:pPr>
        <w:numPr>
          <w:ilvl w:val="0"/>
          <w:numId w:val="5"/>
        </w:numPr>
        <w:tabs>
          <w:tab w:val="clear" w:pos="360"/>
          <w:tab w:val="num" w:pos="720"/>
        </w:tabs>
        <w:ind w:left="720"/>
        <w:rPr>
          <w:sz w:val="22"/>
          <w:szCs w:val="22"/>
        </w:rPr>
      </w:pPr>
      <w:bookmarkStart w:id="114" w:name="OLE_LINK11"/>
      <w:bookmarkStart w:id="115" w:name="OLE_LINK12"/>
      <w:r>
        <w:rPr>
          <w:sz w:val="22"/>
          <w:szCs w:val="22"/>
        </w:rPr>
        <w:t xml:space="preserve">To allow the </w:t>
      </w:r>
      <w:r w:rsidR="00A47CE2">
        <w:rPr>
          <w:sz w:val="22"/>
          <w:szCs w:val="22"/>
        </w:rPr>
        <w:t xml:space="preserve">recovery of trued up amount of Rs.175.41 Cr. without linking it </w:t>
      </w:r>
      <w:r>
        <w:rPr>
          <w:sz w:val="22"/>
          <w:szCs w:val="22"/>
        </w:rPr>
        <w:t xml:space="preserve"> </w:t>
      </w:r>
      <w:r w:rsidR="00A47CE2">
        <w:rPr>
          <w:sz w:val="22"/>
          <w:szCs w:val="22"/>
        </w:rPr>
        <w:t xml:space="preserve"> to final disposal material and land </w:t>
      </w:r>
      <w:r w:rsidR="00EC6CF2">
        <w:rPr>
          <w:sz w:val="22"/>
          <w:szCs w:val="22"/>
        </w:rPr>
        <w:t>for I.P.</w:t>
      </w:r>
      <w:r w:rsidR="00A2501A">
        <w:rPr>
          <w:sz w:val="22"/>
          <w:szCs w:val="22"/>
        </w:rPr>
        <w:t xml:space="preserve"> </w:t>
      </w:r>
      <w:r w:rsidR="00EC6CF2">
        <w:rPr>
          <w:sz w:val="22"/>
          <w:szCs w:val="22"/>
        </w:rPr>
        <w:t>Station</w:t>
      </w:r>
      <w:r>
        <w:rPr>
          <w:sz w:val="22"/>
          <w:szCs w:val="22"/>
        </w:rPr>
        <w:t>.</w:t>
      </w:r>
    </w:p>
    <w:p w:rsidR="004466AE" w:rsidRDefault="004466AE" w:rsidP="004466AE">
      <w:pPr>
        <w:pStyle w:val="ListParagraph"/>
        <w:rPr>
          <w:sz w:val="22"/>
          <w:szCs w:val="22"/>
        </w:rPr>
      </w:pPr>
    </w:p>
    <w:p w:rsidR="004466AE" w:rsidRDefault="004466AE" w:rsidP="005925C7">
      <w:pPr>
        <w:numPr>
          <w:ilvl w:val="0"/>
          <w:numId w:val="5"/>
        </w:numPr>
        <w:tabs>
          <w:tab w:val="clear" w:pos="360"/>
          <w:tab w:val="num" w:pos="720"/>
        </w:tabs>
        <w:ind w:left="720"/>
        <w:rPr>
          <w:sz w:val="22"/>
          <w:szCs w:val="22"/>
        </w:rPr>
      </w:pPr>
      <w:r>
        <w:rPr>
          <w:sz w:val="22"/>
          <w:szCs w:val="22"/>
        </w:rPr>
        <w:t>To finally true up the expenditure allowed vide true up order dt. 3</w:t>
      </w:r>
      <w:r w:rsidR="00C94A1B">
        <w:rPr>
          <w:sz w:val="22"/>
          <w:szCs w:val="22"/>
        </w:rPr>
        <w:t>1</w:t>
      </w:r>
      <w:r>
        <w:rPr>
          <w:sz w:val="22"/>
          <w:szCs w:val="22"/>
        </w:rPr>
        <w:t>.07.2013 for FY 2007</w:t>
      </w:r>
      <w:r w:rsidR="00C94A1B">
        <w:rPr>
          <w:sz w:val="22"/>
          <w:szCs w:val="22"/>
        </w:rPr>
        <w:t>-08 to 2011-12 for RPH and GTPS.</w:t>
      </w:r>
    </w:p>
    <w:p w:rsidR="004E1485" w:rsidRDefault="004E1485" w:rsidP="004E1485">
      <w:pPr>
        <w:rPr>
          <w:sz w:val="22"/>
          <w:szCs w:val="22"/>
        </w:rPr>
      </w:pPr>
    </w:p>
    <w:bookmarkEnd w:id="114"/>
    <w:bookmarkEnd w:id="115"/>
    <w:p w:rsidR="005B3844" w:rsidRDefault="005B3844" w:rsidP="005925C7">
      <w:pPr>
        <w:numPr>
          <w:ilvl w:val="0"/>
          <w:numId w:val="5"/>
        </w:numPr>
        <w:tabs>
          <w:tab w:val="clear" w:pos="360"/>
          <w:tab w:val="num" w:pos="720"/>
        </w:tabs>
        <w:ind w:left="720"/>
        <w:rPr>
          <w:sz w:val="22"/>
          <w:szCs w:val="22"/>
        </w:rPr>
      </w:pPr>
      <w:r>
        <w:rPr>
          <w:sz w:val="22"/>
          <w:szCs w:val="22"/>
        </w:rPr>
        <w:t>To grant any other relief as Hon'ble Commission may consider appropriate. The petitioner craves leave of the Hon'ble Commission to allow further submissions, addition and alteration to this Petition as may be necessitating from time to time.</w:t>
      </w:r>
      <w:r w:rsidRPr="002B4F76">
        <w:rPr>
          <w:sz w:val="22"/>
          <w:szCs w:val="22"/>
        </w:rPr>
        <w:t xml:space="preserve"> </w:t>
      </w:r>
    </w:p>
    <w:p w:rsidR="004E1485" w:rsidRDefault="004E1485" w:rsidP="004E1485">
      <w:pPr>
        <w:ind w:left="360"/>
        <w:rPr>
          <w:sz w:val="22"/>
          <w:szCs w:val="22"/>
        </w:rPr>
      </w:pPr>
    </w:p>
    <w:p w:rsidR="00C43BF7" w:rsidRDefault="00C43BF7" w:rsidP="005925C7">
      <w:pPr>
        <w:numPr>
          <w:ilvl w:val="0"/>
          <w:numId w:val="5"/>
        </w:numPr>
        <w:tabs>
          <w:tab w:val="clear" w:pos="360"/>
          <w:tab w:val="num" w:pos="720"/>
        </w:tabs>
        <w:ind w:left="720"/>
        <w:rPr>
          <w:sz w:val="22"/>
          <w:szCs w:val="22"/>
        </w:rPr>
      </w:pPr>
      <w:r>
        <w:rPr>
          <w:sz w:val="22"/>
          <w:szCs w:val="22"/>
        </w:rPr>
        <w:t>Pass any other order as Hon’ble Commission may deem fit and appropriate under the circumstances of the case and in the interest of justice.</w:t>
      </w:r>
    </w:p>
    <w:p w:rsidR="00355491" w:rsidRDefault="00355491" w:rsidP="00C43BF7">
      <w:pPr>
        <w:rPr>
          <w:sz w:val="22"/>
          <w:szCs w:val="22"/>
        </w:rPr>
      </w:pPr>
    </w:p>
    <w:p w:rsidR="005B3844" w:rsidRDefault="005B3844" w:rsidP="00C43BF7">
      <w:pPr>
        <w:rPr>
          <w:sz w:val="22"/>
          <w:szCs w:val="22"/>
        </w:rPr>
      </w:pPr>
    </w:p>
    <w:p w:rsidR="005B3844" w:rsidRDefault="005B3844" w:rsidP="00C43BF7">
      <w:pPr>
        <w:rPr>
          <w:sz w:val="22"/>
          <w:szCs w:val="22"/>
        </w:rPr>
      </w:pPr>
    </w:p>
    <w:p w:rsidR="005B3844" w:rsidRDefault="005B3844" w:rsidP="00C43BF7">
      <w:pPr>
        <w:rPr>
          <w:sz w:val="22"/>
          <w:szCs w:val="22"/>
        </w:rPr>
      </w:pPr>
    </w:p>
    <w:p w:rsidR="005B3844" w:rsidRPr="004E1485" w:rsidRDefault="004E1485" w:rsidP="007E3F07">
      <w:pPr>
        <w:spacing w:line="240" w:lineRule="auto"/>
        <w:jc w:val="right"/>
        <w:rPr>
          <w:b/>
          <w:bCs/>
          <w:sz w:val="22"/>
          <w:szCs w:val="22"/>
        </w:rPr>
      </w:pPr>
      <w:r w:rsidRPr="006E5E4A">
        <w:rPr>
          <w:b/>
          <w:bCs/>
          <w:sz w:val="28"/>
          <w:szCs w:val="22"/>
        </w:rPr>
        <w:lastRenderedPageBreak/>
        <w:t>(</w:t>
      </w:r>
      <w:r w:rsidR="00BE654F" w:rsidRPr="006E5E4A">
        <w:rPr>
          <w:b/>
          <w:bCs/>
          <w:sz w:val="28"/>
          <w:szCs w:val="22"/>
        </w:rPr>
        <w:t>JAGDISH KUMAR</w:t>
      </w:r>
      <w:r w:rsidRPr="006E5E4A">
        <w:rPr>
          <w:b/>
          <w:bCs/>
          <w:sz w:val="28"/>
          <w:szCs w:val="22"/>
        </w:rPr>
        <w:t>)</w:t>
      </w:r>
      <w:r w:rsidR="005B3844" w:rsidRPr="004E1485">
        <w:rPr>
          <w:b/>
          <w:bCs/>
          <w:sz w:val="22"/>
          <w:szCs w:val="22"/>
        </w:rPr>
        <w:t>,</w:t>
      </w:r>
    </w:p>
    <w:p w:rsidR="002B4F76" w:rsidRPr="004E1485" w:rsidRDefault="00BE654F" w:rsidP="007E3F07">
      <w:pPr>
        <w:spacing w:line="240" w:lineRule="auto"/>
        <w:jc w:val="right"/>
        <w:rPr>
          <w:b/>
          <w:bCs/>
          <w:sz w:val="22"/>
          <w:szCs w:val="22"/>
        </w:rPr>
      </w:pPr>
      <w:r>
        <w:rPr>
          <w:b/>
          <w:bCs/>
          <w:sz w:val="22"/>
          <w:szCs w:val="22"/>
        </w:rPr>
        <w:t>DIRECTOR (TECHNICAL)</w:t>
      </w:r>
    </w:p>
    <w:p w:rsidR="005B3844" w:rsidRDefault="00BE654F" w:rsidP="007E3F07">
      <w:pPr>
        <w:spacing w:line="240" w:lineRule="auto"/>
        <w:jc w:val="right"/>
        <w:rPr>
          <w:b/>
          <w:bCs/>
          <w:sz w:val="22"/>
          <w:szCs w:val="22"/>
        </w:rPr>
      </w:pPr>
      <w:bookmarkStart w:id="116" w:name="_Toc114398504"/>
      <w:r>
        <w:rPr>
          <w:b/>
          <w:bCs/>
          <w:sz w:val="22"/>
          <w:szCs w:val="22"/>
        </w:rPr>
        <w:t>INDRAPRASTHA POWER GENERATION COMPANY LIMITED</w:t>
      </w:r>
    </w:p>
    <w:p w:rsidR="00C43BF7" w:rsidRDefault="00C43BF7" w:rsidP="007E3F07">
      <w:pPr>
        <w:spacing w:line="240" w:lineRule="auto"/>
        <w:jc w:val="right"/>
        <w:rPr>
          <w:b/>
          <w:bCs/>
          <w:sz w:val="22"/>
          <w:szCs w:val="22"/>
        </w:rPr>
      </w:pPr>
      <w:r>
        <w:rPr>
          <w:b/>
          <w:bCs/>
          <w:sz w:val="22"/>
          <w:szCs w:val="22"/>
        </w:rPr>
        <w:t>PETITIONER</w:t>
      </w:r>
      <w:bookmarkEnd w:id="116"/>
    </w:p>
    <w:p w:rsidR="00C43BF7" w:rsidRDefault="00C43BF7" w:rsidP="00C43BF7">
      <w:pPr>
        <w:rPr>
          <w:b/>
          <w:bCs/>
          <w:sz w:val="22"/>
          <w:szCs w:val="22"/>
        </w:rPr>
      </w:pPr>
    </w:p>
    <w:p w:rsidR="002B4F76" w:rsidRDefault="002B4F76" w:rsidP="00C43BF7">
      <w:pPr>
        <w:rPr>
          <w:b/>
          <w:bCs/>
          <w:sz w:val="22"/>
          <w:szCs w:val="22"/>
        </w:rPr>
      </w:pPr>
    </w:p>
    <w:p w:rsidR="0095439C" w:rsidRDefault="0095439C" w:rsidP="00C43BF7"/>
    <w:p w:rsidR="00707DF5" w:rsidRDefault="00707DF5" w:rsidP="00C43BF7"/>
    <w:p w:rsidR="003B7C36" w:rsidRDefault="003B7C36" w:rsidP="00C43BF7"/>
    <w:p w:rsidR="003B7C36" w:rsidRDefault="003B7C36" w:rsidP="00C43BF7"/>
    <w:p w:rsidR="003B7C36" w:rsidRPr="000C4668" w:rsidRDefault="003B7C36" w:rsidP="000C4668">
      <w:pPr>
        <w:pStyle w:val="Heading1"/>
        <w:numPr>
          <w:ilvl w:val="0"/>
          <w:numId w:val="0"/>
        </w:numPr>
        <w:shd w:val="clear" w:color="auto" w:fill="auto"/>
        <w:jc w:val="right"/>
        <w:rPr>
          <w:color w:val="auto"/>
        </w:rPr>
      </w:pPr>
    </w:p>
    <w:sectPr w:rsidR="003B7C36" w:rsidRPr="000C4668" w:rsidSect="00E20E44">
      <w:headerReference w:type="default" r:id="rId9"/>
      <w:footerReference w:type="even" r:id="rId10"/>
      <w:footerReference w:type="default" r:id="rId11"/>
      <w:pgSz w:w="11909" w:h="16834" w:code="9"/>
      <w:pgMar w:top="1555" w:right="1267" w:bottom="1440" w:left="1800" w:header="706" w:footer="706"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32A" w:rsidRDefault="002F632A">
      <w:r>
        <w:separator/>
      </w:r>
    </w:p>
  </w:endnote>
  <w:endnote w:type="continuationSeparator" w:id="1">
    <w:p w:rsidR="002F632A" w:rsidRDefault="002F63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tique Olive">
    <w:altName w:val="Trebuchet MS"/>
    <w:charset w:val="00"/>
    <w:family w:val="swiss"/>
    <w:pitch w:val="variable"/>
    <w:sig w:usb0="00000007" w:usb1="00000000"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EC" w:rsidRDefault="001D1793" w:rsidP="007D1997">
    <w:pPr>
      <w:pStyle w:val="Footer"/>
      <w:framePr w:wrap="around" w:vAnchor="text" w:hAnchor="margin" w:xAlign="right" w:y="1"/>
      <w:rPr>
        <w:rStyle w:val="PageNumber"/>
      </w:rPr>
    </w:pPr>
    <w:r>
      <w:rPr>
        <w:rStyle w:val="PageNumber"/>
      </w:rPr>
      <w:fldChar w:fldCharType="begin"/>
    </w:r>
    <w:r w:rsidR="008450EC">
      <w:rPr>
        <w:rStyle w:val="PageNumber"/>
      </w:rPr>
      <w:instrText xml:space="preserve">PAGE  </w:instrText>
    </w:r>
    <w:r>
      <w:rPr>
        <w:rStyle w:val="PageNumber"/>
      </w:rPr>
      <w:fldChar w:fldCharType="end"/>
    </w:r>
  </w:p>
  <w:p w:rsidR="008450EC" w:rsidRDefault="008450EC" w:rsidP="007D19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EC" w:rsidRDefault="001D1793" w:rsidP="007D1997">
    <w:pPr>
      <w:pStyle w:val="Footer"/>
      <w:framePr w:wrap="around" w:vAnchor="text" w:hAnchor="margin" w:xAlign="right" w:y="1"/>
      <w:rPr>
        <w:rStyle w:val="PageNumber"/>
      </w:rPr>
    </w:pPr>
    <w:r>
      <w:rPr>
        <w:rStyle w:val="PageNumber"/>
      </w:rPr>
      <w:fldChar w:fldCharType="begin"/>
    </w:r>
    <w:r w:rsidR="008450EC">
      <w:rPr>
        <w:rStyle w:val="PageNumber"/>
      </w:rPr>
      <w:instrText xml:space="preserve">PAGE  </w:instrText>
    </w:r>
    <w:r>
      <w:rPr>
        <w:rStyle w:val="PageNumber"/>
      </w:rPr>
      <w:fldChar w:fldCharType="separate"/>
    </w:r>
    <w:r w:rsidR="00C00C65">
      <w:rPr>
        <w:rStyle w:val="PageNumber"/>
        <w:noProof/>
      </w:rPr>
      <w:t>1</w:t>
    </w:r>
    <w:r>
      <w:rPr>
        <w:rStyle w:val="PageNumber"/>
      </w:rPr>
      <w:fldChar w:fldCharType="end"/>
    </w:r>
  </w:p>
  <w:p w:rsidR="008450EC" w:rsidRDefault="008450EC" w:rsidP="007D199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32A" w:rsidRDefault="002F632A">
      <w:r>
        <w:separator/>
      </w:r>
    </w:p>
  </w:footnote>
  <w:footnote w:type="continuationSeparator" w:id="1">
    <w:p w:rsidR="002F632A" w:rsidRDefault="002F632A">
      <w:r>
        <w:continuationSeparator/>
      </w:r>
    </w:p>
  </w:footnote>
  <w:footnote w:id="2">
    <w:p w:rsidR="008450EC" w:rsidRPr="002F466E" w:rsidRDefault="008450EC" w:rsidP="002F466E">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EC" w:rsidRPr="00D536D5" w:rsidRDefault="008450EC" w:rsidP="00FC1F94">
    <w:pPr>
      <w:pStyle w:val="Header"/>
      <w:pBdr>
        <w:bottom w:val="single" w:sz="4" w:space="0" w:color="auto"/>
      </w:pBdr>
      <w:tabs>
        <w:tab w:val="clear" w:pos="8640"/>
      </w:tabs>
      <w:spacing w:line="240" w:lineRule="auto"/>
      <w:ind w:right="-532"/>
      <w:rPr>
        <w:b/>
        <w:sz w:val="20"/>
      </w:rPr>
    </w:pPr>
    <w:r w:rsidRPr="00D536D5">
      <w:rPr>
        <w:bCs/>
        <w:sz w:val="20"/>
      </w:rPr>
      <w:t xml:space="preserve">Tariff Petition for </w:t>
    </w:r>
    <w:r>
      <w:rPr>
        <w:bCs/>
        <w:sz w:val="20"/>
      </w:rPr>
      <w:t xml:space="preserve">determination of </w:t>
    </w:r>
    <w:r w:rsidRPr="00D536D5">
      <w:rPr>
        <w:bCs/>
        <w:sz w:val="20"/>
      </w:rPr>
      <w:t xml:space="preserve">the </w:t>
    </w:r>
    <w:r>
      <w:rPr>
        <w:sz w:val="22"/>
        <w:szCs w:val="22"/>
      </w:rPr>
      <w:t>Tariff for the Financial Year 2015-16, approval of estimates for FY 2014-15 and truing up for the previous Period of FY 2012-13 to 2013-14.</w:t>
    </w:r>
  </w:p>
  <w:p w:rsidR="008450EC" w:rsidRDefault="008450EC">
    <w:pPr>
      <w:pStyle w:val="Header"/>
      <w:pBdr>
        <w:bottom w:val="single" w:sz="4" w:space="0" w:color="auto"/>
      </w:pBdr>
      <w:tabs>
        <w:tab w:val="clear" w:pos="8640"/>
      </w:tabs>
      <w:ind w:right="-532"/>
      <w:rPr>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00CA9CF"/>
    <w:multiLevelType w:val="hybridMultilevel"/>
    <w:tmpl w:val="44678BF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4"/>
    <w:lvl w:ilvl="0">
      <w:start w:val="1"/>
      <w:numFmt w:val="bullet"/>
      <w:lvlText w:val="·"/>
      <w:lvlJc w:val="left"/>
      <w:pPr>
        <w:tabs>
          <w:tab w:val="num" w:pos="1440"/>
        </w:tabs>
        <w:ind w:left="1440" w:hanging="360"/>
      </w:pPr>
      <w:rPr>
        <w:rFonts w:ascii="Symbol" w:hAnsi="Symbol"/>
      </w:rPr>
    </w:lvl>
  </w:abstractNum>
  <w:abstractNum w:abstractNumId="2">
    <w:nsid w:val="035330ED"/>
    <w:multiLevelType w:val="hybridMultilevel"/>
    <w:tmpl w:val="D0D61BF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41E2F3B"/>
    <w:multiLevelType w:val="hybridMultilevel"/>
    <w:tmpl w:val="9A4034BE"/>
    <w:lvl w:ilvl="0" w:tplc="7472DD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6344AA"/>
    <w:multiLevelType w:val="hybridMultilevel"/>
    <w:tmpl w:val="C446439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C95A72"/>
    <w:multiLevelType w:val="hybridMultilevel"/>
    <w:tmpl w:val="63B2105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6A6DCC"/>
    <w:multiLevelType w:val="hybridMultilevel"/>
    <w:tmpl w:val="F224F446"/>
    <w:lvl w:ilvl="0" w:tplc="57ACCA26">
      <w:start w:val="1"/>
      <w:numFmt w:val="lowerLetter"/>
      <w:lvlText w:val="%1."/>
      <w:lvlJc w:val="left"/>
      <w:pPr>
        <w:tabs>
          <w:tab w:val="num" w:pos="1260"/>
        </w:tabs>
        <w:ind w:left="1260" w:hanging="360"/>
      </w:pPr>
      <w:rPr>
        <w:rFonts w:ascii="Century Gothic" w:hAnsi="Century Gothic" w:cs="Times New Roman" w:hint="default"/>
      </w:rPr>
    </w:lvl>
    <w:lvl w:ilvl="1" w:tplc="04090019">
      <w:start w:val="1"/>
      <w:numFmt w:val="lowerLetter"/>
      <w:lvlText w:val="%2."/>
      <w:lvlJc w:val="left"/>
      <w:pPr>
        <w:tabs>
          <w:tab w:val="num" w:pos="2340"/>
        </w:tabs>
        <w:ind w:left="2340" w:hanging="360"/>
      </w:pPr>
    </w:lvl>
    <w:lvl w:ilvl="2" w:tplc="0409001B">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nsid w:val="0E730B83"/>
    <w:multiLevelType w:val="hybridMultilevel"/>
    <w:tmpl w:val="10642A7A"/>
    <w:lvl w:ilvl="0" w:tplc="176033A2">
      <w:start w:val="1"/>
      <w:numFmt w:val="lowerLetter"/>
      <w:lvlText w:val="%1."/>
      <w:lvlJc w:val="left"/>
      <w:pPr>
        <w:ind w:left="171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4E2520F"/>
    <w:multiLevelType w:val="hybridMultilevel"/>
    <w:tmpl w:val="556A5C8A"/>
    <w:lvl w:ilvl="0" w:tplc="15629638">
      <w:start w:val="14"/>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7415592"/>
    <w:multiLevelType w:val="hybridMultilevel"/>
    <w:tmpl w:val="E12603A0"/>
    <w:lvl w:ilvl="0" w:tplc="40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A781339"/>
    <w:multiLevelType w:val="multilevel"/>
    <w:tmpl w:val="5846F4D8"/>
    <w:lvl w:ilvl="0">
      <w:start w:val="11"/>
      <w:numFmt w:val="decimal"/>
      <w:lvlText w:val="%1"/>
      <w:lvlJc w:val="left"/>
      <w:pPr>
        <w:ind w:left="630" w:hanging="630"/>
      </w:pPr>
      <w:rPr>
        <w:rFonts w:hint="default"/>
      </w:rPr>
    </w:lvl>
    <w:lvl w:ilvl="1">
      <w:start w:val="10"/>
      <w:numFmt w:val="decimal"/>
      <w:lvlText w:val="%1.%2"/>
      <w:lvlJc w:val="left"/>
      <w:pPr>
        <w:ind w:left="2430" w:hanging="63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11">
    <w:nsid w:val="1B2D38C9"/>
    <w:multiLevelType w:val="hybridMultilevel"/>
    <w:tmpl w:val="CC7A21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D84015D"/>
    <w:multiLevelType w:val="hybridMultilevel"/>
    <w:tmpl w:val="00783F5C"/>
    <w:lvl w:ilvl="0" w:tplc="23A4A5F0">
      <w:start w:val="1"/>
      <w:numFmt w:val="lowerLetter"/>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DCA05E2"/>
    <w:multiLevelType w:val="hybridMultilevel"/>
    <w:tmpl w:val="5B82F57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954E0A"/>
    <w:multiLevelType w:val="hybridMultilevel"/>
    <w:tmpl w:val="4568FC2C"/>
    <w:lvl w:ilvl="0" w:tplc="1E087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5D87871"/>
    <w:multiLevelType w:val="multilevel"/>
    <w:tmpl w:val="9A5686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D250DF4"/>
    <w:multiLevelType w:val="multilevel"/>
    <w:tmpl w:val="19AA0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DFB37C4"/>
    <w:multiLevelType w:val="multilevel"/>
    <w:tmpl w:val="66A075A4"/>
    <w:lvl w:ilvl="0">
      <w:start w:val="1"/>
      <w:numFmt w:val="decimal"/>
      <w:lvlText w:val="%1."/>
      <w:lvlJc w:val="left"/>
      <w:pPr>
        <w:tabs>
          <w:tab w:val="num" w:pos="360"/>
        </w:tabs>
        <w:ind w:left="360" w:hanging="360"/>
      </w:pPr>
      <w:rPr>
        <w:rFonts w:hint="default"/>
      </w:rPr>
    </w:lvl>
    <w:lvl w:ilvl="1">
      <w:start w:val="1"/>
      <w:numFmt w:val="decimal"/>
      <w:pStyle w:val="StyleHeading216ptJustifiedLinespacing15lines"/>
      <w:lvlText w:val="2.%2."/>
      <w:lvlJc w:val="left"/>
      <w:pPr>
        <w:tabs>
          <w:tab w:val="num" w:pos="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F005F7F"/>
    <w:multiLevelType w:val="hybridMultilevel"/>
    <w:tmpl w:val="1ACEB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A91ACD"/>
    <w:multiLevelType w:val="hybridMultilevel"/>
    <w:tmpl w:val="C9D4766C"/>
    <w:lvl w:ilvl="0" w:tplc="B7467A80">
      <w:start w:val="1"/>
      <w:numFmt w:val="decimal"/>
      <w:lvlText w:val="%1."/>
      <w:lvlJc w:val="left"/>
      <w:pPr>
        <w:tabs>
          <w:tab w:val="num" w:pos="900"/>
        </w:tabs>
        <w:ind w:left="90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16238D8"/>
    <w:multiLevelType w:val="hybridMultilevel"/>
    <w:tmpl w:val="0A8ACCCA"/>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21">
    <w:nsid w:val="392D278C"/>
    <w:multiLevelType w:val="hybridMultilevel"/>
    <w:tmpl w:val="FE941350"/>
    <w:lvl w:ilvl="0" w:tplc="B0345F8C">
      <w:start w:val="22"/>
      <w:numFmt w:val="decimal"/>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3F77FD"/>
    <w:multiLevelType w:val="multilevel"/>
    <w:tmpl w:val="03A662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39581233"/>
    <w:multiLevelType w:val="hybridMultilevel"/>
    <w:tmpl w:val="55FAB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B36507A"/>
    <w:multiLevelType w:val="multilevel"/>
    <w:tmpl w:val="384C08D4"/>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3C387E9F"/>
    <w:multiLevelType w:val="hybridMultilevel"/>
    <w:tmpl w:val="2AFED284"/>
    <w:lvl w:ilvl="0" w:tplc="E53267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FAD7FAB"/>
    <w:multiLevelType w:val="hybridMultilevel"/>
    <w:tmpl w:val="E3A837B2"/>
    <w:lvl w:ilvl="0" w:tplc="40090011">
      <w:start w:val="1"/>
      <w:numFmt w:val="decimal"/>
      <w:lvlText w:val="%1)"/>
      <w:lvlJc w:val="left"/>
      <w:pPr>
        <w:tabs>
          <w:tab w:val="num" w:pos="720"/>
        </w:tabs>
        <w:ind w:left="720" w:hanging="360"/>
      </w:pPr>
      <w:rPr>
        <w:rFonts w:hint="default"/>
      </w:rPr>
    </w:lvl>
    <w:lvl w:ilvl="1" w:tplc="BB740A64">
      <w:start w:val="1"/>
      <w:numFmt w:val="decimal"/>
      <w:lvlText w:val="%2."/>
      <w:lvlJc w:val="left"/>
      <w:pPr>
        <w:tabs>
          <w:tab w:val="num" w:pos="1800"/>
        </w:tabs>
        <w:ind w:left="1800" w:hanging="720"/>
      </w:pPr>
      <w:rPr>
        <w:rFonts w:hint="default"/>
      </w:rPr>
    </w:lvl>
    <w:lvl w:ilvl="2" w:tplc="17A8CAD6">
      <w:start w:val="2"/>
      <w:numFmt w:val="upp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13B2813"/>
    <w:multiLevelType w:val="hybridMultilevel"/>
    <w:tmpl w:val="111CAAAE"/>
    <w:lvl w:ilvl="0" w:tplc="C6344128">
      <w:start w:val="5"/>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3C178F2"/>
    <w:multiLevelType w:val="multilevel"/>
    <w:tmpl w:val="62EEAA18"/>
    <w:lvl w:ilvl="0">
      <w:start w:val="12"/>
      <w:numFmt w:val="decimal"/>
      <w:lvlText w:val="%1"/>
      <w:lvlJc w:val="left"/>
      <w:pPr>
        <w:tabs>
          <w:tab w:val="num" w:pos="360"/>
        </w:tabs>
        <w:ind w:left="360" w:hanging="360"/>
      </w:pPr>
      <w:rPr>
        <w:rFonts w:hint="default"/>
      </w:rPr>
    </w:lvl>
    <w:lvl w:ilvl="1">
      <w:start w:val="5"/>
      <w:numFmt w:val="decimal"/>
      <w:lvlText w:val="%1.%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29">
    <w:nsid w:val="488E3B6A"/>
    <w:multiLevelType w:val="hybridMultilevel"/>
    <w:tmpl w:val="0B0E5304"/>
    <w:lvl w:ilvl="0" w:tplc="48DA24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EC06B10"/>
    <w:multiLevelType w:val="hybridMultilevel"/>
    <w:tmpl w:val="DDE07660"/>
    <w:lvl w:ilvl="0" w:tplc="72E66A9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0A75D6C"/>
    <w:multiLevelType w:val="hybridMultilevel"/>
    <w:tmpl w:val="9A4034BE"/>
    <w:lvl w:ilvl="0" w:tplc="7472DD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7E2AF1"/>
    <w:multiLevelType w:val="hybridMultilevel"/>
    <w:tmpl w:val="11F425C2"/>
    <w:lvl w:ilvl="0" w:tplc="4AE82FA2">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3">
    <w:nsid w:val="58D35648"/>
    <w:multiLevelType w:val="hybridMultilevel"/>
    <w:tmpl w:val="BDE803F6"/>
    <w:lvl w:ilvl="0" w:tplc="5C3002B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C0742F"/>
    <w:multiLevelType w:val="hybridMultilevel"/>
    <w:tmpl w:val="F9528BAC"/>
    <w:lvl w:ilvl="0" w:tplc="04090001">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5A787AAD"/>
    <w:multiLevelType w:val="hybridMultilevel"/>
    <w:tmpl w:val="DDEE96F0"/>
    <w:lvl w:ilvl="0" w:tplc="268073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8F5FF0"/>
    <w:multiLevelType w:val="hybridMultilevel"/>
    <w:tmpl w:val="10642A7A"/>
    <w:lvl w:ilvl="0" w:tplc="176033A2">
      <w:start w:val="1"/>
      <w:numFmt w:val="lowerLetter"/>
      <w:lvlText w:val="%1."/>
      <w:lvlJc w:val="left"/>
      <w:pPr>
        <w:ind w:left="171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622A2DBD"/>
    <w:multiLevelType w:val="multilevel"/>
    <w:tmpl w:val="AEEAB49E"/>
    <w:lvl w:ilvl="0">
      <w:start w:val="1"/>
      <w:numFmt w:val="decimal"/>
      <w:lvlText w:val="%1."/>
      <w:lvlJc w:val="left"/>
      <w:pPr>
        <w:tabs>
          <w:tab w:val="num" w:pos="360"/>
        </w:tabs>
        <w:ind w:left="360" w:hanging="360"/>
      </w:pPr>
    </w:lvl>
    <w:lvl w:ilvl="1">
      <w:start w:val="2"/>
      <w:numFmt w:val="decimal"/>
      <w:isLgl/>
      <w:lvlText w:val="%1.%2"/>
      <w:lvlJc w:val="left"/>
      <w:pPr>
        <w:tabs>
          <w:tab w:val="num" w:pos="720"/>
        </w:tabs>
        <w:ind w:left="720" w:hanging="72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8">
    <w:nsid w:val="652E6336"/>
    <w:multiLevelType w:val="hybridMultilevel"/>
    <w:tmpl w:val="A290DC1C"/>
    <w:lvl w:ilvl="0" w:tplc="40F2E73E">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9">
    <w:nsid w:val="653E3B2D"/>
    <w:multiLevelType w:val="hybridMultilevel"/>
    <w:tmpl w:val="1C7078C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96C2397"/>
    <w:multiLevelType w:val="hybridMultilevel"/>
    <w:tmpl w:val="2AFED284"/>
    <w:lvl w:ilvl="0" w:tplc="E53267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04E217C"/>
    <w:multiLevelType w:val="hybridMultilevel"/>
    <w:tmpl w:val="EE5E30A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2C82B64"/>
    <w:multiLevelType w:val="hybridMultilevel"/>
    <w:tmpl w:val="9606F156"/>
    <w:lvl w:ilvl="0" w:tplc="BDBC519E">
      <w:start w:val="1"/>
      <w:numFmt w:val="lowerLetter"/>
      <w:lvlText w:val="%1)"/>
      <w:lvlJc w:val="left"/>
      <w:pPr>
        <w:tabs>
          <w:tab w:val="num" w:pos="2160"/>
        </w:tabs>
        <w:ind w:left="2160" w:hanging="720"/>
      </w:pPr>
      <w:rPr>
        <w:rFonts w:hint="default"/>
      </w:rPr>
    </w:lvl>
    <w:lvl w:ilvl="1" w:tplc="04090001">
      <w:start w:val="1"/>
      <w:numFmt w:val="bullet"/>
      <w:lvlText w:val=""/>
      <w:lvlJc w:val="left"/>
      <w:pPr>
        <w:tabs>
          <w:tab w:val="num" w:pos="2520"/>
        </w:tabs>
        <w:ind w:left="2520" w:hanging="360"/>
      </w:pPr>
      <w:rPr>
        <w:rFonts w:ascii="Symbol" w:hAnsi="Symbol"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3">
    <w:nsid w:val="72DB1B9A"/>
    <w:multiLevelType w:val="hybridMultilevel"/>
    <w:tmpl w:val="C9D4766C"/>
    <w:lvl w:ilvl="0" w:tplc="B7467A80">
      <w:start w:val="1"/>
      <w:numFmt w:val="decimal"/>
      <w:lvlText w:val="%1."/>
      <w:lvlJc w:val="left"/>
      <w:pPr>
        <w:tabs>
          <w:tab w:val="num" w:pos="900"/>
        </w:tabs>
        <w:ind w:left="90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3083BB1"/>
    <w:multiLevelType w:val="hybridMultilevel"/>
    <w:tmpl w:val="31920466"/>
    <w:lvl w:ilvl="0" w:tplc="4009000F">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45">
    <w:nsid w:val="7C745492"/>
    <w:multiLevelType w:val="multilevel"/>
    <w:tmpl w:val="18A26F28"/>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num w:numId="1">
    <w:abstractNumId w:val="17"/>
  </w:num>
  <w:num w:numId="2">
    <w:abstractNumId w:val="45"/>
  </w:num>
  <w:num w:numId="3">
    <w:abstractNumId w:val="22"/>
  </w:num>
  <w:num w:numId="4">
    <w:abstractNumId w:val="2"/>
  </w:num>
  <w:num w:numId="5">
    <w:abstractNumId w:val="32"/>
  </w:num>
  <w:num w:numId="6">
    <w:abstractNumId w:val="6"/>
  </w:num>
  <w:num w:numId="7">
    <w:abstractNumId w:val="34"/>
  </w:num>
  <w:num w:numId="8">
    <w:abstractNumId w:val="38"/>
  </w:num>
  <w:num w:numId="9">
    <w:abstractNumId w:val="37"/>
  </w:num>
  <w:num w:numId="10">
    <w:abstractNumId w:val="0"/>
  </w:num>
  <w:num w:numId="11">
    <w:abstractNumId w:val="15"/>
  </w:num>
  <w:num w:numId="12">
    <w:abstractNumId w:val="16"/>
  </w:num>
  <w:num w:numId="13">
    <w:abstractNumId w:val="13"/>
  </w:num>
  <w:num w:numId="14">
    <w:abstractNumId w:val="24"/>
  </w:num>
  <w:num w:numId="15">
    <w:abstractNumId w:val="23"/>
  </w:num>
  <w:num w:numId="16">
    <w:abstractNumId w:val="30"/>
  </w:num>
  <w:num w:numId="17">
    <w:abstractNumId w:val="29"/>
  </w:num>
  <w:num w:numId="18">
    <w:abstractNumId w:val="12"/>
  </w:num>
  <w:num w:numId="19">
    <w:abstractNumId w:val="8"/>
  </w:num>
  <w:num w:numId="20">
    <w:abstractNumId w:val="21"/>
  </w:num>
  <w:num w:numId="21">
    <w:abstractNumId w:val="11"/>
  </w:num>
  <w:num w:numId="22">
    <w:abstractNumId w:val="42"/>
  </w:num>
  <w:num w:numId="23">
    <w:abstractNumId w:val="5"/>
  </w:num>
  <w:num w:numId="24">
    <w:abstractNumId w:val="39"/>
  </w:num>
  <w:num w:numId="25">
    <w:abstractNumId w:val="26"/>
  </w:num>
  <w:num w:numId="26">
    <w:abstractNumId w:val="9"/>
  </w:num>
  <w:num w:numId="27">
    <w:abstractNumId w:val="20"/>
  </w:num>
  <w:num w:numId="28">
    <w:abstractNumId w:val="44"/>
  </w:num>
  <w:num w:numId="29">
    <w:abstractNumId w:val="4"/>
  </w:num>
  <w:num w:numId="30">
    <w:abstractNumId w:val="27"/>
  </w:num>
  <w:num w:numId="31">
    <w:abstractNumId w:val="41"/>
  </w:num>
  <w:num w:numId="32">
    <w:abstractNumId w:val="28"/>
  </w:num>
  <w:num w:numId="33">
    <w:abstractNumId w:val="7"/>
  </w:num>
  <w:num w:numId="34">
    <w:abstractNumId w:val="10"/>
  </w:num>
  <w:num w:numId="35">
    <w:abstractNumId w:val="14"/>
  </w:num>
  <w:num w:numId="36">
    <w:abstractNumId w:val="33"/>
  </w:num>
  <w:num w:numId="37">
    <w:abstractNumId w:val="36"/>
  </w:num>
  <w:num w:numId="38">
    <w:abstractNumId w:val="3"/>
  </w:num>
  <w:num w:numId="39">
    <w:abstractNumId w:val="40"/>
  </w:num>
  <w:num w:numId="40">
    <w:abstractNumId w:val="18"/>
  </w:num>
  <w:num w:numId="41">
    <w:abstractNumId w:val="35"/>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19"/>
  </w:num>
  <w:num w:numId="45">
    <w:abstractNumId w:val="31"/>
  </w:num>
  <w:num w:numId="46">
    <w:abstractNumId w:val="25"/>
  </w:num>
  <w:num w:numId="47">
    <w:abstractNumId w:val="45"/>
  </w:num>
  <w:num w:numId="48">
    <w:abstractNumId w:val="4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1F6E30"/>
    <w:rsid w:val="0000039D"/>
    <w:rsid w:val="00000799"/>
    <w:rsid w:val="00000E18"/>
    <w:rsid w:val="00000E5D"/>
    <w:rsid w:val="00001502"/>
    <w:rsid w:val="00001A80"/>
    <w:rsid w:val="00001BD3"/>
    <w:rsid w:val="00001D79"/>
    <w:rsid w:val="0000218A"/>
    <w:rsid w:val="00002E1F"/>
    <w:rsid w:val="00002F92"/>
    <w:rsid w:val="00003414"/>
    <w:rsid w:val="00003794"/>
    <w:rsid w:val="00003B2E"/>
    <w:rsid w:val="00004CCF"/>
    <w:rsid w:val="00005041"/>
    <w:rsid w:val="0000534C"/>
    <w:rsid w:val="000069F4"/>
    <w:rsid w:val="00006F02"/>
    <w:rsid w:val="00007378"/>
    <w:rsid w:val="0000779D"/>
    <w:rsid w:val="00007842"/>
    <w:rsid w:val="00007BCC"/>
    <w:rsid w:val="00007D69"/>
    <w:rsid w:val="0001067F"/>
    <w:rsid w:val="00010F87"/>
    <w:rsid w:val="00011DEC"/>
    <w:rsid w:val="00012843"/>
    <w:rsid w:val="00012F76"/>
    <w:rsid w:val="000132D0"/>
    <w:rsid w:val="00013FDF"/>
    <w:rsid w:val="00014164"/>
    <w:rsid w:val="00014797"/>
    <w:rsid w:val="00014969"/>
    <w:rsid w:val="00014D0C"/>
    <w:rsid w:val="00014E8E"/>
    <w:rsid w:val="000153B2"/>
    <w:rsid w:val="000158CA"/>
    <w:rsid w:val="00015A50"/>
    <w:rsid w:val="00015AF3"/>
    <w:rsid w:val="00015BC1"/>
    <w:rsid w:val="00016282"/>
    <w:rsid w:val="00017641"/>
    <w:rsid w:val="00020B5F"/>
    <w:rsid w:val="00021798"/>
    <w:rsid w:val="00021DEB"/>
    <w:rsid w:val="00022466"/>
    <w:rsid w:val="00022807"/>
    <w:rsid w:val="00022A5A"/>
    <w:rsid w:val="00023146"/>
    <w:rsid w:val="00023208"/>
    <w:rsid w:val="00024067"/>
    <w:rsid w:val="0002502E"/>
    <w:rsid w:val="00025ED8"/>
    <w:rsid w:val="000263BA"/>
    <w:rsid w:val="00026943"/>
    <w:rsid w:val="00026A4F"/>
    <w:rsid w:val="00026A82"/>
    <w:rsid w:val="00027596"/>
    <w:rsid w:val="000279ED"/>
    <w:rsid w:val="00030257"/>
    <w:rsid w:val="00031259"/>
    <w:rsid w:val="000313B2"/>
    <w:rsid w:val="0003150D"/>
    <w:rsid w:val="00032217"/>
    <w:rsid w:val="00032D17"/>
    <w:rsid w:val="0003310C"/>
    <w:rsid w:val="00033403"/>
    <w:rsid w:val="00033B18"/>
    <w:rsid w:val="00033CBA"/>
    <w:rsid w:val="00033CEE"/>
    <w:rsid w:val="00034AAB"/>
    <w:rsid w:val="000357A3"/>
    <w:rsid w:val="00036299"/>
    <w:rsid w:val="000364B8"/>
    <w:rsid w:val="00036F07"/>
    <w:rsid w:val="0003712D"/>
    <w:rsid w:val="00037E8D"/>
    <w:rsid w:val="00040453"/>
    <w:rsid w:val="00040BDA"/>
    <w:rsid w:val="00040EB6"/>
    <w:rsid w:val="00041578"/>
    <w:rsid w:val="000419EB"/>
    <w:rsid w:val="0004225A"/>
    <w:rsid w:val="00042273"/>
    <w:rsid w:val="00042476"/>
    <w:rsid w:val="00042C5F"/>
    <w:rsid w:val="00042C9E"/>
    <w:rsid w:val="00043149"/>
    <w:rsid w:val="00043A47"/>
    <w:rsid w:val="00043DB4"/>
    <w:rsid w:val="00043E11"/>
    <w:rsid w:val="00044AE8"/>
    <w:rsid w:val="000450C8"/>
    <w:rsid w:val="00045168"/>
    <w:rsid w:val="00045224"/>
    <w:rsid w:val="00045553"/>
    <w:rsid w:val="00045DE0"/>
    <w:rsid w:val="00045E00"/>
    <w:rsid w:val="00046102"/>
    <w:rsid w:val="000462AB"/>
    <w:rsid w:val="00046A76"/>
    <w:rsid w:val="0004702E"/>
    <w:rsid w:val="00050210"/>
    <w:rsid w:val="000507C9"/>
    <w:rsid w:val="000513F5"/>
    <w:rsid w:val="00051A9C"/>
    <w:rsid w:val="00051C65"/>
    <w:rsid w:val="000520B4"/>
    <w:rsid w:val="000532D6"/>
    <w:rsid w:val="0005376F"/>
    <w:rsid w:val="00053962"/>
    <w:rsid w:val="00055472"/>
    <w:rsid w:val="0005636B"/>
    <w:rsid w:val="0005766B"/>
    <w:rsid w:val="00057BF0"/>
    <w:rsid w:val="000619E1"/>
    <w:rsid w:val="00061BE5"/>
    <w:rsid w:val="00062177"/>
    <w:rsid w:val="00062A2B"/>
    <w:rsid w:val="00062E82"/>
    <w:rsid w:val="000630F2"/>
    <w:rsid w:val="00063229"/>
    <w:rsid w:val="000636CD"/>
    <w:rsid w:val="00063ACF"/>
    <w:rsid w:val="0006409A"/>
    <w:rsid w:val="00065A20"/>
    <w:rsid w:val="000669F4"/>
    <w:rsid w:val="00066F0C"/>
    <w:rsid w:val="00067BA8"/>
    <w:rsid w:val="00070DAB"/>
    <w:rsid w:val="00072B95"/>
    <w:rsid w:val="00072C68"/>
    <w:rsid w:val="00072D10"/>
    <w:rsid w:val="00073552"/>
    <w:rsid w:val="0007376A"/>
    <w:rsid w:val="00073936"/>
    <w:rsid w:val="000740B3"/>
    <w:rsid w:val="00074EDD"/>
    <w:rsid w:val="00075537"/>
    <w:rsid w:val="00075610"/>
    <w:rsid w:val="00075F7D"/>
    <w:rsid w:val="000767E3"/>
    <w:rsid w:val="000769B8"/>
    <w:rsid w:val="00077C3B"/>
    <w:rsid w:val="00077F99"/>
    <w:rsid w:val="0008012F"/>
    <w:rsid w:val="000801FC"/>
    <w:rsid w:val="000802FF"/>
    <w:rsid w:val="000806DC"/>
    <w:rsid w:val="000808A8"/>
    <w:rsid w:val="000808D9"/>
    <w:rsid w:val="00080B6E"/>
    <w:rsid w:val="000814F4"/>
    <w:rsid w:val="00081C50"/>
    <w:rsid w:val="00081CC4"/>
    <w:rsid w:val="00082055"/>
    <w:rsid w:val="00082B62"/>
    <w:rsid w:val="00082DA7"/>
    <w:rsid w:val="000830E4"/>
    <w:rsid w:val="00083DBF"/>
    <w:rsid w:val="00083E12"/>
    <w:rsid w:val="00084044"/>
    <w:rsid w:val="00084B74"/>
    <w:rsid w:val="00084CD3"/>
    <w:rsid w:val="0008528E"/>
    <w:rsid w:val="000866C7"/>
    <w:rsid w:val="0008672D"/>
    <w:rsid w:val="00086D7C"/>
    <w:rsid w:val="00086F9C"/>
    <w:rsid w:val="00087A46"/>
    <w:rsid w:val="00090117"/>
    <w:rsid w:val="000905C4"/>
    <w:rsid w:val="00090D15"/>
    <w:rsid w:val="000917A6"/>
    <w:rsid w:val="0009181F"/>
    <w:rsid w:val="00091DA3"/>
    <w:rsid w:val="00092064"/>
    <w:rsid w:val="00092D64"/>
    <w:rsid w:val="00093086"/>
    <w:rsid w:val="000934BE"/>
    <w:rsid w:val="00093DC6"/>
    <w:rsid w:val="0009422A"/>
    <w:rsid w:val="00094DF6"/>
    <w:rsid w:val="000956DE"/>
    <w:rsid w:val="000969BE"/>
    <w:rsid w:val="000970BB"/>
    <w:rsid w:val="00097BC3"/>
    <w:rsid w:val="00097FD9"/>
    <w:rsid w:val="000A092C"/>
    <w:rsid w:val="000A0EB8"/>
    <w:rsid w:val="000A0F95"/>
    <w:rsid w:val="000A1133"/>
    <w:rsid w:val="000A1245"/>
    <w:rsid w:val="000A1B94"/>
    <w:rsid w:val="000A1F70"/>
    <w:rsid w:val="000A23E7"/>
    <w:rsid w:val="000A2680"/>
    <w:rsid w:val="000A33CE"/>
    <w:rsid w:val="000A34AF"/>
    <w:rsid w:val="000A3B01"/>
    <w:rsid w:val="000A4CE7"/>
    <w:rsid w:val="000A5180"/>
    <w:rsid w:val="000A62E0"/>
    <w:rsid w:val="000B029A"/>
    <w:rsid w:val="000B07BE"/>
    <w:rsid w:val="000B0B11"/>
    <w:rsid w:val="000B163B"/>
    <w:rsid w:val="000B1A22"/>
    <w:rsid w:val="000B2906"/>
    <w:rsid w:val="000B3698"/>
    <w:rsid w:val="000B3A65"/>
    <w:rsid w:val="000B3F52"/>
    <w:rsid w:val="000B5244"/>
    <w:rsid w:val="000B560A"/>
    <w:rsid w:val="000B5699"/>
    <w:rsid w:val="000B584C"/>
    <w:rsid w:val="000B5B8A"/>
    <w:rsid w:val="000B6AD0"/>
    <w:rsid w:val="000B6B5B"/>
    <w:rsid w:val="000B6E77"/>
    <w:rsid w:val="000B6F9E"/>
    <w:rsid w:val="000B70DD"/>
    <w:rsid w:val="000B7808"/>
    <w:rsid w:val="000B7AB6"/>
    <w:rsid w:val="000B7AF0"/>
    <w:rsid w:val="000C057E"/>
    <w:rsid w:val="000C092B"/>
    <w:rsid w:val="000C1ACF"/>
    <w:rsid w:val="000C1F2D"/>
    <w:rsid w:val="000C245C"/>
    <w:rsid w:val="000C28A6"/>
    <w:rsid w:val="000C307B"/>
    <w:rsid w:val="000C3205"/>
    <w:rsid w:val="000C3331"/>
    <w:rsid w:val="000C3809"/>
    <w:rsid w:val="000C3B29"/>
    <w:rsid w:val="000C4668"/>
    <w:rsid w:val="000C519F"/>
    <w:rsid w:val="000C51D4"/>
    <w:rsid w:val="000C6C66"/>
    <w:rsid w:val="000C6F64"/>
    <w:rsid w:val="000C7050"/>
    <w:rsid w:val="000C773F"/>
    <w:rsid w:val="000C7BA4"/>
    <w:rsid w:val="000C7E00"/>
    <w:rsid w:val="000D013A"/>
    <w:rsid w:val="000D043D"/>
    <w:rsid w:val="000D0A10"/>
    <w:rsid w:val="000D0BFF"/>
    <w:rsid w:val="000D0CE8"/>
    <w:rsid w:val="000D143B"/>
    <w:rsid w:val="000D1A83"/>
    <w:rsid w:val="000D1C72"/>
    <w:rsid w:val="000D1E4D"/>
    <w:rsid w:val="000D2A03"/>
    <w:rsid w:val="000D36A6"/>
    <w:rsid w:val="000D3E66"/>
    <w:rsid w:val="000D4050"/>
    <w:rsid w:val="000D44F8"/>
    <w:rsid w:val="000D54B2"/>
    <w:rsid w:val="000D58AC"/>
    <w:rsid w:val="000D621B"/>
    <w:rsid w:val="000D6483"/>
    <w:rsid w:val="000D68FC"/>
    <w:rsid w:val="000D6987"/>
    <w:rsid w:val="000D7CF4"/>
    <w:rsid w:val="000E012B"/>
    <w:rsid w:val="000E0FCA"/>
    <w:rsid w:val="000E1141"/>
    <w:rsid w:val="000E11ED"/>
    <w:rsid w:val="000E1F51"/>
    <w:rsid w:val="000E22E5"/>
    <w:rsid w:val="000E28E5"/>
    <w:rsid w:val="000E4495"/>
    <w:rsid w:val="000E49E1"/>
    <w:rsid w:val="000E4F74"/>
    <w:rsid w:val="000E53C8"/>
    <w:rsid w:val="000E67DC"/>
    <w:rsid w:val="000E76D3"/>
    <w:rsid w:val="000E7F01"/>
    <w:rsid w:val="000F047C"/>
    <w:rsid w:val="000F1162"/>
    <w:rsid w:val="000F2844"/>
    <w:rsid w:val="000F29AA"/>
    <w:rsid w:val="000F31CE"/>
    <w:rsid w:val="000F381B"/>
    <w:rsid w:val="000F39FB"/>
    <w:rsid w:val="000F3F24"/>
    <w:rsid w:val="000F5114"/>
    <w:rsid w:val="000F5637"/>
    <w:rsid w:val="000F6A44"/>
    <w:rsid w:val="000F6ECC"/>
    <w:rsid w:val="000F7FFA"/>
    <w:rsid w:val="00100285"/>
    <w:rsid w:val="001002B0"/>
    <w:rsid w:val="001008B5"/>
    <w:rsid w:val="0010113C"/>
    <w:rsid w:val="00101323"/>
    <w:rsid w:val="00101324"/>
    <w:rsid w:val="0010180A"/>
    <w:rsid w:val="00102125"/>
    <w:rsid w:val="0010282F"/>
    <w:rsid w:val="0010302B"/>
    <w:rsid w:val="001039F9"/>
    <w:rsid w:val="00103E60"/>
    <w:rsid w:val="00104CD6"/>
    <w:rsid w:val="00105A1B"/>
    <w:rsid w:val="0010673D"/>
    <w:rsid w:val="0010710F"/>
    <w:rsid w:val="001101FD"/>
    <w:rsid w:val="0011066D"/>
    <w:rsid w:val="001109E8"/>
    <w:rsid w:val="00110C69"/>
    <w:rsid w:val="00110E27"/>
    <w:rsid w:val="00111620"/>
    <w:rsid w:val="00111634"/>
    <w:rsid w:val="00111B01"/>
    <w:rsid w:val="0011287B"/>
    <w:rsid w:val="00112BDD"/>
    <w:rsid w:val="00112E36"/>
    <w:rsid w:val="00113EA9"/>
    <w:rsid w:val="00113FAA"/>
    <w:rsid w:val="00114343"/>
    <w:rsid w:val="00114410"/>
    <w:rsid w:val="0011508C"/>
    <w:rsid w:val="0011592A"/>
    <w:rsid w:val="00115AFF"/>
    <w:rsid w:val="00116097"/>
    <w:rsid w:val="001161F7"/>
    <w:rsid w:val="001162AD"/>
    <w:rsid w:val="00116779"/>
    <w:rsid w:val="00116E33"/>
    <w:rsid w:val="00117796"/>
    <w:rsid w:val="00117D9A"/>
    <w:rsid w:val="0012030D"/>
    <w:rsid w:val="001218D9"/>
    <w:rsid w:val="00122154"/>
    <w:rsid w:val="00122766"/>
    <w:rsid w:val="001252A9"/>
    <w:rsid w:val="001264E8"/>
    <w:rsid w:val="001265F1"/>
    <w:rsid w:val="00126916"/>
    <w:rsid w:val="001269E4"/>
    <w:rsid w:val="00126EB1"/>
    <w:rsid w:val="00127ABE"/>
    <w:rsid w:val="00130958"/>
    <w:rsid w:val="00130C2F"/>
    <w:rsid w:val="00130CA9"/>
    <w:rsid w:val="001312EA"/>
    <w:rsid w:val="001315F5"/>
    <w:rsid w:val="001325BD"/>
    <w:rsid w:val="0013348E"/>
    <w:rsid w:val="001334A6"/>
    <w:rsid w:val="00133CC6"/>
    <w:rsid w:val="00133FD8"/>
    <w:rsid w:val="0013482D"/>
    <w:rsid w:val="00135135"/>
    <w:rsid w:val="0013554D"/>
    <w:rsid w:val="00135863"/>
    <w:rsid w:val="00135EE9"/>
    <w:rsid w:val="001363C7"/>
    <w:rsid w:val="00136E9C"/>
    <w:rsid w:val="00136EDA"/>
    <w:rsid w:val="0013700A"/>
    <w:rsid w:val="001371E3"/>
    <w:rsid w:val="00137480"/>
    <w:rsid w:val="0013796A"/>
    <w:rsid w:val="00141263"/>
    <w:rsid w:val="00141306"/>
    <w:rsid w:val="00141919"/>
    <w:rsid w:val="001426DF"/>
    <w:rsid w:val="00142DD9"/>
    <w:rsid w:val="001430DA"/>
    <w:rsid w:val="00143B79"/>
    <w:rsid w:val="00143C70"/>
    <w:rsid w:val="00144344"/>
    <w:rsid w:val="00144C81"/>
    <w:rsid w:val="00144ED8"/>
    <w:rsid w:val="001459EE"/>
    <w:rsid w:val="00145AB6"/>
    <w:rsid w:val="00145ED6"/>
    <w:rsid w:val="00146256"/>
    <w:rsid w:val="0014646C"/>
    <w:rsid w:val="00146C9F"/>
    <w:rsid w:val="00146D48"/>
    <w:rsid w:val="00146DB1"/>
    <w:rsid w:val="00146F3A"/>
    <w:rsid w:val="00147631"/>
    <w:rsid w:val="00147842"/>
    <w:rsid w:val="00147B5F"/>
    <w:rsid w:val="00147E5F"/>
    <w:rsid w:val="00150204"/>
    <w:rsid w:val="00151033"/>
    <w:rsid w:val="00151353"/>
    <w:rsid w:val="00151386"/>
    <w:rsid w:val="0015161B"/>
    <w:rsid w:val="001516CC"/>
    <w:rsid w:val="0015182A"/>
    <w:rsid w:val="00151DF7"/>
    <w:rsid w:val="0015224E"/>
    <w:rsid w:val="001522B6"/>
    <w:rsid w:val="001525DC"/>
    <w:rsid w:val="00152A1C"/>
    <w:rsid w:val="00152DC5"/>
    <w:rsid w:val="0015319D"/>
    <w:rsid w:val="001531C9"/>
    <w:rsid w:val="00153A2C"/>
    <w:rsid w:val="001541AF"/>
    <w:rsid w:val="0015437A"/>
    <w:rsid w:val="00154BB4"/>
    <w:rsid w:val="00155684"/>
    <w:rsid w:val="00156038"/>
    <w:rsid w:val="00156953"/>
    <w:rsid w:val="0015797C"/>
    <w:rsid w:val="00157CAD"/>
    <w:rsid w:val="00160ACB"/>
    <w:rsid w:val="001631D8"/>
    <w:rsid w:val="00163631"/>
    <w:rsid w:val="00163738"/>
    <w:rsid w:val="00163829"/>
    <w:rsid w:val="0016383A"/>
    <w:rsid w:val="0016399A"/>
    <w:rsid w:val="00163F1B"/>
    <w:rsid w:val="0016403C"/>
    <w:rsid w:val="00164949"/>
    <w:rsid w:val="00165042"/>
    <w:rsid w:val="00165605"/>
    <w:rsid w:val="0016563E"/>
    <w:rsid w:val="00165C07"/>
    <w:rsid w:val="00166BF1"/>
    <w:rsid w:val="00166CD8"/>
    <w:rsid w:val="0016795B"/>
    <w:rsid w:val="001679B6"/>
    <w:rsid w:val="001701B1"/>
    <w:rsid w:val="001705DD"/>
    <w:rsid w:val="0017130C"/>
    <w:rsid w:val="0017141D"/>
    <w:rsid w:val="0017178F"/>
    <w:rsid w:val="0017189C"/>
    <w:rsid w:val="00171CC4"/>
    <w:rsid w:val="00172766"/>
    <w:rsid w:val="00174AC8"/>
    <w:rsid w:val="00175244"/>
    <w:rsid w:val="0017555A"/>
    <w:rsid w:val="00175A54"/>
    <w:rsid w:val="00175F1B"/>
    <w:rsid w:val="0017691B"/>
    <w:rsid w:val="0017694E"/>
    <w:rsid w:val="001769C5"/>
    <w:rsid w:val="00176C0F"/>
    <w:rsid w:val="00177124"/>
    <w:rsid w:val="00177CE3"/>
    <w:rsid w:val="0018016F"/>
    <w:rsid w:val="00180291"/>
    <w:rsid w:val="001805ED"/>
    <w:rsid w:val="00180757"/>
    <w:rsid w:val="001809A9"/>
    <w:rsid w:val="00180A3A"/>
    <w:rsid w:val="0018204E"/>
    <w:rsid w:val="0018260D"/>
    <w:rsid w:val="00183335"/>
    <w:rsid w:val="00183804"/>
    <w:rsid w:val="00183D5F"/>
    <w:rsid w:val="00184371"/>
    <w:rsid w:val="00185411"/>
    <w:rsid w:val="00185A19"/>
    <w:rsid w:val="00185B41"/>
    <w:rsid w:val="00185EF9"/>
    <w:rsid w:val="00186776"/>
    <w:rsid w:val="0018696E"/>
    <w:rsid w:val="001878B2"/>
    <w:rsid w:val="00187BDD"/>
    <w:rsid w:val="00190BEC"/>
    <w:rsid w:val="0019106E"/>
    <w:rsid w:val="00191270"/>
    <w:rsid w:val="001923E2"/>
    <w:rsid w:val="0019284B"/>
    <w:rsid w:val="00192CBC"/>
    <w:rsid w:val="00192CBF"/>
    <w:rsid w:val="00192EBE"/>
    <w:rsid w:val="00193580"/>
    <w:rsid w:val="00193801"/>
    <w:rsid w:val="001940D9"/>
    <w:rsid w:val="001941EA"/>
    <w:rsid w:val="00194C8B"/>
    <w:rsid w:val="001951B4"/>
    <w:rsid w:val="00195E8A"/>
    <w:rsid w:val="001963CD"/>
    <w:rsid w:val="00196478"/>
    <w:rsid w:val="00197678"/>
    <w:rsid w:val="001A00B6"/>
    <w:rsid w:val="001A0173"/>
    <w:rsid w:val="001A0CDD"/>
    <w:rsid w:val="001A1277"/>
    <w:rsid w:val="001A172F"/>
    <w:rsid w:val="001A231F"/>
    <w:rsid w:val="001A2581"/>
    <w:rsid w:val="001A2986"/>
    <w:rsid w:val="001A2BFC"/>
    <w:rsid w:val="001A315B"/>
    <w:rsid w:val="001A342C"/>
    <w:rsid w:val="001A4041"/>
    <w:rsid w:val="001A4311"/>
    <w:rsid w:val="001A4E2E"/>
    <w:rsid w:val="001A5485"/>
    <w:rsid w:val="001A5AAA"/>
    <w:rsid w:val="001A5B8D"/>
    <w:rsid w:val="001A5F43"/>
    <w:rsid w:val="001A6464"/>
    <w:rsid w:val="001A6518"/>
    <w:rsid w:val="001A6E19"/>
    <w:rsid w:val="001A6FAE"/>
    <w:rsid w:val="001A73D0"/>
    <w:rsid w:val="001B03B3"/>
    <w:rsid w:val="001B0438"/>
    <w:rsid w:val="001B0C0B"/>
    <w:rsid w:val="001B1096"/>
    <w:rsid w:val="001B1B7C"/>
    <w:rsid w:val="001B2134"/>
    <w:rsid w:val="001B2720"/>
    <w:rsid w:val="001B30C1"/>
    <w:rsid w:val="001B31F5"/>
    <w:rsid w:val="001B347D"/>
    <w:rsid w:val="001B359B"/>
    <w:rsid w:val="001B3A6F"/>
    <w:rsid w:val="001B54AD"/>
    <w:rsid w:val="001B5518"/>
    <w:rsid w:val="001B599D"/>
    <w:rsid w:val="001B6355"/>
    <w:rsid w:val="001B733A"/>
    <w:rsid w:val="001B73D0"/>
    <w:rsid w:val="001B7DBB"/>
    <w:rsid w:val="001C0149"/>
    <w:rsid w:val="001C01EB"/>
    <w:rsid w:val="001C05E2"/>
    <w:rsid w:val="001C067F"/>
    <w:rsid w:val="001C1110"/>
    <w:rsid w:val="001C12DD"/>
    <w:rsid w:val="001C176F"/>
    <w:rsid w:val="001C1905"/>
    <w:rsid w:val="001C1A35"/>
    <w:rsid w:val="001C1D99"/>
    <w:rsid w:val="001C21A3"/>
    <w:rsid w:val="001C24B1"/>
    <w:rsid w:val="001C264B"/>
    <w:rsid w:val="001C2735"/>
    <w:rsid w:val="001C2775"/>
    <w:rsid w:val="001C2C8E"/>
    <w:rsid w:val="001C2F05"/>
    <w:rsid w:val="001C300D"/>
    <w:rsid w:val="001C334C"/>
    <w:rsid w:val="001C348D"/>
    <w:rsid w:val="001C3953"/>
    <w:rsid w:val="001C39F0"/>
    <w:rsid w:val="001C3DD7"/>
    <w:rsid w:val="001C4155"/>
    <w:rsid w:val="001C4CA2"/>
    <w:rsid w:val="001C526F"/>
    <w:rsid w:val="001C5629"/>
    <w:rsid w:val="001C58E8"/>
    <w:rsid w:val="001C5DB3"/>
    <w:rsid w:val="001C6279"/>
    <w:rsid w:val="001C682F"/>
    <w:rsid w:val="001C758E"/>
    <w:rsid w:val="001C7D67"/>
    <w:rsid w:val="001D1632"/>
    <w:rsid w:val="001D1658"/>
    <w:rsid w:val="001D16BD"/>
    <w:rsid w:val="001D1793"/>
    <w:rsid w:val="001D1A6E"/>
    <w:rsid w:val="001D31EB"/>
    <w:rsid w:val="001D452D"/>
    <w:rsid w:val="001D47FB"/>
    <w:rsid w:val="001D48C9"/>
    <w:rsid w:val="001D4BBB"/>
    <w:rsid w:val="001D51AC"/>
    <w:rsid w:val="001D7A1C"/>
    <w:rsid w:val="001E04EB"/>
    <w:rsid w:val="001E0773"/>
    <w:rsid w:val="001E123F"/>
    <w:rsid w:val="001E1789"/>
    <w:rsid w:val="001E1F42"/>
    <w:rsid w:val="001E1FD1"/>
    <w:rsid w:val="001E2381"/>
    <w:rsid w:val="001E29EA"/>
    <w:rsid w:val="001E3450"/>
    <w:rsid w:val="001E3A7D"/>
    <w:rsid w:val="001E4C47"/>
    <w:rsid w:val="001E4F14"/>
    <w:rsid w:val="001E52A1"/>
    <w:rsid w:val="001E5361"/>
    <w:rsid w:val="001E5376"/>
    <w:rsid w:val="001E54B0"/>
    <w:rsid w:val="001E5830"/>
    <w:rsid w:val="001E59F0"/>
    <w:rsid w:val="001E5C05"/>
    <w:rsid w:val="001E6426"/>
    <w:rsid w:val="001E64F7"/>
    <w:rsid w:val="001E6F20"/>
    <w:rsid w:val="001E7E29"/>
    <w:rsid w:val="001F07EC"/>
    <w:rsid w:val="001F10B1"/>
    <w:rsid w:val="001F1C76"/>
    <w:rsid w:val="001F1FE4"/>
    <w:rsid w:val="001F2567"/>
    <w:rsid w:val="001F2857"/>
    <w:rsid w:val="001F28AE"/>
    <w:rsid w:val="001F28B8"/>
    <w:rsid w:val="001F2C8B"/>
    <w:rsid w:val="001F3281"/>
    <w:rsid w:val="001F4534"/>
    <w:rsid w:val="001F4F03"/>
    <w:rsid w:val="001F523B"/>
    <w:rsid w:val="001F53F0"/>
    <w:rsid w:val="001F58AB"/>
    <w:rsid w:val="001F5984"/>
    <w:rsid w:val="001F6384"/>
    <w:rsid w:val="001F678D"/>
    <w:rsid w:val="001F6991"/>
    <w:rsid w:val="001F6E30"/>
    <w:rsid w:val="001F7070"/>
    <w:rsid w:val="00200024"/>
    <w:rsid w:val="002001AA"/>
    <w:rsid w:val="0020024C"/>
    <w:rsid w:val="002010DA"/>
    <w:rsid w:val="00201625"/>
    <w:rsid w:val="002026E2"/>
    <w:rsid w:val="00202AA5"/>
    <w:rsid w:val="002033BD"/>
    <w:rsid w:val="00203461"/>
    <w:rsid w:val="0020363B"/>
    <w:rsid w:val="00203FCA"/>
    <w:rsid w:val="00204652"/>
    <w:rsid w:val="00204E64"/>
    <w:rsid w:val="0020503A"/>
    <w:rsid w:val="002054A2"/>
    <w:rsid w:val="002054BC"/>
    <w:rsid w:val="002058F9"/>
    <w:rsid w:val="0020664D"/>
    <w:rsid w:val="0020671A"/>
    <w:rsid w:val="00206798"/>
    <w:rsid w:val="00206F00"/>
    <w:rsid w:val="00206F99"/>
    <w:rsid w:val="00207187"/>
    <w:rsid w:val="0020777D"/>
    <w:rsid w:val="002077FB"/>
    <w:rsid w:val="0021075B"/>
    <w:rsid w:val="00210934"/>
    <w:rsid w:val="002116D5"/>
    <w:rsid w:val="00211730"/>
    <w:rsid w:val="00211C7F"/>
    <w:rsid w:val="00212146"/>
    <w:rsid w:val="0021270D"/>
    <w:rsid w:val="00212C86"/>
    <w:rsid w:val="002133CA"/>
    <w:rsid w:val="0021398D"/>
    <w:rsid w:val="002148D3"/>
    <w:rsid w:val="0021491A"/>
    <w:rsid w:val="00214999"/>
    <w:rsid w:val="00214F19"/>
    <w:rsid w:val="00215139"/>
    <w:rsid w:val="00216938"/>
    <w:rsid w:val="0021788D"/>
    <w:rsid w:val="002178FB"/>
    <w:rsid w:val="0021793B"/>
    <w:rsid w:val="00217F71"/>
    <w:rsid w:val="002202F2"/>
    <w:rsid w:val="00221061"/>
    <w:rsid w:val="002212AF"/>
    <w:rsid w:val="002215AC"/>
    <w:rsid w:val="00221CB1"/>
    <w:rsid w:val="00221DEC"/>
    <w:rsid w:val="002220D5"/>
    <w:rsid w:val="00222579"/>
    <w:rsid w:val="00222B1C"/>
    <w:rsid w:val="00222F7F"/>
    <w:rsid w:val="002231A6"/>
    <w:rsid w:val="00223730"/>
    <w:rsid w:val="002238B3"/>
    <w:rsid w:val="00224203"/>
    <w:rsid w:val="00224535"/>
    <w:rsid w:val="002246A0"/>
    <w:rsid w:val="00224C8C"/>
    <w:rsid w:val="00225924"/>
    <w:rsid w:val="00226069"/>
    <w:rsid w:val="00226B34"/>
    <w:rsid w:val="0022745E"/>
    <w:rsid w:val="0023004B"/>
    <w:rsid w:val="00230B8C"/>
    <w:rsid w:val="00230D00"/>
    <w:rsid w:val="002313E4"/>
    <w:rsid w:val="00231EB1"/>
    <w:rsid w:val="002326CE"/>
    <w:rsid w:val="00232DD9"/>
    <w:rsid w:val="00232F0C"/>
    <w:rsid w:val="002334D5"/>
    <w:rsid w:val="0023479F"/>
    <w:rsid w:val="00234907"/>
    <w:rsid w:val="00235523"/>
    <w:rsid w:val="00235E34"/>
    <w:rsid w:val="00235E68"/>
    <w:rsid w:val="00235EC5"/>
    <w:rsid w:val="00236932"/>
    <w:rsid w:val="00236A97"/>
    <w:rsid w:val="00237D9D"/>
    <w:rsid w:val="0024002E"/>
    <w:rsid w:val="002400B8"/>
    <w:rsid w:val="0024013B"/>
    <w:rsid w:val="002401AF"/>
    <w:rsid w:val="00240757"/>
    <w:rsid w:val="00241004"/>
    <w:rsid w:val="00241AEC"/>
    <w:rsid w:val="00242BB8"/>
    <w:rsid w:val="00243137"/>
    <w:rsid w:val="00243696"/>
    <w:rsid w:val="00243B76"/>
    <w:rsid w:val="00244035"/>
    <w:rsid w:val="002448E2"/>
    <w:rsid w:val="00244E28"/>
    <w:rsid w:val="002450A2"/>
    <w:rsid w:val="002456D6"/>
    <w:rsid w:val="0024599E"/>
    <w:rsid w:val="00245FD2"/>
    <w:rsid w:val="00246041"/>
    <w:rsid w:val="0024690B"/>
    <w:rsid w:val="00246DB7"/>
    <w:rsid w:val="00246F11"/>
    <w:rsid w:val="00246F8E"/>
    <w:rsid w:val="00247837"/>
    <w:rsid w:val="00247870"/>
    <w:rsid w:val="002479BE"/>
    <w:rsid w:val="00247D23"/>
    <w:rsid w:val="00250DED"/>
    <w:rsid w:val="0025109C"/>
    <w:rsid w:val="002510A1"/>
    <w:rsid w:val="002510F3"/>
    <w:rsid w:val="00251363"/>
    <w:rsid w:val="0025149A"/>
    <w:rsid w:val="0025154F"/>
    <w:rsid w:val="00251DEC"/>
    <w:rsid w:val="00251E6D"/>
    <w:rsid w:val="0025246E"/>
    <w:rsid w:val="00252B11"/>
    <w:rsid w:val="00252BA4"/>
    <w:rsid w:val="00252EEE"/>
    <w:rsid w:val="002547D5"/>
    <w:rsid w:val="00254AB9"/>
    <w:rsid w:val="00255037"/>
    <w:rsid w:val="002554F1"/>
    <w:rsid w:val="002563B9"/>
    <w:rsid w:val="00256431"/>
    <w:rsid w:val="00256DE0"/>
    <w:rsid w:val="00256DFF"/>
    <w:rsid w:val="00256E78"/>
    <w:rsid w:val="00257840"/>
    <w:rsid w:val="00257AC0"/>
    <w:rsid w:val="00260377"/>
    <w:rsid w:val="00260A3E"/>
    <w:rsid w:val="00260A93"/>
    <w:rsid w:val="00260FF4"/>
    <w:rsid w:val="00261453"/>
    <w:rsid w:val="00261529"/>
    <w:rsid w:val="0026176D"/>
    <w:rsid w:val="00262E6F"/>
    <w:rsid w:val="0026377E"/>
    <w:rsid w:val="00263C57"/>
    <w:rsid w:val="00263FD0"/>
    <w:rsid w:val="0026426C"/>
    <w:rsid w:val="002646B4"/>
    <w:rsid w:val="00264739"/>
    <w:rsid w:val="00264BEA"/>
    <w:rsid w:val="002653D4"/>
    <w:rsid w:val="00265688"/>
    <w:rsid w:val="00265A0E"/>
    <w:rsid w:val="00265D23"/>
    <w:rsid w:val="002667D9"/>
    <w:rsid w:val="00266DFD"/>
    <w:rsid w:val="002676E7"/>
    <w:rsid w:val="00267F5B"/>
    <w:rsid w:val="002701F3"/>
    <w:rsid w:val="002706D8"/>
    <w:rsid w:val="00271BED"/>
    <w:rsid w:val="0027281F"/>
    <w:rsid w:val="00272978"/>
    <w:rsid w:val="002736E8"/>
    <w:rsid w:val="00273D2D"/>
    <w:rsid w:val="00275F81"/>
    <w:rsid w:val="00276130"/>
    <w:rsid w:val="002761C9"/>
    <w:rsid w:val="002761F6"/>
    <w:rsid w:val="002770DF"/>
    <w:rsid w:val="002773D4"/>
    <w:rsid w:val="002802BF"/>
    <w:rsid w:val="0028047D"/>
    <w:rsid w:val="002805F5"/>
    <w:rsid w:val="002806CB"/>
    <w:rsid w:val="00280CB9"/>
    <w:rsid w:val="002816DE"/>
    <w:rsid w:val="00283219"/>
    <w:rsid w:val="00283AC6"/>
    <w:rsid w:val="00283EBB"/>
    <w:rsid w:val="00284AB6"/>
    <w:rsid w:val="00286071"/>
    <w:rsid w:val="002865E8"/>
    <w:rsid w:val="00286CDC"/>
    <w:rsid w:val="00286D80"/>
    <w:rsid w:val="00287362"/>
    <w:rsid w:val="00287DD0"/>
    <w:rsid w:val="002905D2"/>
    <w:rsid w:val="00290626"/>
    <w:rsid w:val="002909A2"/>
    <w:rsid w:val="00290F84"/>
    <w:rsid w:val="002911A1"/>
    <w:rsid w:val="002915E7"/>
    <w:rsid w:val="00291D52"/>
    <w:rsid w:val="00291F1B"/>
    <w:rsid w:val="0029263C"/>
    <w:rsid w:val="00292E75"/>
    <w:rsid w:val="00292F98"/>
    <w:rsid w:val="00293399"/>
    <w:rsid w:val="002936F6"/>
    <w:rsid w:val="0029384D"/>
    <w:rsid w:val="00294448"/>
    <w:rsid w:val="00295EF2"/>
    <w:rsid w:val="0029624B"/>
    <w:rsid w:val="002962B3"/>
    <w:rsid w:val="0029654B"/>
    <w:rsid w:val="00296BE6"/>
    <w:rsid w:val="00296E47"/>
    <w:rsid w:val="00297471"/>
    <w:rsid w:val="00297627"/>
    <w:rsid w:val="002978CF"/>
    <w:rsid w:val="00297B48"/>
    <w:rsid w:val="002A02DA"/>
    <w:rsid w:val="002A0707"/>
    <w:rsid w:val="002A087B"/>
    <w:rsid w:val="002A0D1B"/>
    <w:rsid w:val="002A1A89"/>
    <w:rsid w:val="002A1DB5"/>
    <w:rsid w:val="002A2E24"/>
    <w:rsid w:val="002A3042"/>
    <w:rsid w:val="002A30A1"/>
    <w:rsid w:val="002A3724"/>
    <w:rsid w:val="002A3C8A"/>
    <w:rsid w:val="002A4A9D"/>
    <w:rsid w:val="002A5120"/>
    <w:rsid w:val="002A5D86"/>
    <w:rsid w:val="002A61F2"/>
    <w:rsid w:val="002A661C"/>
    <w:rsid w:val="002B0986"/>
    <w:rsid w:val="002B0DEC"/>
    <w:rsid w:val="002B164A"/>
    <w:rsid w:val="002B1932"/>
    <w:rsid w:val="002B1C60"/>
    <w:rsid w:val="002B1D42"/>
    <w:rsid w:val="002B1D98"/>
    <w:rsid w:val="002B20EE"/>
    <w:rsid w:val="002B21F2"/>
    <w:rsid w:val="002B22A8"/>
    <w:rsid w:val="002B2A12"/>
    <w:rsid w:val="002B3162"/>
    <w:rsid w:val="002B3290"/>
    <w:rsid w:val="002B32E2"/>
    <w:rsid w:val="002B3A1C"/>
    <w:rsid w:val="002B3AB3"/>
    <w:rsid w:val="002B3E0E"/>
    <w:rsid w:val="002B4F76"/>
    <w:rsid w:val="002B561F"/>
    <w:rsid w:val="002B5E95"/>
    <w:rsid w:val="002B688D"/>
    <w:rsid w:val="002B6AFF"/>
    <w:rsid w:val="002B6C43"/>
    <w:rsid w:val="002B727A"/>
    <w:rsid w:val="002B72EB"/>
    <w:rsid w:val="002B7440"/>
    <w:rsid w:val="002B79F7"/>
    <w:rsid w:val="002C0057"/>
    <w:rsid w:val="002C0530"/>
    <w:rsid w:val="002C0A15"/>
    <w:rsid w:val="002C1010"/>
    <w:rsid w:val="002C1375"/>
    <w:rsid w:val="002C140D"/>
    <w:rsid w:val="002C1975"/>
    <w:rsid w:val="002C1A95"/>
    <w:rsid w:val="002C1B80"/>
    <w:rsid w:val="002C1C03"/>
    <w:rsid w:val="002C23C0"/>
    <w:rsid w:val="002C2B95"/>
    <w:rsid w:val="002C4244"/>
    <w:rsid w:val="002C445E"/>
    <w:rsid w:val="002C4601"/>
    <w:rsid w:val="002C4918"/>
    <w:rsid w:val="002C4CFD"/>
    <w:rsid w:val="002C5AE5"/>
    <w:rsid w:val="002C5E35"/>
    <w:rsid w:val="002C5F34"/>
    <w:rsid w:val="002C654C"/>
    <w:rsid w:val="002C6AB8"/>
    <w:rsid w:val="002C7F56"/>
    <w:rsid w:val="002D120A"/>
    <w:rsid w:val="002D14E5"/>
    <w:rsid w:val="002D15DB"/>
    <w:rsid w:val="002D1946"/>
    <w:rsid w:val="002D2772"/>
    <w:rsid w:val="002D2813"/>
    <w:rsid w:val="002D2DD9"/>
    <w:rsid w:val="002D37BE"/>
    <w:rsid w:val="002D3837"/>
    <w:rsid w:val="002D4329"/>
    <w:rsid w:val="002D4BA9"/>
    <w:rsid w:val="002D6233"/>
    <w:rsid w:val="002D71FE"/>
    <w:rsid w:val="002D73E0"/>
    <w:rsid w:val="002D7C47"/>
    <w:rsid w:val="002E042C"/>
    <w:rsid w:val="002E0DEC"/>
    <w:rsid w:val="002E2A71"/>
    <w:rsid w:val="002E39E3"/>
    <w:rsid w:val="002E3A37"/>
    <w:rsid w:val="002E506E"/>
    <w:rsid w:val="002E5AB6"/>
    <w:rsid w:val="002E5D02"/>
    <w:rsid w:val="002E6746"/>
    <w:rsid w:val="002E6E3F"/>
    <w:rsid w:val="002F017F"/>
    <w:rsid w:val="002F0237"/>
    <w:rsid w:val="002F06AC"/>
    <w:rsid w:val="002F0C67"/>
    <w:rsid w:val="002F0FFC"/>
    <w:rsid w:val="002F1A53"/>
    <w:rsid w:val="002F2EFD"/>
    <w:rsid w:val="002F2F2B"/>
    <w:rsid w:val="002F2FCC"/>
    <w:rsid w:val="002F2FE1"/>
    <w:rsid w:val="002F336A"/>
    <w:rsid w:val="002F3810"/>
    <w:rsid w:val="002F3BB3"/>
    <w:rsid w:val="002F466E"/>
    <w:rsid w:val="002F46B6"/>
    <w:rsid w:val="002F4FE6"/>
    <w:rsid w:val="002F516A"/>
    <w:rsid w:val="002F56AB"/>
    <w:rsid w:val="002F5AE1"/>
    <w:rsid w:val="002F5B0B"/>
    <w:rsid w:val="002F5BB9"/>
    <w:rsid w:val="002F632A"/>
    <w:rsid w:val="002F7A1E"/>
    <w:rsid w:val="003004C0"/>
    <w:rsid w:val="0030127C"/>
    <w:rsid w:val="003012C6"/>
    <w:rsid w:val="00301ECD"/>
    <w:rsid w:val="003035BC"/>
    <w:rsid w:val="003039C8"/>
    <w:rsid w:val="00303A66"/>
    <w:rsid w:val="00303D05"/>
    <w:rsid w:val="00303F4A"/>
    <w:rsid w:val="00303FC0"/>
    <w:rsid w:val="00304578"/>
    <w:rsid w:val="0030495D"/>
    <w:rsid w:val="00304A3F"/>
    <w:rsid w:val="00304AC4"/>
    <w:rsid w:val="00305078"/>
    <w:rsid w:val="003056EC"/>
    <w:rsid w:val="00305D38"/>
    <w:rsid w:val="0030674E"/>
    <w:rsid w:val="00306B86"/>
    <w:rsid w:val="00307415"/>
    <w:rsid w:val="003074B8"/>
    <w:rsid w:val="003075A6"/>
    <w:rsid w:val="00307C35"/>
    <w:rsid w:val="0031013D"/>
    <w:rsid w:val="0031033E"/>
    <w:rsid w:val="0031069F"/>
    <w:rsid w:val="00310831"/>
    <w:rsid w:val="00310E31"/>
    <w:rsid w:val="00311756"/>
    <w:rsid w:val="003120DD"/>
    <w:rsid w:val="00312D88"/>
    <w:rsid w:val="00312F63"/>
    <w:rsid w:val="003131E8"/>
    <w:rsid w:val="003133C7"/>
    <w:rsid w:val="00314353"/>
    <w:rsid w:val="003144A8"/>
    <w:rsid w:val="00315611"/>
    <w:rsid w:val="00315654"/>
    <w:rsid w:val="0031598A"/>
    <w:rsid w:val="00315AF2"/>
    <w:rsid w:val="003165D1"/>
    <w:rsid w:val="00316D19"/>
    <w:rsid w:val="00317A81"/>
    <w:rsid w:val="00317CBA"/>
    <w:rsid w:val="003200CB"/>
    <w:rsid w:val="003215DF"/>
    <w:rsid w:val="0032216A"/>
    <w:rsid w:val="00323E23"/>
    <w:rsid w:val="00323EDB"/>
    <w:rsid w:val="00324BD3"/>
    <w:rsid w:val="00325654"/>
    <w:rsid w:val="00325C5D"/>
    <w:rsid w:val="003262EF"/>
    <w:rsid w:val="003267AC"/>
    <w:rsid w:val="00326C88"/>
    <w:rsid w:val="00326DA7"/>
    <w:rsid w:val="00327163"/>
    <w:rsid w:val="00327678"/>
    <w:rsid w:val="0032767C"/>
    <w:rsid w:val="00327DDD"/>
    <w:rsid w:val="003300D7"/>
    <w:rsid w:val="003302E1"/>
    <w:rsid w:val="00330872"/>
    <w:rsid w:val="00330A0B"/>
    <w:rsid w:val="003314D7"/>
    <w:rsid w:val="003316FD"/>
    <w:rsid w:val="003317B9"/>
    <w:rsid w:val="00331CD3"/>
    <w:rsid w:val="003324E3"/>
    <w:rsid w:val="00332DC5"/>
    <w:rsid w:val="00333287"/>
    <w:rsid w:val="00333838"/>
    <w:rsid w:val="00333B7C"/>
    <w:rsid w:val="0033495C"/>
    <w:rsid w:val="00334BB8"/>
    <w:rsid w:val="003355A9"/>
    <w:rsid w:val="003356EA"/>
    <w:rsid w:val="00336E96"/>
    <w:rsid w:val="00337543"/>
    <w:rsid w:val="00337730"/>
    <w:rsid w:val="00340280"/>
    <w:rsid w:val="00340F42"/>
    <w:rsid w:val="00341229"/>
    <w:rsid w:val="00341405"/>
    <w:rsid w:val="00341CC8"/>
    <w:rsid w:val="00341F76"/>
    <w:rsid w:val="00341FDF"/>
    <w:rsid w:val="0034253F"/>
    <w:rsid w:val="0034284E"/>
    <w:rsid w:val="00342E7E"/>
    <w:rsid w:val="003431E9"/>
    <w:rsid w:val="0034498A"/>
    <w:rsid w:val="00345254"/>
    <w:rsid w:val="00345872"/>
    <w:rsid w:val="00346344"/>
    <w:rsid w:val="003472E5"/>
    <w:rsid w:val="00347BB8"/>
    <w:rsid w:val="00347E4C"/>
    <w:rsid w:val="0035024D"/>
    <w:rsid w:val="00350A88"/>
    <w:rsid w:val="00350C61"/>
    <w:rsid w:val="00350D66"/>
    <w:rsid w:val="003512FB"/>
    <w:rsid w:val="00351464"/>
    <w:rsid w:val="003519F8"/>
    <w:rsid w:val="003524D2"/>
    <w:rsid w:val="003529BD"/>
    <w:rsid w:val="003529C1"/>
    <w:rsid w:val="00352D47"/>
    <w:rsid w:val="00353949"/>
    <w:rsid w:val="00353F63"/>
    <w:rsid w:val="003546B5"/>
    <w:rsid w:val="00355094"/>
    <w:rsid w:val="003550EF"/>
    <w:rsid w:val="00355491"/>
    <w:rsid w:val="00355B93"/>
    <w:rsid w:val="00355C14"/>
    <w:rsid w:val="00355F17"/>
    <w:rsid w:val="003561B8"/>
    <w:rsid w:val="00356276"/>
    <w:rsid w:val="00356996"/>
    <w:rsid w:val="00356C23"/>
    <w:rsid w:val="00356DEE"/>
    <w:rsid w:val="0035727E"/>
    <w:rsid w:val="00357687"/>
    <w:rsid w:val="00357871"/>
    <w:rsid w:val="00357CE6"/>
    <w:rsid w:val="003607C1"/>
    <w:rsid w:val="00360D7F"/>
    <w:rsid w:val="00360FE5"/>
    <w:rsid w:val="0036105B"/>
    <w:rsid w:val="00362F68"/>
    <w:rsid w:val="003631A3"/>
    <w:rsid w:val="00363382"/>
    <w:rsid w:val="00363913"/>
    <w:rsid w:val="00363FC2"/>
    <w:rsid w:val="0036437C"/>
    <w:rsid w:val="00364529"/>
    <w:rsid w:val="00364FB1"/>
    <w:rsid w:val="003654F1"/>
    <w:rsid w:val="0036560F"/>
    <w:rsid w:val="00366CAE"/>
    <w:rsid w:val="00366E6E"/>
    <w:rsid w:val="00366F6D"/>
    <w:rsid w:val="003705AB"/>
    <w:rsid w:val="00370F6B"/>
    <w:rsid w:val="0037131B"/>
    <w:rsid w:val="00371FB9"/>
    <w:rsid w:val="003721B0"/>
    <w:rsid w:val="00372459"/>
    <w:rsid w:val="003728EF"/>
    <w:rsid w:val="00372C67"/>
    <w:rsid w:val="0037377B"/>
    <w:rsid w:val="003737B1"/>
    <w:rsid w:val="003737F0"/>
    <w:rsid w:val="00373B22"/>
    <w:rsid w:val="00375080"/>
    <w:rsid w:val="003750C0"/>
    <w:rsid w:val="00375300"/>
    <w:rsid w:val="00376091"/>
    <w:rsid w:val="003760DA"/>
    <w:rsid w:val="00376152"/>
    <w:rsid w:val="003762A9"/>
    <w:rsid w:val="003769AB"/>
    <w:rsid w:val="00376C16"/>
    <w:rsid w:val="00376C71"/>
    <w:rsid w:val="00377034"/>
    <w:rsid w:val="00377626"/>
    <w:rsid w:val="0037799F"/>
    <w:rsid w:val="00377C5D"/>
    <w:rsid w:val="00380031"/>
    <w:rsid w:val="003806C0"/>
    <w:rsid w:val="00380983"/>
    <w:rsid w:val="00380AB2"/>
    <w:rsid w:val="00381634"/>
    <w:rsid w:val="00381740"/>
    <w:rsid w:val="00381D0E"/>
    <w:rsid w:val="0038229D"/>
    <w:rsid w:val="0038252F"/>
    <w:rsid w:val="0038273F"/>
    <w:rsid w:val="0038397D"/>
    <w:rsid w:val="003842D2"/>
    <w:rsid w:val="003847F2"/>
    <w:rsid w:val="003853DD"/>
    <w:rsid w:val="00385480"/>
    <w:rsid w:val="00385930"/>
    <w:rsid w:val="00385B61"/>
    <w:rsid w:val="00385EF8"/>
    <w:rsid w:val="003864C5"/>
    <w:rsid w:val="003867B5"/>
    <w:rsid w:val="00386CB2"/>
    <w:rsid w:val="00386D47"/>
    <w:rsid w:val="003870FE"/>
    <w:rsid w:val="003871FF"/>
    <w:rsid w:val="00387C17"/>
    <w:rsid w:val="003900F3"/>
    <w:rsid w:val="003902F6"/>
    <w:rsid w:val="003904E8"/>
    <w:rsid w:val="00390FDE"/>
    <w:rsid w:val="003910A6"/>
    <w:rsid w:val="003913C5"/>
    <w:rsid w:val="0039190F"/>
    <w:rsid w:val="00391B93"/>
    <w:rsid w:val="0039243E"/>
    <w:rsid w:val="00392687"/>
    <w:rsid w:val="00392842"/>
    <w:rsid w:val="00392AB9"/>
    <w:rsid w:val="00393D51"/>
    <w:rsid w:val="0039429B"/>
    <w:rsid w:val="00394564"/>
    <w:rsid w:val="00394749"/>
    <w:rsid w:val="00394EF5"/>
    <w:rsid w:val="00395F31"/>
    <w:rsid w:val="00396537"/>
    <w:rsid w:val="00396604"/>
    <w:rsid w:val="00396D20"/>
    <w:rsid w:val="00397A71"/>
    <w:rsid w:val="00397BCD"/>
    <w:rsid w:val="00397E52"/>
    <w:rsid w:val="003A01D5"/>
    <w:rsid w:val="003A0502"/>
    <w:rsid w:val="003A056F"/>
    <w:rsid w:val="003A05CE"/>
    <w:rsid w:val="003A0688"/>
    <w:rsid w:val="003A094A"/>
    <w:rsid w:val="003A0A29"/>
    <w:rsid w:val="003A23A9"/>
    <w:rsid w:val="003A2413"/>
    <w:rsid w:val="003A2B39"/>
    <w:rsid w:val="003A3AAA"/>
    <w:rsid w:val="003A3BC2"/>
    <w:rsid w:val="003A49A7"/>
    <w:rsid w:val="003A50B7"/>
    <w:rsid w:val="003A5809"/>
    <w:rsid w:val="003A5961"/>
    <w:rsid w:val="003A5B19"/>
    <w:rsid w:val="003A5E12"/>
    <w:rsid w:val="003A6729"/>
    <w:rsid w:val="003A6929"/>
    <w:rsid w:val="003A7E34"/>
    <w:rsid w:val="003B024F"/>
    <w:rsid w:val="003B3770"/>
    <w:rsid w:val="003B3A3F"/>
    <w:rsid w:val="003B3CDB"/>
    <w:rsid w:val="003B4A2A"/>
    <w:rsid w:val="003B511E"/>
    <w:rsid w:val="003B5DF3"/>
    <w:rsid w:val="003B618D"/>
    <w:rsid w:val="003B70E5"/>
    <w:rsid w:val="003B74C8"/>
    <w:rsid w:val="003B7C36"/>
    <w:rsid w:val="003C0651"/>
    <w:rsid w:val="003C0DAD"/>
    <w:rsid w:val="003C1A4C"/>
    <w:rsid w:val="003C2401"/>
    <w:rsid w:val="003C2782"/>
    <w:rsid w:val="003C2ADC"/>
    <w:rsid w:val="003C2BA4"/>
    <w:rsid w:val="003C2C1F"/>
    <w:rsid w:val="003C370F"/>
    <w:rsid w:val="003C37F3"/>
    <w:rsid w:val="003C3AFB"/>
    <w:rsid w:val="003C48C9"/>
    <w:rsid w:val="003C722E"/>
    <w:rsid w:val="003C7BB2"/>
    <w:rsid w:val="003D0650"/>
    <w:rsid w:val="003D0B22"/>
    <w:rsid w:val="003D0D7E"/>
    <w:rsid w:val="003D104D"/>
    <w:rsid w:val="003D123C"/>
    <w:rsid w:val="003D1887"/>
    <w:rsid w:val="003D1F62"/>
    <w:rsid w:val="003D21B7"/>
    <w:rsid w:val="003D2BCE"/>
    <w:rsid w:val="003D2C54"/>
    <w:rsid w:val="003D33B3"/>
    <w:rsid w:val="003D373C"/>
    <w:rsid w:val="003D3A01"/>
    <w:rsid w:val="003D40D5"/>
    <w:rsid w:val="003D4729"/>
    <w:rsid w:val="003D48B7"/>
    <w:rsid w:val="003D5290"/>
    <w:rsid w:val="003D53CA"/>
    <w:rsid w:val="003D56AF"/>
    <w:rsid w:val="003D5959"/>
    <w:rsid w:val="003D6F18"/>
    <w:rsid w:val="003D7352"/>
    <w:rsid w:val="003D76A7"/>
    <w:rsid w:val="003D7BF5"/>
    <w:rsid w:val="003E0C8F"/>
    <w:rsid w:val="003E1032"/>
    <w:rsid w:val="003E13FF"/>
    <w:rsid w:val="003E25D5"/>
    <w:rsid w:val="003E30A3"/>
    <w:rsid w:val="003E30B2"/>
    <w:rsid w:val="003E36F4"/>
    <w:rsid w:val="003E375D"/>
    <w:rsid w:val="003E4A2D"/>
    <w:rsid w:val="003E4B20"/>
    <w:rsid w:val="003E5636"/>
    <w:rsid w:val="003E5643"/>
    <w:rsid w:val="003E59CB"/>
    <w:rsid w:val="003E5D5C"/>
    <w:rsid w:val="003E6BC1"/>
    <w:rsid w:val="003F00B7"/>
    <w:rsid w:val="003F057A"/>
    <w:rsid w:val="003F05A7"/>
    <w:rsid w:val="003F10DC"/>
    <w:rsid w:val="003F125D"/>
    <w:rsid w:val="003F1424"/>
    <w:rsid w:val="003F145C"/>
    <w:rsid w:val="003F1489"/>
    <w:rsid w:val="003F1D22"/>
    <w:rsid w:val="003F1F3A"/>
    <w:rsid w:val="003F2743"/>
    <w:rsid w:val="003F3240"/>
    <w:rsid w:val="003F32C5"/>
    <w:rsid w:val="003F3715"/>
    <w:rsid w:val="003F412B"/>
    <w:rsid w:val="003F44CD"/>
    <w:rsid w:val="003F4E36"/>
    <w:rsid w:val="003F4EF9"/>
    <w:rsid w:val="003F5199"/>
    <w:rsid w:val="003F5879"/>
    <w:rsid w:val="003F5A4F"/>
    <w:rsid w:val="003F6030"/>
    <w:rsid w:val="003F70BD"/>
    <w:rsid w:val="004003CB"/>
    <w:rsid w:val="004004BF"/>
    <w:rsid w:val="00400B66"/>
    <w:rsid w:val="00400CAA"/>
    <w:rsid w:val="00400F6E"/>
    <w:rsid w:val="00401523"/>
    <w:rsid w:val="00401AB1"/>
    <w:rsid w:val="00401CF7"/>
    <w:rsid w:val="00401DCC"/>
    <w:rsid w:val="00402DAA"/>
    <w:rsid w:val="004035CC"/>
    <w:rsid w:val="00403EB6"/>
    <w:rsid w:val="00404165"/>
    <w:rsid w:val="00404422"/>
    <w:rsid w:val="004045B2"/>
    <w:rsid w:val="00404C29"/>
    <w:rsid w:val="004050F7"/>
    <w:rsid w:val="00405187"/>
    <w:rsid w:val="00406279"/>
    <w:rsid w:val="00406336"/>
    <w:rsid w:val="004063D1"/>
    <w:rsid w:val="004063EA"/>
    <w:rsid w:val="004063F5"/>
    <w:rsid w:val="00406D81"/>
    <w:rsid w:val="0040721B"/>
    <w:rsid w:val="00407808"/>
    <w:rsid w:val="00410163"/>
    <w:rsid w:val="00410BDB"/>
    <w:rsid w:val="00411218"/>
    <w:rsid w:val="004112BD"/>
    <w:rsid w:val="00412BAD"/>
    <w:rsid w:val="00413756"/>
    <w:rsid w:val="00414439"/>
    <w:rsid w:val="0041482C"/>
    <w:rsid w:val="00414A48"/>
    <w:rsid w:val="00414E6A"/>
    <w:rsid w:val="00415B70"/>
    <w:rsid w:val="004162ED"/>
    <w:rsid w:val="004166E5"/>
    <w:rsid w:val="0041694A"/>
    <w:rsid w:val="0041769D"/>
    <w:rsid w:val="0041781B"/>
    <w:rsid w:val="004178C5"/>
    <w:rsid w:val="004202D0"/>
    <w:rsid w:val="004205A5"/>
    <w:rsid w:val="00420A57"/>
    <w:rsid w:val="00420F87"/>
    <w:rsid w:val="004210CD"/>
    <w:rsid w:val="004211DF"/>
    <w:rsid w:val="00421476"/>
    <w:rsid w:val="004214A2"/>
    <w:rsid w:val="00422135"/>
    <w:rsid w:val="00422870"/>
    <w:rsid w:val="004228A6"/>
    <w:rsid w:val="0042292D"/>
    <w:rsid w:val="00424B25"/>
    <w:rsid w:val="0042636A"/>
    <w:rsid w:val="00426593"/>
    <w:rsid w:val="004265B3"/>
    <w:rsid w:val="004279F2"/>
    <w:rsid w:val="00427FC7"/>
    <w:rsid w:val="004312CA"/>
    <w:rsid w:val="0043184F"/>
    <w:rsid w:val="00431EBA"/>
    <w:rsid w:val="004322A1"/>
    <w:rsid w:val="00432636"/>
    <w:rsid w:val="0043285A"/>
    <w:rsid w:val="00432ADF"/>
    <w:rsid w:val="00432BD3"/>
    <w:rsid w:val="00432FAA"/>
    <w:rsid w:val="004332C4"/>
    <w:rsid w:val="0043352A"/>
    <w:rsid w:val="00433A64"/>
    <w:rsid w:val="00433AE6"/>
    <w:rsid w:val="00433B1A"/>
    <w:rsid w:val="00433EAC"/>
    <w:rsid w:val="00433F35"/>
    <w:rsid w:val="004341B7"/>
    <w:rsid w:val="004341F0"/>
    <w:rsid w:val="0043429B"/>
    <w:rsid w:val="00435B8A"/>
    <w:rsid w:val="004365E6"/>
    <w:rsid w:val="00436FBD"/>
    <w:rsid w:val="004372A4"/>
    <w:rsid w:val="0043756E"/>
    <w:rsid w:val="00437665"/>
    <w:rsid w:val="00437C4E"/>
    <w:rsid w:val="00437FE6"/>
    <w:rsid w:val="0044031E"/>
    <w:rsid w:val="00440963"/>
    <w:rsid w:val="00440A2D"/>
    <w:rsid w:val="004414FE"/>
    <w:rsid w:val="00441EDE"/>
    <w:rsid w:val="0044279D"/>
    <w:rsid w:val="004434B5"/>
    <w:rsid w:val="004436BB"/>
    <w:rsid w:val="004445A9"/>
    <w:rsid w:val="00444AE2"/>
    <w:rsid w:val="00445F0E"/>
    <w:rsid w:val="004466AE"/>
    <w:rsid w:val="00446905"/>
    <w:rsid w:val="00446977"/>
    <w:rsid w:val="00446B29"/>
    <w:rsid w:val="00447352"/>
    <w:rsid w:val="00450036"/>
    <w:rsid w:val="004509A9"/>
    <w:rsid w:val="00450EF3"/>
    <w:rsid w:val="00451158"/>
    <w:rsid w:val="0045122A"/>
    <w:rsid w:val="00451460"/>
    <w:rsid w:val="00451558"/>
    <w:rsid w:val="00451984"/>
    <w:rsid w:val="004522F1"/>
    <w:rsid w:val="00452709"/>
    <w:rsid w:val="00452E68"/>
    <w:rsid w:val="00452EA6"/>
    <w:rsid w:val="004536E7"/>
    <w:rsid w:val="00453928"/>
    <w:rsid w:val="00454348"/>
    <w:rsid w:val="0045638A"/>
    <w:rsid w:val="0045700B"/>
    <w:rsid w:val="004573CC"/>
    <w:rsid w:val="00457526"/>
    <w:rsid w:val="0045760E"/>
    <w:rsid w:val="0045773D"/>
    <w:rsid w:val="004579F5"/>
    <w:rsid w:val="00457BDA"/>
    <w:rsid w:val="00457C57"/>
    <w:rsid w:val="00460763"/>
    <w:rsid w:val="00460A45"/>
    <w:rsid w:val="00460C90"/>
    <w:rsid w:val="00461411"/>
    <w:rsid w:val="00462A6D"/>
    <w:rsid w:val="00462AF5"/>
    <w:rsid w:val="00462B91"/>
    <w:rsid w:val="00462C49"/>
    <w:rsid w:val="00463057"/>
    <w:rsid w:val="004639FA"/>
    <w:rsid w:val="004644F6"/>
    <w:rsid w:val="0046479B"/>
    <w:rsid w:val="0046490A"/>
    <w:rsid w:val="00464C29"/>
    <w:rsid w:val="004653EF"/>
    <w:rsid w:val="00465590"/>
    <w:rsid w:val="00465D8C"/>
    <w:rsid w:val="00465DD6"/>
    <w:rsid w:val="00465FB2"/>
    <w:rsid w:val="004662DE"/>
    <w:rsid w:val="00466771"/>
    <w:rsid w:val="004703BB"/>
    <w:rsid w:val="00470410"/>
    <w:rsid w:val="00470E30"/>
    <w:rsid w:val="004710C5"/>
    <w:rsid w:val="00471146"/>
    <w:rsid w:val="00471396"/>
    <w:rsid w:val="00471B6A"/>
    <w:rsid w:val="00471C02"/>
    <w:rsid w:val="00471EE1"/>
    <w:rsid w:val="00471F33"/>
    <w:rsid w:val="0047228A"/>
    <w:rsid w:val="00472367"/>
    <w:rsid w:val="00472DFF"/>
    <w:rsid w:val="0047319B"/>
    <w:rsid w:val="0047353C"/>
    <w:rsid w:val="00473F03"/>
    <w:rsid w:val="00473FE6"/>
    <w:rsid w:val="0047440B"/>
    <w:rsid w:val="00474E19"/>
    <w:rsid w:val="00475248"/>
    <w:rsid w:val="004758AA"/>
    <w:rsid w:val="004765C0"/>
    <w:rsid w:val="0047695B"/>
    <w:rsid w:val="00476C24"/>
    <w:rsid w:val="0047791E"/>
    <w:rsid w:val="00477D3D"/>
    <w:rsid w:val="00477EAF"/>
    <w:rsid w:val="00480224"/>
    <w:rsid w:val="00480407"/>
    <w:rsid w:val="004807EE"/>
    <w:rsid w:val="00480928"/>
    <w:rsid w:val="004816B3"/>
    <w:rsid w:val="0048186C"/>
    <w:rsid w:val="004818C9"/>
    <w:rsid w:val="00481E2A"/>
    <w:rsid w:val="00482A06"/>
    <w:rsid w:val="00483440"/>
    <w:rsid w:val="00483936"/>
    <w:rsid w:val="00483DFF"/>
    <w:rsid w:val="004844F9"/>
    <w:rsid w:val="00485043"/>
    <w:rsid w:val="00486000"/>
    <w:rsid w:val="00486268"/>
    <w:rsid w:val="00486632"/>
    <w:rsid w:val="00486C96"/>
    <w:rsid w:val="00487139"/>
    <w:rsid w:val="0048723A"/>
    <w:rsid w:val="00487D7C"/>
    <w:rsid w:val="0049035B"/>
    <w:rsid w:val="00490EB8"/>
    <w:rsid w:val="00491182"/>
    <w:rsid w:val="004912E0"/>
    <w:rsid w:val="00492A92"/>
    <w:rsid w:val="00493AA6"/>
    <w:rsid w:val="00494386"/>
    <w:rsid w:val="00495546"/>
    <w:rsid w:val="0049565B"/>
    <w:rsid w:val="00496003"/>
    <w:rsid w:val="0049601A"/>
    <w:rsid w:val="0049642D"/>
    <w:rsid w:val="00496B2C"/>
    <w:rsid w:val="00497228"/>
    <w:rsid w:val="00497877"/>
    <w:rsid w:val="004A0281"/>
    <w:rsid w:val="004A16B5"/>
    <w:rsid w:val="004A1B54"/>
    <w:rsid w:val="004A3ACD"/>
    <w:rsid w:val="004A4139"/>
    <w:rsid w:val="004A4B76"/>
    <w:rsid w:val="004A4C99"/>
    <w:rsid w:val="004A51F7"/>
    <w:rsid w:val="004A583C"/>
    <w:rsid w:val="004A59D3"/>
    <w:rsid w:val="004A702D"/>
    <w:rsid w:val="004A7964"/>
    <w:rsid w:val="004B15E1"/>
    <w:rsid w:val="004B16AC"/>
    <w:rsid w:val="004B17E6"/>
    <w:rsid w:val="004B2922"/>
    <w:rsid w:val="004B304C"/>
    <w:rsid w:val="004B31BA"/>
    <w:rsid w:val="004B33E4"/>
    <w:rsid w:val="004B3CED"/>
    <w:rsid w:val="004B41F1"/>
    <w:rsid w:val="004B4D6C"/>
    <w:rsid w:val="004B53D7"/>
    <w:rsid w:val="004B53EC"/>
    <w:rsid w:val="004B62A5"/>
    <w:rsid w:val="004B647E"/>
    <w:rsid w:val="004B673E"/>
    <w:rsid w:val="004B6D5D"/>
    <w:rsid w:val="004B720D"/>
    <w:rsid w:val="004C0254"/>
    <w:rsid w:val="004C0F12"/>
    <w:rsid w:val="004C1704"/>
    <w:rsid w:val="004C2609"/>
    <w:rsid w:val="004C2F82"/>
    <w:rsid w:val="004C33D1"/>
    <w:rsid w:val="004C3BBF"/>
    <w:rsid w:val="004C51F2"/>
    <w:rsid w:val="004C5BF4"/>
    <w:rsid w:val="004C5E53"/>
    <w:rsid w:val="004C5FDE"/>
    <w:rsid w:val="004C68F3"/>
    <w:rsid w:val="004C7135"/>
    <w:rsid w:val="004C7611"/>
    <w:rsid w:val="004D069B"/>
    <w:rsid w:val="004D0833"/>
    <w:rsid w:val="004D0F15"/>
    <w:rsid w:val="004D0FF0"/>
    <w:rsid w:val="004D2491"/>
    <w:rsid w:val="004D2773"/>
    <w:rsid w:val="004D27D6"/>
    <w:rsid w:val="004D3D58"/>
    <w:rsid w:val="004D3F9E"/>
    <w:rsid w:val="004D4293"/>
    <w:rsid w:val="004D470B"/>
    <w:rsid w:val="004D4B1F"/>
    <w:rsid w:val="004D4D01"/>
    <w:rsid w:val="004D50F8"/>
    <w:rsid w:val="004D5ADC"/>
    <w:rsid w:val="004D689D"/>
    <w:rsid w:val="004D71C0"/>
    <w:rsid w:val="004D794E"/>
    <w:rsid w:val="004E0308"/>
    <w:rsid w:val="004E081C"/>
    <w:rsid w:val="004E1227"/>
    <w:rsid w:val="004E1485"/>
    <w:rsid w:val="004E1680"/>
    <w:rsid w:val="004E17C9"/>
    <w:rsid w:val="004E1BE8"/>
    <w:rsid w:val="004E1D53"/>
    <w:rsid w:val="004E1D8D"/>
    <w:rsid w:val="004E1FBD"/>
    <w:rsid w:val="004E202B"/>
    <w:rsid w:val="004E24F9"/>
    <w:rsid w:val="004E31B5"/>
    <w:rsid w:val="004E3645"/>
    <w:rsid w:val="004E4359"/>
    <w:rsid w:val="004E435D"/>
    <w:rsid w:val="004E4D42"/>
    <w:rsid w:val="004E6144"/>
    <w:rsid w:val="004E705B"/>
    <w:rsid w:val="004E7720"/>
    <w:rsid w:val="004E7B07"/>
    <w:rsid w:val="004E7DC5"/>
    <w:rsid w:val="004F0D06"/>
    <w:rsid w:val="004F1B43"/>
    <w:rsid w:val="004F2157"/>
    <w:rsid w:val="004F23E5"/>
    <w:rsid w:val="004F2785"/>
    <w:rsid w:val="004F2D59"/>
    <w:rsid w:val="004F2F3A"/>
    <w:rsid w:val="004F2F3C"/>
    <w:rsid w:val="004F30F4"/>
    <w:rsid w:val="004F31E3"/>
    <w:rsid w:val="004F3407"/>
    <w:rsid w:val="004F3C65"/>
    <w:rsid w:val="004F4161"/>
    <w:rsid w:val="004F4DE6"/>
    <w:rsid w:val="004F5027"/>
    <w:rsid w:val="004F528B"/>
    <w:rsid w:val="004F56AD"/>
    <w:rsid w:val="004F5A97"/>
    <w:rsid w:val="004F6077"/>
    <w:rsid w:val="004F6354"/>
    <w:rsid w:val="004F6383"/>
    <w:rsid w:val="004F6679"/>
    <w:rsid w:val="004F672B"/>
    <w:rsid w:val="004F678D"/>
    <w:rsid w:val="004F7082"/>
    <w:rsid w:val="004F70DC"/>
    <w:rsid w:val="004F738A"/>
    <w:rsid w:val="004F7453"/>
    <w:rsid w:val="004F7559"/>
    <w:rsid w:val="004F774D"/>
    <w:rsid w:val="004F7A2F"/>
    <w:rsid w:val="004F7D4F"/>
    <w:rsid w:val="005001EB"/>
    <w:rsid w:val="0050077C"/>
    <w:rsid w:val="00501130"/>
    <w:rsid w:val="005013F4"/>
    <w:rsid w:val="00502CB9"/>
    <w:rsid w:val="00503511"/>
    <w:rsid w:val="00503583"/>
    <w:rsid w:val="005043E3"/>
    <w:rsid w:val="005052C8"/>
    <w:rsid w:val="0050560C"/>
    <w:rsid w:val="00505E47"/>
    <w:rsid w:val="00506C98"/>
    <w:rsid w:val="00506CB9"/>
    <w:rsid w:val="005076CE"/>
    <w:rsid w:val="00507D3E"/>
    <w:rsid w:val="005114ED"/>
    <w:rsid w:val="00511739"/>
    <w:rsid w:val="00511B5D"/>
    <w:rsid w:val="00511FFE"/>
    <w:rsid w:val="005125A2"/>
    <w:rsid w:val="005126F3"/>
    <w:rsid w:val="00512789"/>
    <w:rsid w:val="0051306B"/>
    <w:rsid w:val="00513903"/>
    <w:rsid w:val="0051520C"/>
    <w:rsid w:val="005152D5"/>
    <w:rsid w:val="0051565A"/>
    <w:rsid w:val="00515883"/>
    <w:rsid w:val="00516901"/>
    <w:rsid w:val="00516A99"/>
    <w:rsid w:val="005171D4"/>
    <w:rsid w:val="005204D8"/>
    <w:rsid w:val="00520E3C"/>
    <w:rsid w:val="00520E72"/>
    <w:rsid w:val="0052129A"/>
    <w:rsid w:val="00521B18"/>
    <w:rsid w:val="00521E26"/>
    <w:rsid w:val="00522CEC"/>
    <w:rsid w:val="00523013"/>
    <w:rsid w:val="0052359B"/>
    <w:rsid w:val="00523647"/>
    <w:rsid w:val="00523B86"/>
    <w:rsid w:val="0052476D"/>
    <w:rsid w:val="005266DD"/>
    <w:rsid w:val="0052685B"/>
    <w:rsid w:val="005274C4"/>
    <w:rsid w:val="00527D4D"/>
    <w:rsid w:val="00527F23"/>
    <w:rsid w:val="0053040D"/>
    <w:rsid w:val="00531292"/>
    <w:rsid w:val="0053163C"/>
    <w:rsid w:val="005316E0"/>
    <w:rsid w:val="00531BA8"/>
    <w:rsid w:val="00532343"/>
    <w:rsid w:val="00532753"/>
    <w:rsid w:val="00532C04"/>
    <w:rsid w:val="00532EFF"/>
    <w:rsid w:val="00533AAA"/>
    <w:rsid w:val="00533AF2"/>
    <w:rsid w:val="00533EB7"/>
    <w:rsid w:val="00534135"/>
    <w:rsid w:val="00534D3E"/>
    <w:rsid w:val="00534DC6"/>
    <w:rsid w:val="00534DDC"/>
    <w:rsid w:val="005350E5"/>
    <w:rsid w:val="0053517D"/>
    <w:rsid w:val="00535C1F"/>
    <w:rsid w:val="00535F1A"/>
    <w:rsid w:val="005360C3"/>
    <w:rsid w:val="00536421"/>
    <w:rsid w:val="0053646F"/>
    <w:rsid w:val="00536BD2"/>
    <w:rsid w:val="00537489"/>
    <w:rsid w:val="00540F72"/>
    <w:rsid w:val="005412D4"/>
    <w:rsid w:val="0054193F"/>
    <w:rsid w:val="00541A94"/>
    <w:rsid w:val="00541B35"/>
    <w:rsid w:val="005424C7"/>
    <w:rsid w:val="0054271A"/>
    <w:rsid w:val="0054327E"/>
    <w:rsid w:val="00543595"/>
    <w:rsid w:val="00543A5D"/>
    <w:rsid w:val="00543AA5"/>
    <w:rsid w:val="00543BB2"/>
    <w:rsid w:val="00543BCE"/>
    <w:rsid w:val="00543E6A"/>
    <w:rsid w:val="00544C11"/>
    <w:rsid w:val="00544C5F"/>
    <w:rsid w:val="00544C9A"/>
    <w:rsid w:val="00545346"/>
    <w:rsid w:val="00546204"/>
    <w:rsid w:val="00547864"/>
    <w:rsid w:val="00547BDE"/>
    <w:rsid w:val="00547BED"/>
    <w:rsid w:val="00547DE0"/>
    <w:rsid w:val="005501E0"/>
    <w:rsid w:val="00550205"/>
    <w:rsid w:val="005504F4"/>
    <w:rsid w:val="00550E90"/>
    <w:rsid w:val="00551169"/>
    <w:rsid w:val="0055122E"/>
    <w:rsid w:val="00551474"/>
    <w:rsid w:val="00551648"/>
    <w:rsid w:val="00551662"/>
    <w:rsid w:val="00551D31"/>
    <w:rsid w:val="00551DB4"/>
    <w:rsid w:val="0055358D"/>
    <w:rsid w:val="00553F56"/>
    <w:rsid w:val="00553F5E"/>
    <w:rsid w:val="0055421A"/>
    <w:rsid w:val="00554A78"/>
    <w:rsid w:val="00555683"/>
    <w:rsid w:val="00556464"/>
    <w:rsid w:val="00557217"/>
    <w:rsid w:val="0056032F"/>
    <w:rsid w:val="005608C8"/>
    <w:rsid w:val="0056109F"/>
    <w:rsid w:val="00561507"/>
    <w:rsid w:val="0056168D"/>
    <w:rsid w:val="00561750"/>
    <w:rsid w:val="0056209C"/>
    <w:rsid w:val="0056234D"/>
    <w:rsid w:val="0056298E"/>
    <w:rsid w:val="00562AA0"/>
    <w:rsid w:val="00562D8E"/>
    <w:rsid w:val="00563A26"/>
    <w:rsid w:val="00564176"/>
    <w:rsid w:val="0056427E"/>
    <w:rsid w:val="0056508B"/>
    <w:rsid w:val="005655BE"/>
    <w:rsid w:val="0056560F"/>
    <w:rsid w:val="00565DE2"/>
    <w:rsid w:val="005665A6"/>
    <w:rsid w:val="00566FA0"/>
    <w:rsid w:val="00567848"/>
    <w:rsid w:val="00570018"/>
    <w:rsid w:val="00570020"/>
    <w:rsid w:val="00570560"/>
    <w:rsid w:val="0057068F"/>
    <w:rsid w:val="00570BDE"/>
    <w:rsid w:val="00570F3D"/>
    <w:rsid w:val="0057102F"/>
    <w:rsid w:val="00571404"/>
    <w:rsid w:val="005715C8"/>
    <w:rsid w:val="00571E03"/>
    <w:rsid w:val="005725D4"/>
    <w:rsid w:val="0057334A"/>
    <w:rsid w:val="00573A1D"/>
    <w:rsid w:val="005742BD"/>
    <w:rsid w:val="00575403"/>
    <w:rsid w:val="00575E76"/>
    <w:rsid w:val="0057639A"/>
    <w:rsid w:val="005765DF"/>
    <w:rsid w:val="00576D2E"/>
    <w:rsid w:val="00576ED0"/>
    <w:rsid w:val="0057774B"/>
    <w:rsid w:val="00580A89"/>
    <w:rsid w:val="00581703"/>
    <w:rsid w:val="00581D9B"/>
    <w:rsid w:val="00581FB5"/>
    <w:rsid w:val="005830C2"/>
    <w:rsid w:val="005839F1"/>
    <w:rsid w:val="00583CAD"/>
    <w:rsid w:val="005846E2"/>
    <w:rsid w:val="00585250"/>
    <w:rsid w:val="00586CAB"/>
    <w:rsid w:val="005872BD"/>
    <w:rsid w:val="00590067"/>
    <w:rsid w:val="00591258"/>
    <w:rsid w:val="00591353"/>
    <w:rsid w:val="0059137B"/>
    <w:rsid w:val="005918D0"/>
    <w:rsid w:val="005919E9"/>
    <w:rsid w:val="005925C7"/>
    <w:rsid w:val="00592C16"/>
    <w:rsid w:val="005934AB"/>
    <w:rsid w:val="0059436B"/>
    <w:rsid w:val="00594463"/>
    <w:rsid w:val="00595EBA"/>
    <w:rsid w:val="00596042"/>
    <w:rsid w:val="005964B3"/>
    <w:rsid w:val="0059657E"/>
    <w:rsid w:val="00597143"/>
    <w:rsid w:val="0059730D"/>
    <w:rsid w:val="00597976"/>
    <w:rsid w:val="005A0615"/>
    <w:rsid w:val="005A061F"/>
    <w:rsid w:val="005A1351"/>
    <w:rsid w:val="005A16C6"/>
    <w:rsid w:val="005A1E23"/>
    <w:rsid w:val="005A2B4D"/>
    <w:rsid w:val="005A2CF9"/>
    <w:rsid w:val="005A2FFA"/>
    <w:rsid w:val="005A347D"/>
    <w:rsid w:val="005A39D4"/>
    <w:rsid w:val="005A3CB9"/>
    <w:rsid w:val="005A4657"/>
    <w:rsid w:val="005A4D72"/>
    <w:rsid w:val="005A5FBF"/>
    <w:rsid w:val="005A65AA"/>
    <w:rsid w:val="005A674F"/>
    <w:rsid w:val="005A67D5"/>
    <w:rsid w:val="005A7081"/>
    <w:rsid w:val="005A73C5"/>
    <w:rsid w:val="005A77F7"/>
    <w:rsid w:val="005A78A3"/>
    <w:rsid w:val="005A7AC1"/>
    <w:rsid w:val="005A7CA3"/>
    <w:rsid w:val="005B04A5"/>
    <w:rsid w:val="005B0EBE"/>
    <w:rsid w:val="005B1264"/>
    <w:rsid w:val="005B17D4"/>
    <w:rsid w:val="005B1AC6"/>
    <w:rsid w:val="005B22B9"/>
    <w:rsid w:val="005B2307"/>
    <w:rsid w:val="005B245C"/>
    <w:rsid w:val="005B2661"/>
    <w:rsid w:val="005B3066"/>
    <w:rsid w:val="005B3844"/>
    <w:rsid w:val="005B3A93"/>
    <w:rsid w:val="005B3C75"/>
    <w:rsid w:val="005B3C7D"/>
    <w:rsid w:val="005B514C"/>
    <w:rsid w:val="005B6820"/>
    <w:rsid w:val="005B7729"/>
    <w:rsid w:val="005B78AD"/>
    <w:rsid w:val="005B791D"/>
    <w:rsid w:val="005C077C"/>
    <w:rsid w:val="005C224A"/>
    <w:rsid w:val="005C247A"/>
    <w:rsid w:val="005C26BD"/>
    <w:rsid w:val="005C28B7"/>
    <w:rsid w:val="005C2956"/>
    <w:rsid w:val="005C33E6"/>
    <w:rsid w:val="005C3A1E"/>
    <w:rsid w:val="005C4B00"/>
    <w:rsid w:val="005C4D2E"/>
    <w:rsid w:val="005C5D13"/>
    <w:rsid w:val="005C614B"/>
    <w:rsid w:val="005C68A4"/>
    <w:rsid w:val="005C716A"/>
    <w:rsid w:val="005C76D4"/>
    <w:rsid w:val="005C7C6A"/>
    <w:rsid w:val="005C7E48"/>
    <w:rsid w:val="005D01E0"/>
    <w:rsid w:val="005D107F"/>
    <w:rsid w:val="005D10F4"/>
    <w:rsid w:val="005D1B8E"/>
    <w:rsid w:val="005D20FE"/>
    <w:rsid w:val="005D265C"/>
    <w:rsid w:val="005D26EB"/>
    <w:rsid w:val="005D2F1B"/>
    <w:rsid w:val="005D368D"/>
    <w:rsid w:val="005D3CF7"/>
    <w:rsid w:val="005D4022"/>
    <w:rsid w:val="005D446E"/>
    <w:rsid w:val="005D47FD"/>
    <w:rsid w:val="005D52AA"/>
    <w:rsid w:val="005D557B"/>
    <w:rsid w:val="005D57DA"/>
    <w:rsid w:val="005D6012"/>
    <w:rsid w:val="005D699C"/>
    <w:rsid w:val="005D7263"/>
    <w:rsid w:val="005D7569"/>
    <w:rsid w:val="005D77AB"/>
    <w:rsid w:val="005D7DAF"/>
    <w:rsid w:val="005D7F80"/>
    <w:rsid w:val="005E0373"/>
    <w:rsid w:val="005E0D59"/>
    <w:rsid w:val="005E104D"/>
    <w:rsid w:val="005E163F"/>
    <w:rsid w:val="005E2068"/>
    <w:rsid w:val="005E2A33"/>
    <w:rsid w:val="005E2C1A"/>
    <w:rsid w:val="005E2CC4"/>
    <w:rsid w:val="005E2D93"/>
    <w:rsid w:val="005E3F84"/>
    <w:rsid w:val="005E463F"/>
    <w:rsid w:val="005E4A25"/>
    <w:rsid w:val="005E5410"/>
    <w:rsid w:val="005E596C"/>
    <w:rsid w:val="005E5A26"/>
    <w:rsid w:val="005E5C3C"/>
    <w:rsid w:val="005E70A1"/>
    <w:rsid w:val="005E744D"/>
    <w:rsid w:val="005E7468"/>
    <w:rsid w:val="005E772F"/>
    <w:rsid w:val="005E79A0"/>
    <w:rsid w:val="005E7A63"/>
    <w:rsid w:val="005F0210"/>
    <w:rsid w:val="005F0687"/>
    <w:rsid w:val="005F0952"/>
    <w:rsid w:val="005F130E"/>
    <w:rsid w:val="005F19F3"/>
    <w:rsid w:val="005F1AC0"/>
    <w:rsid w:val="005F21D8"/>
    <w:rsid w:val="005F259D"/>
    <w:rsid w:val="005F2E98"/>
    <w:rsid w:val="005F32AE"/>
    <w:rsid w:val="005F43E7"/>
    <w:rsid w:val="005F4472"/>
    <w:rsid w:val="005F5EC6"/>
    <w:rsid w:val="005F5F75"/>
    <w:rsid w:val="005F6922"/>
    <w:rsid w:val="005F6BB7"/>
    <w:rsid w:val="005F73AF"/>
    <w:rsid w:val="005F7469"/>
    <w:rsid w:val="005F7FFA"/>
    <w:rsid w:val="006002F4"/>
    <w:rsid w:val="00600E0E"/>
    <w:rsid w:val="00600F48"/>
    <w:rsid w:val="00601704"/>
    <w:rsid w:val="00601DE8"/>
    <w:rsid w:val="006021BB"/>
    <w:rsid w:val="00602204"/>
    <w:rsid w:val="0060267E"/>
    <w:rsid w:val="00602693"/>
    <w:rsid w:val="00603576"/>
    <w:rsid w:val="00603765"/>
    <w:rsid w:val="00603FDC"/>
    <w:rsid w:val="00604495"/>
    <w:rsid w:val="0060552D"/>
    <w:rsid w:val="00605F4E"/>
    <w:rsid w:val="006066E5"/>
    <w:rsid w:val="00606CEB"/>
    <w:rsid w:val="00606F0F"/>
    <w:rsid w:val="00606F6D"/>
    <w:rsid w:val="006101ED"/>
    <w:rsid w:val="00610EBB"/>
    <w:rsid w:val="00610F50"/>
    <w:rsid w:val="0061100A"/>
    <w:rsid w:val="00611415"/>
    <w:rsid w:val="00611CB5"/>
    <w:rsid w:val="00612498"/>
    <w:rsid w:val="0061305A"/>
    <w:rsid w:val="00613156"/>
    <w:rsid w:val="00613D8E"/>
    <w:rsid w:val="00614407"/>
    <w:rsid w:val="0061470E"/>
    <w:rsid w:val="00615A55"/>
    <w:rsid w:val="00615CCC"/>
    <w:rsid w:val="00615FCC"/>
    <w:rsid w:val="006160AA"/>
    <w:rsid w:val="00616498"/>
    <w:rsid w:val="0061785E"/>
    <w:rsid w:val="00620C6E"/>
    <w:rsid w:val="00620FCF"/>
    <w:rsid w:val="0062149A"/>
    <w:rsid w:val="0062159F"/>
    <w:rsid w:val="006222EC"/>
    <w:rsid w:val="00622B2A"/>
    <w:rsid w:val="00622CFE"/>
    <w:rsid w:val="006232C3"/>
    <w:rsid w:val="006237FA"/>
    <w:rsid w:val="00623BA7"/>
    <w:rsid w:val="0062441A"/>
    <w:rsid w:val="00624825"/>
    <w:rsid w:val="00625840"/>
    <w:rsid w:val="00625A90"/>
    <w:rsid w:val="00626681"/>
    <w:rsid w:val="006268C3"/>
    <w:rsid w:val="00626C6F"/>
    <w:rsid w:val="00627019"/>
    <w:rsid w:val="00627659"/>
    <w:rsid w:val="00627748"/>
    <w:rsid w:val="00627D93"/>
    <w:rsid w:val="006306D6"/>
    <w:rsid w:val="00630B7A"/>
    <w:rsid w:val="00630C31"/>
    <w:rsid w:val="00630C45"/>
    <w:rsid w:val="00630D8A"/>
    <w:rsid w:val="00630EE7"/>
    <w:rsid w:val="0063191E"/>
    <w:rsid w:val="006319B6"/>
    <w:rsid w:val="006323B5"/>
    <w:rsid w:val="0063286C"/>
    <w:rsid w:val="006328DB"/>
    <w:rsid w:val="00632B0C"/>
    <w:rsid w:val="00632BF1"/>
    <w:rsid w:val="00632E86"/>
    <w:rsid w:val="00633922"/>
    <w:rsid w:val="00633CD0"/>
    <w:rsid w:val="006341FE"/>
    <w:rsid w:val="006354AE"/>
    <w:rsid w:val="006367DD"/>
    <w:rsid w:val="006375C8"/>
    <w:rsid w:val="0063795C"/>
    <w:rsid w:val="00640786"/>
    <w:rsid w:val="00640BC6"/>
    <w:rsid w:val="00640DE4"/>
    <w:rsid w:val="00640F08"/>
    <w:rsid w:val="00640F4A"/>
    <w:rsid w:val="006415A8"/>
    <w:rsid w:val="0064232C"/>
    <w:rsid w:val="00642EF1"/>
    <w:rsid w:val="0064311E"/>
    <w:rsid w:val="00643173"/>
    <w:rsid w:val="006432B7"/>
    <w:rsid w:val="006437C1"/>
    <w:rsid w:val="006439C6"/>
    <w:rsid w:val="00643C9B"/>
    <w:rsid w:val="00643FAA"/>
    <w:rsid w:val="00645E69"/>
    <w:rsid w:val="006462A2"/>
    <w:rsid w:val="00646944"/>
    <w:rsid w:val="00646C43"/>
    <w:rsid w:val="00647100"/>
    <w:rsid w:val="00647248"/>
    <w:rsid w:val="00647383"/>
    <w:rsid w:val="00650F49"/>
    <w:rsid w:val="006514CC"/>
    <w:rsid w:val="00651984"/>
    <w:rsid w:val="00651CAD"/>
    <w:rsid w:val="006535B9"/>
    <w:rsid w:val="00653927"/>
    <w:rsid w:val="006539BE"/>
    <w:rsid w:val="00653DCA"/>
    <w:rsid w:val="0065435F"/>
    <w:rsid w:val="00654FB8"/>
    <w:rsid w:val="0065548B"/>
    <w:rsid w:val="00655558"/>
    <w:rsid w:val="00656824"/>
    <w:rsid w:val="00656AF9"/>
    <w:rsid w:val="00657538"/>
    <w:rsid w:val="006575A1"/>
    <w:rsid w:val="00657CEE"/>
    <w:rsid w:val="00657D23"/>
    <w:rsid w:val="00657E42"/>
    <w:rsid w:val="00660B47"/>
    <w:rsid w:val="00660B6B"/>
    <w:rsid w:val="00660CEF"/>
    <w:rsid w:val="006618FA"/>
    <w:rsid w:val="00662BBC"/>
    <w:rsid w:val="006642B7"/>
    <w:rsid w:val="00664F43"/>
    <w:rsid w:val="00666964"/>
    <w:rsid w:val="0066736F"/>
    <w:rsid w:val="00667614"/>
    <w:rsid w:val="00667695"/>
    <w:rsid w:val="006677CA"/>
    <w:rsid w:val="00670090"/>
    <w:rsid w:val="00670328"/>
    <w:rsid w:val="0067053F"/>
    <w:rsid w:val="00670932"/>
    <w:rsid w:val="00671B89"/>
    <w:rsid w:val="00671BDE"/>
    <w:rsid w:val="0067242A"/>
    <w:rsid w:val="00672D30"/>
    <w:rsid w:val="006732CC"/>
    <w:rsid w:val="0067376D"/>
    <w:rsid w:val="00673D30"/>
    <w:rsid w:val="00674C38"/>
    <w:rsid w:val="00674FD3"/>
    <w:rsid w:val="00675224"/>
    <w:rsid w:val="00675447"/>
    <w:rsid w:val="006759E4"/>
    <w:rsid w:val="00675D1C"/>
    <w:rsid w:val="006761BD"/>
    <w:rsid w:val="00676657"/>
    <w:rsid w:val="00676667"/>
    <w:rsid w:val="0067666D"/>
    <w:rsid w:val="006766F3"/>
    <w:rsid w:val="00676E74"/>
    <w:rsid w:val="00676F2F"/>
    <w:rsid w:val="00677392"/>
    <w:rsid w:val="006774A5"/>
    <w:rsid w:val="00680791"/>
    <w:rsid w:val="00681692"/>
    <w:rsid w:val="00682818"/>
    <w:rsid w:val="0068294C"/>
    <w:rsid w:val="00682E3D"/>
    <w:rsid w:val="006833B2"/>
    <w:rsid w:val="00683F33"/>
    <w:rsid w:val="00684B69"/>
    <w:rsid w:val="00684B8C"/>
    <w:rsid w:val="0068566A"/>
    <w:rsid w:val="006857FA"/>
    <w:rsid w:val="00685D15"/>
    <w:rsid w:val="00685F91"/>
    <w:rsid w:val="00686008"/>
    <w:rsid w:val="00686257"/>
    <w:rsid w:val="00686733"/>
    <w:rsid w:val="00686DBF"/>
    <w:rsid w:val="00686E20"/>
    <w:rsid w:val="00687132"/>
    <w:rsid w:val="00687BC8"/>
    <w:rsid w:val="00687C32"/>
    <w:rsid w:val="00690A01"/>
    <w:rsid w:val="00690E04"/>
    <w:rsid w:val="00691675"/>
    <w:rsid w:val="00691C15"/>
    <w:rsid w:val="00692731"/>
    <w:rsid w:val="006928DC"/>
    <w:rsid w:val="00692E0B"/>
    <w:rsid w:val="0069306A"/>
    <w:rsid w:val="006934A4"/>
    <w:rsid w:val="00693F32"/>
    <w:rsid w:val="00694A78"/>
    <w:rsid w:val="00694F5C"/>
    <w:rsid w:val="00695203"/>
    <w:rsid w:val="006954A3"/>
    <w:rsid w:val="006955B0"/>
    <w:rsid w:val="00695996"/>
    <w:rsid w:val="0069633C"/>
    <w:rsid w:val="00696C9B"/>
    <w:rsid w:val="006979C1"/>
    <w:rsid w:val="006A016A"/>
    <w:rsid w:val="006A07E7"/>
    <w:rsid w:val="006A0BD7"/>
    <w:rsid w:val="006A1125"/>
    <w:rsid w:val="006A1757"/>
    <w:rsid w:val="006A1847"/>
    <w:rsid w:val="006A2241"/>
    <w:rsid w:val="006A329A"/>
    <w:rsid w:val="006A4030"/>
    <w:rsid w:val="006A40F9"/>
    <w:rsid w:val="006A425E"/>
    <w:rsid w:val="006A671F"/>
    <w:rsid w:val="006A71BB"/>
    <w:rsid w:val="006A7735"/>
    <w:rsid w:val="006B1362"/>
    <w:rsid w:val="006B1AB0"/>
    <w:rsid w:val="006B1BE7"/>
    <w:rsid w:val="006B22A2"/>
    <w:rsid w:val="006B23F2"/>
    <w:rsid w:val="006B2D00"/>
    <w:rsid w:val="006B3086"/>
    <w:rsid w:val="006B33E4"/>
    <w:rsid w:val="006B3B4B"/>
    <w:rsid w:val="006B3F0D"/>
    <w:rsid w:val="006B4758"/>
    <w:rsid w:val="006B5018"/>
    <w:rsid w:val="006B514D"/>
    <w:rsid w:val="006B5343"/>
    <w:rsid w:val="006B57A4"/>
    <w:rsid w:val="006B6487"/>
    <w:rsid w:val="006B64D4"/>
    <w:rsid w:val="006B6723"/>
    <w:rsid w:val="006B70F1"/>
    <w:rsid w:val="006B72DF"/>
    <w:rsid w:val="006C0058"/>
    <w:rsid w:val="006C036F"/>
    <w:rsid w:val="006C0838"/>
    <w:rsid w:val="006C1A8B"/>
    <w:rsid w:val="006C1DC0"/>
    <w:rsid w:val="006C2B67"/>
    <w:rsid w:val="006C3231"/>
    <w:rsid w:val="006C3FFF"/>
    <w:rsid w:val="006C53F4"/>
    <w:rsid w:val="006C5477"/>
    <w:rsid w:val="006C55D2"/>
    <w:rsid w:val="006C5A70"/>
    <w:rsid w:val="006C5C21"/>
    <w:rsid w:val="006C5C2C"/>
    <w:rsid w:val="006C6093"/>
    <w:rsid w:val="006C6502"/>
    <w:rsid w:val="006C7566"/>
    <w:rsid w:val="006C7E3C"/>
    <w:rsid w:val="006D0B46"/>
    <w:rsid w:val="006D13F4"/>
    <w:rsid w:val="006D1BA7"/>
    <w:rsid w:val="006D1EE2"/>
    <w:rsid w:val="006D28D9"/>
    <w:rsid w:val="006D334F"/>
    <w:rsid w:val="006D4553"/>
    <w:rsid w:val="006D5951"/>
    <w:rsid w:val="006D59A4"/>
    <w:rsid w:val="006D62E4"/>
    <w:rsid w:val="006D681F"/>
    <w:rsid w:val="006D6AB1"/>
    <w:rsid w:val="006D7748"/>
    <w:rsid w:val="006E015A"/>
    <w:rsid w:val="006E06AC"/>
    <w:rsid w:val="006E0B56"/>
    <w:rsid w:val="006E14E0"/>
    <w:rsid w:val="006E19BB"/>
    <w:rsid w:val="006E262D"/>
    <w:rsid w:val="006E2FF8"/>
    <w:rsid w:val="006E31AE"/>
    <w:rsid w:val="006E361B"/>
    <w:rsid w:val="006E3E13"/>
    <w:rsid w:val="006E4026"/>
    <w:rsid w:val="006E5853"/>
    <w:rsid w:val="006E59DF"/>
    <w:rsid w:val="006E5E4A"/>
    <w:rsid w:val="006E616C"/>
    <w:rsid w:val="006E6596"/>
    <w:rsid w:val="006E67B3"/>
    <w:rsid w:val="006E787A"/>
    <w:rsid w:val="006E7B4B"/>
    <w:rsid w:val="006F0D9B"/>
    <w:rsid w:val="006F0E43"/>
    <w:rsid w:val="006F0EBD"/>
    <w:rsid w:val="006F1E32"/>
    <w:rsid w:val="006F2490"/>
    <w:rsid w:val="006F3CD9"/>
    <w:rsid w:val="006F3D42"/>
    <w:rsid w:val="006F42C0"/>
    <w:rsid w:val="006F4455"/>
    <w:rsid w:val="006F4779"/>
    <w:rsid w:val="006F48E3"/>
    <w:rsid w:val="006F4A76"/>
    <w:rsid w:val="006F5275"/>
    <w:rsid w:val="006F5685"/>
    <w:rsid w:val="006F5AD2"/>
    <w:rsid w:val="006F5D21"/>
    <w:rsid w:val="006F5DBC"/>
    <w:rsid w:val="006F6D25"/>
    <w:rsid w:val="006F72A9"/>
    <w:rsid w:val="006F7829"/>
    <w:rsid w:val="00700489"/>
    <w:rsid w:val="0070079F"/>
    <w:rsid w:val="0070089F"/>
    <w:rsid w:val="00700C99"/>
    <w:rsid w:val="0070103A"/>
    <w:rsid w:val="007013F6"/>
    <w:rsid w:val="007025E2"/>
    <w:rsid w:val="007030DC"/>
    <w:rsid w:val="007036F9"/>
    <w:rsid w:val="00703C66"/>
    <w:rsid w:val="00703F43"/>
    <w:rsid w:val="00704A15"/>
    <w:rsid w:val="00704F1C"/>
    <w:rsid w:val="00705227"/>
    <w:rsid w:val="00705A2C"/>
    <w:rsid w:val="00705D44"/>
    <w:rsid w:val="0070618C"/>
    <w:rsid w:val="0070639E"/>
    <w:rsid w:val="00706B7F"/>
    <w:rsid w:val="00706F27"/>
    <w:rsid w:val="00707574"/>
    <w:rsid w:val="00707DF5"/>
    <w:rsid w:val="007103BA"/>
    <w:rsid w:val="007106CF"/>
    <w:rsid w:val="00710D83"/>
    <w:rsid w:val="0071131D"/>
    <w:rsid w:val="00711393"/>
    <w:rsid w:val="007119B7"/>
    <w:rsid w:val="0071230E"/>
    <w:rsid w:val="007125F5"/>
    <w:rsid w:val="00713E94"/>
    <w:rsid w:val="00714240"/>
    <w:rsid w:val="007149C6"/>
    <w:rsid w:val="007149F9"/>
    <w:rsid w:val="00714FA1"/>
    <w:rsid w:val="00715389"/>
    <w:rsid w:val="00715D93"/>
    <w:rsid w:val="00717016"/>
    <w:rsid w:val="00717D5E"/>
    <w:rsid w:val="00720110"/>
    <w:rsid w:val="0072043E"/>
    <w:rsid w:val="00720647"/>
    <w:rsid w:val="0072069F"/>
    <w:rsid w:val="00721031"/>
    <w:rsid w:val="0072164D"/>
    <w:rsid w:val="007223FE"/>
    <w:rsid w:val="00723051"/>
    <w:rsid w:val="00723063"/>
    <w:rsid w:val="007234CD"/>
    <w:rsid w:val="00723562"/>
    <w:rsid w:val="00723619"/>
    <w:rsid w:val="00724032"/>
    <w:rsid w:val="00724322"/>
    <w:rsid w:val="007245C4"/>
    <w:rsid w:val="00724D8C"/>
    <w:rsid w:val="007251A0"/>
    <w:rsid w:val="00725E51"/>
    <w:rsid w:val="00726215"/>
    <w:rsid w:val="007262D7"/>
    <w:rsid w:val="007267E4"/>
    <w:rsid w:val="0073004D"/>
    <w:rsid w:val="007301C9"/>
    <w:rsid w:val="00730266"/>
    <w:rsid w:val="00731394"/>
    <w:rsid w:val="00731502"/>
    <w:rsid w:val="00731C23"/>
    <w:rsid w:val="00731C36"/>
    <w:rsid w:val="007323CD"/>
    <w:rsid w:val="0073275B"/>
    <w:rsid w:val="00732984"/>
    <w:rsid w:val="00733087"/>
    <w:rsid w:val="0073315A"/>
    <w:rsid w:val="007331A0"/>
    <w:rsid w:val="00733ABE"/>
    <w:rsid w:val="007342D0"/>
    <w:rsid w:val="0073580E"/>
    <w:rsid w:val="00735FD3"/>
    <w:rsid w:val="00736B4D"/>
    <w:rsid w:val="00736D18"/>
    <w:rsid w:val="007374C3"/>
    <w:rsid w:val="007376D9"/>
    <w:rsid w:val="00737C54"/>
    <w:rsid w:val="00737FF1"/>
    <w:rsid w:val="007405EE"/>
    <w:rsid w:val="00740BEF"/>
    <w:rsid w:val="00740DEE"/>
    <w:rsid w:val="00740E13"/>
    <w:rsid w:val="00741087"/>
    <w:rsid w:val="00741559"/>
    <w:rsid w:val="00741FF1"/>
    <w:rsid w:val="007430AB"/>
    <w:rsid w:val="0074348E"/>
    <w:rsid w:val="007434C4"/>
    <w:rsid w:val="007438DE"/>
    <w:rsid w:val="00743A8F"/>
    <w:rsid w:val="007443F8"/>
    <w:rsid w:val="00744FF2"/>
    <w:rsid w:val="00745195"/>
    <w:rsid w:val="007451F0"/>
    <w:rsid w:val="00746795"/>
    <w:rsid w:val="00746F47"/>
    <w:rsid w:val="00747065"/>
    <w:rsid w:val="00747762"/>
    <w:rsid w:val="00747C99"/>
    <w:rsid w:val="00747CC1"/>
    <w:rsid w:val="00750417"/>
    <w:rsid w:val="00750A42"/>
    <w:rsid w:val="00751649"/>
    <w:rsid w:val="00752268"/>
    <w:rsid w:val="00752364"/>
    <w:rsid w:val="00752B24"/>
    <w:rsid w:val="00752D52"/>
    <w:rsid w:val="00752FC5"/>
    <w:rsid w:val="007530B7"/>
    <w:rsid w:val="0075356F"/>
    <w:rsid w:val="007537A6"/>
    <w:rsid w:val="00753EEB"/>
    <w:rsid w:val="00754ACF"/>
    <w:rsid w:val="00755875"/>
    <w:rsid w:val="007559CC"/>
    <w:rsid w:val="00755B81"/>
    <w:rsid w:val="00755E40"/>
    <w:rsid w:val="007566FC"/>
    <w:rsid w:val="0075676D"/>
    <w:rsid w:val="0075692F"/>
    <w:rsid w:val="0075737D"/>
    <w:rsid w:val="007573EF"/>
    <w:rsid w:val="00760175"/>
    <w:rsid w:val="007601D6"/>
    <w:rsid w:val="00760206"/>
    <w:rsid w:val="00760700"/>
    <w:rsid w:val="00760A01"/>
    <w:rsid w:val="00760BDA"/>
    <w:rsid w:val="00761534"/>
    <w:rsid w:val="00761A0B"/>
    <w:rsid w:val="00761AA6"/>
    <w:rsid w:val="007621D9"/>
    <w:rsid w:val="007629E3"/>
    <w:rsid w:val="00762EC4"/>
    <w:rsid w:val="007635B5"/>
    <w:rsid w:val="007636A3"/>
    <w:rsid w:val="0076389B"/>
    <w:rsid w:val="00763F34"/>
    <w:rsid w:val="00764683"/>
    <w:rsid w:val="00764C98"/>
    <w:rsid w:val="00765573"/>
    <w:rsid w:val="007656DD"/>
    <w:rsid w:val="00765E05"/>
    <w:rsid w:val="00766256"/>
    <w:rsid w:val="00766323"/>
    <w:rsid w:val="00766696"/>
    <w:rsid w:val="00766AA6"/>
    <w:rsid w:val="007671C7"/>
    <w:rsid w:val="007705E1"/>
    <w:rsid w:val="00770FAA"/>
    <w:rsid w:val="00771131"/>
    <w:rsid w:val="007718A2"/>
    <w:rsid w:val="007726EB"/>
    <w:rsid w:val="00773370"/>
    <w:rsid w:val="007749E2"/>
    <w:rsid w:val="00774B30"/>
    <w:rsid w:val="00774F19"/>
    <w:rsid w:val="0077519B"/>
    <w:rsid w:val="007754A5"/>
    <w:rsid w:val="00776503"/>
    <w:rsid w:val="00776674"/>
    <w:rsid w:val="00776F14"/>
    <w:rsid w:val="00777AF1"/>
    <w:rsid w:val="00777C3C"/>
    <w:rsid w:val="00777EC8"/>
    <w:rsid w:val="00777F00"/>
    <w:rsid w:val="007804EB"/>
    <w:rsid w:val="00780656"/>
    <w:rsid w:val="0078173D"/>
    <w:rsid w:val="00781A61"/>
    <w:rsid w:val="00781C46"/>
    <w:rsid w:val="00781DA6"/>
    <w:rsid w:val="00782005"/>
    <w:rsid w:val="007820E5"/>
    <w:rsid w:val="00782799"/>
    <w:rsid w:val="007827A8"/>
    <w:rsid w:val="0078289A"/>
    <w:rsid w:val="0078301F"/>
    <w:rsid w:val="0078325A"/>
    <w:rsid w:val="00783518"/>
    <w:rsid w:val="00783CA9"/>
    <w:rsid w:val="00783D80"/>
    <w:rsid w:val="00786D58"/>
    <w:rsid w:val="00786E4A"/>
    <w:rsid w:val="0078713F"/>
    <w:rsid w:val="00790F27"/>
    <w:rsid w:val="00790F39"/>
    <w:rsid w:val="007918F7"/>
    <w:rsid w:val="00791C79"/>
    <w:rsid w:val="00791CBC"/>
    <w:rsid w:val="007924A6"/>
    <w:rsid w:val="0079254D"/>
    <w:rsid w:val="00792567"/>
    <w:rsid w:val="00792847"/>
    <w:rsid w:val="0079350F"/>
    <w:rsid w:val="00794A67"/>
    <w:rsid w:val="00794DE5"/>
    <w:rsid w:val="00794EEC"/>
    <w:rsid w:val="00795189"/>
    <w:rsid w:val="00795694"/>
    <w:rsid w:val="00795699"/>
    <w:rsid w:val="00795778"/>
    <w:rsid w:val="0079628B"/>
    <w:rsid w:val="00796C62"/>
    <w:rsid w:val="00796E90"/>
    <w:rsid w:val="007A00B0"/>
    <w:rsid w:val="007A040C"/>
    <w:rsid w:val="007A05CA"/>
    <w:rsid w:val="007A15A3"/>
    <w:rsid w:val="007A171E"/>
    <w:rsid w:val="007A17EA"/>
    <w:rsid w:val="007A29D2"/>
    <w:rsid w:val="007A32F3"/>
    <w:rsid w:val="007A3B6E"/>
    <w:rsid w:val="007A40EC"/>
    <w:rsid w:val="007A42ED"/>
    <w:rsid w:val="007A4861"/>
    <w:rsid w:val="007A4C8C"/>
    <w:rsid w:val="007A5189"/>
    <w:rsid w:val="007A5C06"/>
    <w:rsid w:val="007A66A7"/>
    <w:rsid w:val="007A6C4F"/>
    <w:rsid w:val="007A78CB"/>
    <w:rsid w:val="007A7A96"/>
    <w:rsid w:val="007A7E21"/>
    <w:rsid w:val="007B0247"/>
    <w:rsid w:val="007B0354"/>
    <w:rsid w:val="007B073C"/>
    <w:rsid w:val="007B0856"/>
    <w:rsid w:val="007B1025"/>
    <w:rsid w:val="007B1D78"/>
    <w:rsid w:val="007B1DE5"/>
    <w:rsid w:val="007B2097"/>
    <w:rsid w:val="007B266F"/>
    <w:rsid w:val="007B280C"/>
    <w:rsid w:val="007B28DB"/>
    <w:rsid w:val="007B2CDA"/>
    <w:rsid w:val="007B49BF"/>
    <w:rsid w:val="007B4D10"/>
    <w:rsid w:val="007B51E4"/>
    <w:rsid w:val="007B5659"/>
    <w:rsid w:val="007B575E"/>
    <w:rsid w:val="007B60E2"/>
    <w:rsid w:val="007B6925"/>
    <w:rsid w:val="007B7086"/>
    <w:rsid w:val="007B7441"/>
    <w:rsid w:val="007C049F"/>
    <w:rsid w:val="007C05DB"/>
    <w:rsid w:val="007C0A93"/>
    <w:rsid w:val="007C0AB8"/>
    <w:rsid w:val="007C0FD2"/>
    <w:rsid w:val="007C1FAA"/>
    <w:rsid w:val="007C23F5"/>
    <w:rsid w:val="007C24D0"/>
    <w:rsid w:val="007C2E8E"/>
    <w:rsid w:val="007C3DB7"/>
    <w:rsid w:val="007C424F"/>
    <w:rsid w:val="007C4D4E"/>
    <w:rsid w:val="007C4F9D"/>
    <w:rsid w:val="007C5072"/>
    <w:rsid w:val="007C5BEA"/>
    <w:rsid w:val="007C604D"/>
    <w:rsid w:val="007C610F"/>
    <w:rsid w:val="007C6534"/>
    <w:rsid w:val="007C67F0"/>
    <w:rsid w:val="007C75F4"/>
    <w:rsid w:val="007C7643"/>
    <w:rsid w:val="007C7ACB"/>
    <w:rsid w:val="007C7D55"/>
    <w:rsid w:val="007D072E"/>
    <w:rsid w:val="007D0FAA"/>
    <w:rsid w:val="007D1052"/>
    <w:rsid w:val="007D1142"/>
    <w:rsid w:val="007D13F9"/>
    <w:rsid w:val="007D14D7"/>
    <w:rsid w:val="007D1997"/>
    <w:rsid w:val="007D1AC0"/>
    <w:rsid w:val="007D36B8"/>
    <w:rsid w:val="007D3CAB"/>
    <w:rsid w:val="007D4158"/>
    <w:rsid w:val="007D473A"/>
    <w:rsid w:val="007D490A"/>
    <w:rsid w:val="007D4D5D"/>
    <w:rsid w:val="007D5164"/>
    <w:rsid w:val="007D5380"/>
    <w:rsid w:val="007D63AF"/>
    <w:rsid w:val="007D687A"/>
    <w:rsid w:val="007D6E8F"/>
    <w:rsid w:val="007D7164"/>
    <w:rsid w:val="007D732D"/>
    <w:rsid w:val="007D7514"/>
    <w:rsid w:val="007D7828"/>
    <w:rsid w:val="007D7E80"/>
    <w:rsid w:val="007D7F1F"/>
    <w:rsid w:val="007E069E"/>
    <w:rsid w:val="007E0CC7"/>
    <w:rsid w:val="007E1070"/>
    <w:rsid w:val="007E1190"/>
    <w:rsid w:val="007E192E"/>
    <w:rsid w:val="007E1D66"/>
    <w:rsid w:val="007E22B7"/>
    <w:rsid w:val="007E26CA"/>
    <w:rsid w:val="007E31E8"/>
    <w:rsid w:val="007E373D"/>
    <w:rsid w:val="007E3F07"/>
    <w:rsid w:val="007E4DE2"/>
    <w:rsid w:val="007E4DEC"/>
    <w:rsid w:val="007E5C3F"/>
    <w:rsid w:val="007E5EA8"/>
    <w:rsid w:val="007E616C"/>
    <w:rsid w:val="007E683B"/>
    <w:rsid w:val="007E6CE0"/>
    <w:rsid w:val="007E729A"/>
    <w:rsid w:val="007E7CA3"/>
    <w:rsid w:val="007E7E50"/>
    <w:rsid w:val="007E7E64"/>
    <w:rsid w:val="007F040A"/>
    <w:rsid w:val="007F047C"/>
    <w:rsid w:val="007F072A"/>
    <w:rsid w:val="007F0784"/>
    <w:rsid w:val="007F0DB4"/>
    <w:rsid w:val="007F0DE7"/>
    <w:rsid w:val="007F1304"/>
    <w:rsid w:val="007F1415"/>
    <w:rsid w:val="007F1449"/>
    <w:rsid w:val="007F1717"/>
    <w:rsid w:val="007F1F15"/>
    <w:rsid w:val="007F2C43"/>
    <w:rsid w:val="007F3A21"/>
    <w:rsid w:val="007F3A84"/>
    <w:rsid w:val="007F5084"/>
    <w:rsid w:val="007F61E3"/>
    <w:rsid w:val="007F6264"/>
    <w:rsid w:val="007F65FB"/>
    <w:rsid w:val="007F785F"/>
    <w:rsid w:val="007F7B07"/>
    <w:rsid w:val="007F7E00"/>
    <w:rsid w:val="007F7F59"/>
    <w:rsid w:val="007F7F95"/>
    <w:rsid w:val="00800A64"/>
    <w:rsid w:val="00800DCB"/>
    <w:rsid w:val="008025AE"/>
    <w:rsid w:val="0080264D"/>
    <w:rsid w:val="00803706"/>
    <w:rsid w:val="00804E79"/>
    <w:rsid w:val="0080510D"/>
    <w:rsid w:val="00805268"/>
    <w:rsid w:val="008057E4"/>
    <w:rsid w:val="00805D6A"/>
    <w:rsid w:val="008065D3"/>
    <w:rsid w:val="00806C39"/>
    <w:rsid w:val="00807050"/>
    <w:rsid w:val="008101B8"/>
    <w:rsid w:val="0081025B"/>
    <w:rsid w:val="00811440"/>
    <w:rsid w:val="00813223"/>
    <w:rsid w:val="0081341E"/>
    <w:rsid w:val="0081344D"/>
    <w:rsid w:val="0081377B"/>
    <w:rsid w:val="0081396C"/>
    <w:rsid w:val="00814810"/>
    <w:rsid w:val="008149DC"/>
    <w:rsid w:val="00814A98"/>
    <w:rsid w:val="00814AEC"/>
    <w:rsid w:val="00814C19"/>
    <w:rsid w:val="00815605"/>
    <w:rsid w:val="00815B87"/>
    <w:rsid w:val="00815C32"/>
    <w:rsid w:val="00815E3E"/>
    <w:rsid w:val="00816EA3"/>
    <w:rsid w:val="008174CF"/>
    <w:rsid w:val="00817F39"/>
    <w:rsid w:val="0082035E"/>
    <w:rsid w:val="00820401"/>
    <w:rsid w:val="0082084A"/>
    <w:rsid w:val="00820D7A"/>
    <w:rsid w:val="00820D85"/>
    <w:rsid w:val="0082136B"/>
    <w:rsid w:val="008215E1"/>
    <w:rsid w:val="00821D36"/>
    <w:rsid w:val="008221C7"/>
    <w:rsid w:val="00822B7A"/>
    <w:rsid w:val="00822D04"/>
    <w:rsid w:val="00822DE8"/>
    <w:rsid w:val="008233E0"/>
    <w:rsid w:val="00823E0B"/>
    <w:rsid w:val="00823EFB"/>
    <w:rsid w:val="00824A98"/>
    <w:rsid w:val="00824B08"/>
    <w:rsid w:val="0082510D"/>
    <w:rsid w:val="008260B2"/>
    <w:rsid w:val="00826385"/>
    <w:rsid w:val="00827419"/>
    <w:rsid w:val="00827795"/>
    <w:rsid w:val="00827A01"/>
    <w:rsid w:val="00830027"/>
    <w:rsid w:val="00831CF9"/>
    <w:rsid w:val="00832A8A"/>
    <w:rsid w:val="00832AE2"/>
    <w:rsid w:val="00834129"/>
    <w:rsid w:val="00835041"/>
    <w:rsid w:val="008356E2"/>
    <w:rsid w:val="00836038"/>
    <w:rsid w:val="00836265"/>
    <w:rsid w:val="008362E7"/>
    <w:rsid w:val="00836672"/>
    <w:rsid w:val="00836DE6"/>
    <w:rsid w:val="00840400"/>
    <w:rsid w:val="0084053E"/>
    <w:rsid w:val="00840895"/>
    <w:rsid w:val="0084149A"/>
    <w:rsid w:val="0084154D"/>
    <w:rsid w:val="00841A0A"/>
    <w:rsid w:val="00842BBA"/>
    <w:rsid w:val="00842CA5"/>
    <w:rsid w:val="00843AFD"/>
    <w:rsid w:val="00843F37"/>
    <w:rsid w:val="00844644"/>
    <w:rsid w:val="008450EC"/>
    <w:rsid w:val="00845731"/>
    <w:rsid w:val="00845CDD"/>
    <w:rsid w:val="00846568"/>
    <w:rsid w:val="00846A1B"/>
    <w:rsid w:val="008479AC"/>
    <w:rsid w:val="00847D70"/>
    <w:rsid w:val="00847EFF"/>
    <w:rsid w:val="00850095"/>
    <w:rsid w:val="00850319"/>
    <w:rsid w:val="00850F43"/>
    <w:rsid w:val="00851092"/>
    <w:rsid w:val="00851428"/>
    <w:rsid w:val="00851DD3"/>
    <w:rsid w:val="00852B45"/>
    <w:rsid w:val="00853321"/>
    <w:rsid w:val="0085338D"/>
    <w:rsid w:val="008536FE"/>
    <w:rsid w:val="00853A64"/>
    <w:rsid w:val="0085446B"/>
    <w:rsid w:val="00854BDB"/>
    <w:rsid w:val="008552F0"/>
    <w:rsid w:val="0085578E"/>
    <w:rsid w:val="00855C88"/>
    <w:rsid w:val="00855F3D"/>
    <w:rsid w:val="00856422"/>
    <w:rsid w:val="00856C77"/>
    <w:rsid w:val="00856E2A"/>
    <w:rsid w:val="0085704C"/>
    <w:rsid w:val="008578A7"/>
    <w:rsid w:val="00857F87"/>
    <w:rsid w:val="008604BE"/>
    <w:rsid w:val="00860A5E"/>
    <w:rsid w:val="008625AE"/>
    <w:rsid w:val="0086274D"/>
    <w:rsid w:val="00863177"/>
    <w:rsid w:val="00863DF2"/>
    <w:rsid w:val="00863F06"/>
    <w:rsid w:val="00864221"/>
    <w:rsid w:val="00864CDA"/>
    <w:rsid w:val="00864D2E"/>
    <w:rsid w:val="008655AC"/>
    <w:rsid w:val="00865BD7"/>
    <w:rsid w:val="00865C12"/>
    <w:rsid w:val="00866049"/>
    <w:rsid w:val="008661EE"/>
    <w:rsid w:val="00866828"/>
    <w:rsid w:val="00866C10"/>
    <w:rsid w:val="00866F60"/>
    <w:rsid w:val="008677D8"/>
    <w:rsid w:val="008679FB"/>
    <w:rsid w:val="00867F21"/>
    <w:rsid w:val="00870277"/>
    <w:rsid w:val="00870A32"/>
    <w:rsid w:val="00870F16"/>
    <w:rsid w:val="008716F8"/>
    <w:rsid w:val="0087192A"/>
    <w:rsid w:val="00871AE8"/>
    <w:rsid w:val="00871C8A"/>
    <w:rsid w:val="008724C1"/>
    <w:rsid w:val="0087254A"/>
    <w:rsid w:val="008728F7"/>
    <w:rsid w:val="00873235"/>
    <w:rsid w:val="008732B5"/>
    <w:rsid w:val="00873521"/>
    <w:rsid w:val="00873C94"/>
    <w:rsid w:val="008744C3"/>
    <w:rsid w:val="0087497F"/>
    <w:rsid w:val="00874CC7"/>
    <w:rsid w:val="00874DEE"/>
    <w:rsid w:val="008759E9"/>
    <w:rsid w:val="00875E3B"/>
    <w:rsid w:val="008761FA"/>
    <w:rsid w:val="008765A4"/>
    <w:rsid w:val="008779EA"/>
    <w:rsid w:val="00877C01"/>
    <w:rsid w:val="00880082"/>
    <w:rsid w:val="008804B3"/>
    <w:rsid w:val="0088051C"/>
    <w:rsid w:val="00880523"/>
    <w:rsid w:val="00880BC9"/>
    <w:rsid w:val="00880C95"/>
    <w:rsid w:val="00880E66"/>
    <w:rsid w:val="00881031"/>
    <w:rsid w:val="0088132E"/>
    <w:rsid w:val="00881CA3"/>
    <w:rsid w:val="00882056"/>
    <w:rsid w:val="0088277D"/>
    <w:rsid w:val="00882A62"/>
    <w:rsid w:val="00882E4F"/>
    <w:rsid w:val="00883A6E"/>
    <w:rsid w:val="00883F0D"/>
    <w:rsid w:val="00884168"/>
    <w:rsid w:val="008841CA"/>
    <w:rsid w:val="00884205"/>
    <w:rsid w:val="00884322"/>
    <w:rsid w:val="00884656"/>
    <w:rsid w:val="008852FE"/>
    <w:rsid w:val="00885A15"/>
    <w:rsid w:val="00885E14"/>
    <w:rsid w:val="0088629A"/>
    <w:rsid w:val="00886367"/>
    <w:rsid w:val="00887340"/>
    <w:rsid w:val="008877AF"/>
    <w:rsid w:val="00887A59"/>
    <w:rsid w:val="00887B61"/>
    <w:rsid w:val="00887E58"/>
    <w:rsid w:val="00890184"/>
    <w:rsid w:val="00890F82"/>
    <w:rsid w:val="0089265C"/>
    <w:rsid w:val="008933A5"/>
    <w:rsid w:val="00894279"/>
    <w:rsid w:val="00895748"/>
    <w:rsid w:val="00896345"/>
    <w:rsid w:val="00896CA1"/>
    <w:rsid w:val="00897718"/>
    <w:rsid w:val="00897B37"/>
    <w:rsid w:val="00897C9E"/>
    <w:rsid w:val="00897CFF"/>
    <w:rsid w:val="008A0405"/>
    <w:rsid w:val="008A0BC4"/>
    <w:rsid w:val="008A0C93"/>
    <w:rsid w:val="008A125C"/>
    <w:rsid w:val="008A136B"/>
    <w:rsid w:val="008A18F3"/>
    <w:rsid w:val="008A248E"/>
    <w:rsid w:val="008A24B1"/>
    <w:rsid w:val="008A26EF"/>
    <w:rsid w:val="008A29FE"/>
    <w:rsid w:val="008A2F11"/>
    <w:rsid w:val="008A2FBB"/>
    <w:rsid w:val="008A384D"/>
    <w:rsid w:val="008A399F"/>
    <w:rsid w:val="008A406D"/>
    <w:rsid w:val="008A4212"/>
    <w:rsid w:val="008A496E"/>
    <w:rsid w:val="008A4AB3"/>
    <w:rsid w:val="008A5652"/>
    <w:rsid w:val="008A57F0"/>
    <w:rsid w:val="008A6135"/>
    <w:rsid w:val="008A628F"/>
    <w:rsid w:val="008A6423"/>
    <w:rsid w:val="008A7067"/>
    <w:rsid w:val="008A7815"/>
    <w:rsid w:val="008A7E19"/>
    <w:rsid w:val="008B012C"/>
    <w:rsid w:val="008B0D7F"/>
    <w:rsid w:val="008B1121"/>
    <w:rsid w:val="008B1A71"/>
    <w:rsid w:val="008B1F6A"/>
    <w:rsid w:val="008B3122"/>
    <w:rsid w:val="008B3188"/>
    <w:rsid w:val="008B3AD8"/>
    <w:rsid w:val="008B3F0C"/>
    <w:rsid w:val="008B40F8"/>
    <w:rsid w:val="008B59E8"/>
    <w:rsid w:val="008B67CF"/>
    <w:rsid w:val="008B6A3F"/>
    <w:rsid w:val="008B6F0F"/>
    <w:rsid w:val="008B7CFC"/>
    <w:rsid w:val="008B7E3C"/>
    <w:rsid w:val="008C09EE"/>
    <w:rsid w:val="008C0E93"/>
    <w:rsid w:val="008C1023"/>
    <w:rsid w:val="008C1186"/>
    <w:rsid w:val="008C1464"/>
    <w:rsid w:val="008C1681"/>
    <w:rsid w:val="008C1B03"/>
    <w:rsid w:val="008C1EF9"/>
    <w:rsid w:val="008C33C0"/>
    <w:rsid w:val="008C34A5"/>
    <w:rsid w:val="008C3715"/>
    <w:rsid w:val="008C3EA3"/>
    <w:rsid w:val="008C3F31"/>
    <w:rsid w:val="008C3F87"/>
    <w:rsid w:val="008C4845"/>
    <w:rsid w:val="008C4934"/>
    <w:rsid w:val="008C4A38"/>
    <w:rsid w:val="008C55DF"/>
    <w:rsid w:val="008C5CF4"/>
    <w:rsid w:val="008C6B22"/>
    <w:rsid w:val="008C6EE4"/>
    <w:rsid w:val="008C70BA"/>
    <w:rsid w:val="008D047C"/>
    <w:rsid w:val="008D09FF"/>
    <w:rsid w:val="008D0A2C"/>
    <w:rsid w:val="008D14F4"/>
    <w:rsid w:val="008D15DA"/>
    <w:rsid w:val="008D1D08"/>
    <w:rsid w:val="008D23AC"/>
    <w:rsid w:val="008D254E"/>
    <w:rsid w:val="008D2D7E"/>
    <w:rsid w:val="008D2E42"/>
    <w:rsid w:val="008D3BA8"/>
    <w:rsid w:val="008D4190"/>
    <w:rsid w:val="008D4466"/>
    <w:rsid w:val="008D57A1"/>
    <w:rsid w:val="008D5814"/>
    <w:rsid w:val="008D59D8"/>
    <w:rsid w:val="008D5C51"/>
    <w:rsid w:val="008D6DA7"/>
    <w:rsid w:val="008D6F89"/>
    <w:rsid w:val="008D7962"/>
    <w:rsid w:val="008D796C"/>
    <w:rsid w:val="008D7F00"/>
    <w:rsid w:val="008E0710"/>
    <w:rsid w:val="008E096A"/>
    <w:rsid w:val="008E09BC"/>
    <w:rsid w:val="008E0C5A"/>
    <w:rsid w:val="008E11D4"/>
    <w:rsid w:val="008E1D5F"/>
    <w:rsid w:val="008E2B1C"/>
    <w:rsid w:val="008E2F2C"/>
    <w:rsid w:val="008E313B"/>
    <w:rsid w:val="008E3B78"/>
    <w:rsid w:val="008E3DA3"/>
    <w:rsid w:val="008E4105"/>
    <w:rsid w:val="008E42A3"/>
    <w:rsid w:val="008E45EC"/>
    <w:rsid w:val="008E4B00"/>
    <w:rsid w:val="008E5843"/>
    <w:rsid w:val="008E5B05"/>
    <w:rsid w:val="008E5F4F"/>
    <w:rsid w:val="008E60F5"/>
    <w:rsid w:val="008E6211"/>
    <w:rsid w:val="008E64CF"/>
    <w:rsid w:val="008E65AD"/>
    <w:rsid w:val="008E68DF"/>
    <w:rsid w:val="008E6971"/>
    <w:rsid w:val="008E760C"/>
    <w:rsid w:val="008E7B2B"/>
    <w:rsid w:val="008F088D"/>
    <w:rsid w:val="008F0BC7"/>
    <w:rsid w:val="008F16B3"/>
    <w:rsid w:val="008F1B28"/>
    <w:rsid w:val="008F1BC0"/>
    <w:rsid w:val="008F1C18"/>
    <w:rsid w:val="008F22EF"/>
    <w:rsid w:val="008F2824"/>
    <w:rsid w:val="008F3077"/>
    <w:rsid w:val="008F33B0"/>
    <w:rsid w:val="008F37C2"/>
    <w:rsid w:val="008F4363"/>
    <w:rsid w:val="008F4809"/>
    <w:rsid w:val="008F4C26"/>
    <w:rsid w:val="008F4CA7"/>
    <w:rsid w:val="008F4D8C"/>
    <w:rsid w:val="008F4F17"/>
    <w:rsid w:val="008F509E"/>
    <w:rsid w:val="008F5233"/>
    <w:rsid w:val="008F54F2"/>
    <w:rsid w:val="008F560A"/>
    <w:rsid w:val="008F5736"/>
    <w:rsid w:val="008F5794"/>
    <w:rsid w:val="008F61EE"/>
    <w:rsid w:val="008F652E"/>
    <w:rsid w:val="008F714A"/>
    <w:rsid w:val="008F715F"/>
    <w:rsid w:val="008F7349"/>
    <w:rsid w:val="008F7BF7"/>
    <w:rsid w:val="008F7F10"/>
    <w:rsid w:val="00900AF4"/>
    <w:rsid w:val="00900C11"/>
    <w:rsid w:val="00900C1A"/>
    <w:rsid w:val="00901F7C"/>
    <w:rsid w:val="009031E6"/>
    <w:rsid w:val="00903870"/>
    <w:rsid w:val="00904181"/>
    <w:rsid w:val="00904B19"/>
    <w:rsid w:val="00904DE5"/>
    <w:rsid w:val="009057E5"/>
    <w:rsid w:val="00905A8C"/>
    <w:rsid w:val="00905B9D"/>
    <w:rsid w:val="00906B30"/>
    <w:rsid w:val="00907133"/>
    <w:rsid w:val="0091063F"/>
    <w:rsid w:val="00911084"/>
    <w:rsid w:val="0091132E"/>
    <w:rsid w:val="00911793"/>
    <w:rsid w:val="009120F2"/>
    <w:rsid w:val="0091297B"/>
    <w:rsid w:val="0091385A"/>
    <w:rsid w:val="00913873"/>
    <w:rsid w:val="0091406B"/>
    <w:rsid w:val="0091440B"/>
    <w:rsid w:val="00914AC4"/>
    <w:rsid w:val="00914D74"/>
    <w:rsid w:val="00914DEF"/>
    <w:rsid w:val="009159FA"/>
    <w:rsid w:val="00915F62"/>
    <w:rsid w:val="00916776"/>
    <w:rsid w:val="00916BAF"/>
    <w:rsid w:val="00917528"/>
    <w:rsid w:val="00917F71"/>
    <w:rsid w:val="00921152"/>
    <w:rsid w:val="0092181F"/>
    <w:rsid w:val="009219A4"/>
    <w:rsid w:val="00922567"/>
    <w:rsid w:val="00922B46"/>
    <w:rsid w:val="00922E1A"/>
    <w:rsid w:val="009230E0"/>
    <w:rsid w:val="009233CB"/>
    <w:rsid w:val="0092405A"/>
    <w:rsid w:val="0092410A"/>
    <w:rsid w:val="009246A3"/>
    <w:rsid w:val="009249B8"/>
    <w:rsid w:val="009261A7"/>
    <w:rsid w:val="009266E7"/>
    <w:rsid w:val="00926AF7"/>
    <w:rsid w:val="00926F25"/>
    <w:rsid w:val="009272D9"/>
    <w:rsid w:val="00930254"/>
    <w:rsid w:val="00930AC9"/>
    <w:rsid w:val="009310F6"/>
    <w:rsid w:val="00931121"/>
    <w:rsid w:val="00931709"/>
    <w:rsid w:val="00932238"/>
    <w:rsid w:val="009322D9"/>
    <w:rsid w:val="009322EE"/>
    <w:rsid w:val="009327E7"/>
    <w:rsid w:val="00932E9A"/>
    <w:rsid w:val="0093349A"/>
    <w:rsid w:val="00933DFA"/>
    <w:rsid w:val="00934CB3"/>
    <w:rsid w:val="0093516C"/>
    <w:rsid w:val="0093594F"/>
    <w:rsid w:val="00935EFE"/>
    <w:rsid w:val="0093690F"/>
    <w:rsid w:val="00936E78"/>
    <w:rsid w:val="009375FF"/>
    <w:rsid w:val="0094102F"/>
    <w:rsid w:val="009412A4"/>
    <w:rsid w:val="00942A0D"/>
    <w:rsid w:val="0094371E"/>
    <w:rsid w:val="00943941"/>
    <w:rsid w:val="00943E3A"/>
    <w:rsid w:val="00944302"/>
    <w:rsid w:val="00944316"/>
    <w:rsid w:val="009444EB"/>
    <w:rsid w:val="00944883"/>
    <w:rsid w:val="00944E9D"/>
    <w:rsid w:val="00945348"/>
    <w:rsid w:val="00946773"/>
    <w:rsid w:val="00946D85"/>
    <w:rsid w:val="0094751C"/>
    <w:rsid w:val="00950BDD"/>
    <w:rsid w:val="00950E08"/>
    <w:rsid w:val="00951464"/>
    <w:rsid w:val="009518EE"/>
    <w:rsid w:val="0095256E"/>
    <w:rsid w:val="00952623"/>
    <w:rsid w:val="00952B90"/>
    <w:rsid w:val="0095308D"/>
    <w:rsid w:val="0095408B"/>
    <w:rsid w:val="0095439C"/>
    <w:rsid w:val="00954531"/>
    <w:rsid w:val="00954E80"/>
    <w:rsid w:val="0095585D"/>
    <w:rsid w:val="0095628D"/>
    <w:rsid w:val="00956933"/>
    <w:rsid w:val="009605C8"/>
    <w:rsid w:val="00960F41"/>
    <w:rsid w:val="0096193B"/>
    <w:rsid w:val="00962F71"/>
    <w:rsid w:val="009637B6"/>
    <w:rsid w:val="00963DA6"/>
    <w:rsid w:val="00963F23"/>
    <w:rsid w:val="009645D2"/>
    <w:rsid w:val="00964983"/>
    <w:rsid w:val="00964AF9"/>
    <w:rsid w:val="009661F0"/>
    <w:rsid w:val="009668B2"/>
    <w:rsid w:val="0096720C"/>
    <w:rsid w:val="00967F70"/>
    <w:rsid w:val="009726C7"/>
    <w:rsid w:val="00973CD1"/>
    <w:rsid w:val="00974210"/>
    <w:rsid w:val="0097473A"/>
    <w:rsid w:val="00974F22"/>
    <w:rsid w:val="00975147"/>
    <w:rsid w:val="009759B7"/>
    <w:rsid w:val="00975CD0"/>
    <w:rsid w:val="00975D08"/>
    <w:rsid w:val="0097616D"/>
    <w:rsid w:val="00976DBF"/>
    <w:rsid w:val="00977173"/>
    <w:rsid w:val="0098009A"/>
    <w:rsid w:val="00981188"/>
    <w:rsid w:val="009811BB"/>
    <w:rsid w:val="00981BA3"/>
    <w:rsid w:val="009823C3"/>
    <w:rsid w:val="00982A93"/>
    <w:rsid w:val="0098522E"/>
    <w:rsid w:val="009855FC"/>
    <w:rsid w:val="009856EC"/>
    <w:rsid w:val="00986524"/>
    <w:rsid w:val="00986B2C"/>
    <w:rsid w:val="00986CA7"/>
    <w:rsid w:val="009870E9"/>
    <w:rsid w:val="0098778F"/>
    <w:rsid w:val="00987BF9"/>
    <w:rsid w:val="00991A22"/>
    <w:rsid w:val="00991BF4"/>
    <w:rsid w:val="00991F64"/>
    <w:rsid w:val="00992668"/>
    <w:rsid w:val="00992AAC"/>
    <w:rsid w:val="00992DA2"/>
    <w:rsid w:val="00993157"/>
    <w:rsid w:val="00993C2D"/>
    <w:rsid w:val="009941E9"/>
    <w:rsid w:val="0099444E"/>
    <w:rsid w:val="00994576"/>
    <w:rsid w:val="009949EC"/>
    <w:rsid w:val="009954F3"/>
    <w:rsid w:val="009957E5"/>
    <w:rsid w:val="009958F1"/>
    <w:rsid w:val="009966AD"/>
    <w:rsid w:val="00996C64"/>
    <w:rsid w:val="00997203"/>
    <w:rsid w:val="00997347"/>
    <w:rsid w:val="009976B0"/>
    <w:rsid w:val="00997A30"/>
    <w:rsid w:val="009A062C"/>
    <w:rsid w:val="009A0B08"/>
    <w:rsid w:val="009A1201"/>
    <w:rsid w:val="009A1AC9"/>
    <w:rsid w:val="009A1CA0"/>
    <w:rsid w:val="009A220A"/>
    <w:rsid w:val="009A2230"/>
    <w:rsid w:val="009A2318"/>
    <w:rsid w:val="009A2349"/>
    <w:rsid w:val="009A2729"/>
    <w:rsid w:val="009A41B4"/>
    <w:rsid w:val="009A47F4"/>
    <w:rsid w:val="009A4B2A"/>
    <w:rsid w:val="009A4C8F"/>
    <w:rsid w:val="009A4DC9"/>
    <w:rsid w:val="009B0766"/>
    <w:rsid w:val="009B0A37"/>
    <w:rsid w:val="009B12FC"/>
    <w:rsid w:val="009B1AC4"/>
    <w:rsid w:val="009B1EC8"/>
    <w:rsid w:val="009B1EF0"/>
    <w:rsid w:val="009B225A"/>
    <w:rsid w:val="009B2E6D"/>
    <w:rsid w:val="009B2E73"/>
    <w:rsid w:val="009B3095"/>
    <w:rsid w:val="009B3118"/>
    <w:rsid w:val="009B3DF7"/>
    <w:rsid w:val="009B41E8"/>
    <w:rsid w:val="009B5327"/>
    <w:rsid w:val="009B548D"/>
    <w:rsid w:val="009B5CEA"/>
    <w:rsid w:val="009B6059"/>
    <w:rsid w:val="009B6F06"/>
    <w:rsid w:val="009B6F5D"/>
    <w:rsid w:val="009B7EAF"/>
    <w:rsid w:val="009C00C6"/>
    <w:rsid w:val="009C0C4E"/>
    <w:rsid w:val="009C160A"/>
    <w:rsid w:val="009C2252"/>
    <w:rsid w:val="009C3F0C"/>
    <w:rsid w:val="009C41F9"/>
    <w:rsid w:val="009C432E"/>
    <w:rsid w:val="009C43DB"/>
    <w:rsid w:val="009C4818"/>
    <w:rsid w:val="009C49DE"/>
    <w:rsid w:val="009C566B"/>
    <w:rsid w:val="009C56E3"/>
    <w:rsid w:val="009C629C"/>
    <w:rsid w:val="009C66C9"/>
    <w:rsid w:val="009C707D"/>
    <w:rsid w:val="009D06F2"/>
    <w:rsid w:val="009D1665"/>
    <w:rsid w:val="009D225F"/>
    <w:rsid w:val="009D290A"/>
    <w:rsid w:val="009D3504"/>
    <w:rsid w:val="009D37A9"/>
    <w:rsid w:val="009D3E76"/>
    <w:rsid w:val="009D474C"/>
    <w:rsid w:val="009D5557"/>
    <w:rsid w:val="009D5C0D"/>
    <w:rsid w:val="009D5C2D"/>
    <w:rsid w:val="009D5D9A"/>
    <w:rsid w:val="009D611D"/>
    <w:rsid w:val="009D63FE"/>
    <w:rsid w:val="009D6455"/>
    <w:rsid w:val="009D6C86"/>
    <w:rsid w:val="009D6D0D"/>
    <w:rsid w:val="009D7E28"/>
    <w:rsid w:val="009D7E69"/>
    <w:rsid w:val="009E0113"/>
    <w:rsid w:val="009E03D0"/>
    <w:rsid w:val="009E0631"/>
    <w:rsid w:val="009E063C"/>
    <w:rsid w:val="009E0AD2"/>
    <w:rsid w:val="009E0B25"/>
    <w:rsid w:val="009E0CEC"/>
    <w:rsid w:val="009E135B"/>
    <w:rsid w:val="009E1EAB"/>
    <w:rsid w:val="009E22F3"/>
    <w:rsid w:val="009E2818"/>
    <w:rsid w:val="009E28AB"/>
    <w:rsid w:val="009E2C4A"/>
    <w:rsid w:val="009E2D19"/>
    <w:rsid w:val="009E3379"/>
    <w:rsid w:val="009E33E1"/>
    <w:rsid w:val="009E3585"/>
    <w:rsid w:val="009E4198"/>
    <w:rsid w:val="009E56B1"/>
    <w:rsid w:val="009E5D28"/>
    <w:rsid w:val="009E6727"/>
    <w:rsid w:val="009E73A3"/>
    <w:rsid w:val="009E7886"/>
    <w:rsid w:val="009E7D80"/>
    <w:rsid w:val="009E7D81"/>
    <w:rsid w:val="009F0088"/>
    <w:rsid w:val="009F1460"/>
    <w:rsid w:val="009F1D9A"/>
    <w:rsid w:val="009F21D3"/>
    <w:rsid w:val="009F2861"/>
    <w:rsid w:val="009F2B7D"/>
    <w:rsid w:val="009F3717"/>
    <w:rsid w:val="009F3D1A"/>
    <w:rsid w:val="009F4FBC"/>
    <w:rsid w:val="009F57C9"/>
    <w:rsid w:val="009F63F8"/>
    <w:rsid w:val="009F66E2"/>
    <w:rsid w:val="009F67FF"/>
    <w:rsid w:val="009F691F"/>
    <w:rsid w:val="009F6B6D"/>
    <w:rsid w:val="009F6C82"/>
    <w:rsid w:val="009F6F32"/>
    <w:rsid w:val="009F780A"/>
    <w:rsid w:val="009F7A6B"/>
    <w:rsid w:val="00A00634"/>
    <w:rsid w:val="00A0115A"/>
    <w:rsid w:val="00A0159E"/>
    <w:rsid w:val="00A01A8D"/>
    <w:rsid w:val="00A01CAA"/>
    <w:rsid w:val="00A01D46"/>
    <w:rsid w:val="00A01E5C"/>
    <w:rsid w:val="00A01F4C"/>
    <w:rsid w:val="00A02669"/>
    <w:rsid w:val="00A02B19"/>
    <w:rsid w:val="00A02C95"/>
    <w:rsid w:val="00A0339C"/>
    <w:rsid w:val="00A044B6"/>
    <w:rsid w:val="00A04A70"/>
    <w:rsid w:val="00A0604D"/>
    <w:rsid w:val="00A06329"/>
    <w:rsid w:val="00A07A49"/>
    <w:rsid w:val="00A07AAD"/>
    <w:rsid w:val="00A07C7A"/>
    <w:rsid w:val="00A10CC7"/>
    <w:rsid w:val="00A11234"/>
    <w:rsid w:val="00A12A8E"/>
    <w:rsid w:val="00A1351B"/>
    <w:rsid w:val="00A13EC7"/>
    <w:rsid w:val="00A142A1"/>
    <w:rsid w:val="00A14581"/>
    <w:rsid w:val="00A1508D"/>
    <w:rsid w:val="00A15429"/>
    <w:rsid w:val="00A15478"/>
    <w:rsid w:val="00A15B13"/>
    <w:rsid w:val="00A15E8A"/>
    <w:rsid w:val="00A16235"/>
    <w:rsid w:val="00A16623"/>
    <w:rsid w:val="00A1688E"/>
    <w:rsid w:val="00A176DC"/>
    <w:rsid w:val="00A17754"/>
    <w:rsid w:val="00A17947"/>
    <w:rsid w:val="00A17B65"/>
    <w:rsid w:val="00A20435"/>
    <w:rsid w:val="00A20C5B"/>
    <w:rsid w:val="00A218E9"/>
    <w:rsid w:val="00A21F91"/>
    <w:rsid w:val="00A22B61"/>
    <w:rsid w:val="00A23107"/>
    <w:rsid w:val="00A2385D"/>
    <w:rsid w:val="00A23BDE"/>
    <w:rsid w:val="00A23CC1"/>
    <w:rsid w:val="00A2464C"/>
    <w:rsid w:val="00A24C61"/>
    <w:rsid w:val="00A24E8A"/>
    <w:rsid w:val="00A2501A"/>
    <w:rsid w:val="00A252B5"/>
    <w:rsid w:val="00A255DE"/>
    <w:rsid w:val="00A25729"/>
    <w:rsid w:val="00A2593A"/>
    <w:rsid w:val="00A265D4"/>
    <w:rsid w:val="00A26863"/>
    <w:rsid w:val="00A26ABC"/>
    <w:rsid w:val="00A26E5F"/>
    <w:rsid w:val="00A26F7C"/>
    <w:rsid w:val="00A27094"/>
    <w:rsid w:val="00A273D0"/>
    <w:rsid w:val="00A27A33"/>
    <w:rsid w:val="00A301C8"/>
    <w:rsid w:val="00A308C1"/>
    <w:rsid w:val="00A30F41"/>
    <w:rsid w:val="00A31946"/>
    <w:rsid w:val="00A31C62"/>
    <w:rsid w:val="00A32239"/>
    <w:rsid w:val="00A323B1"/>
    <w:rsid w:val="00A32916"/>
    <w:rsid w:val="00A32FB8"/>
    <w:rsid w:val="00A3384E"/>
    <w:rsid w:val="00A34155"/>
    <w:rsid w:val="00A343E3"/>
    <w:rsid w:val="00A3482E"/>
    <w:rsid w:val="00A34D66"/>
    <w:rsid w:val="00A355EC"/>
    <w:rsid w:val="00A35C22"/>
    <w:rsid w:val="00A36246"/>
    <w:rsid w:val="00A362FA"/>
    <w:rsid w:val="00A36E61"/>
    <w:rsid w:val="00A3725E"/>
    <w:rsid w:val="00A378FB"/>
    <w:rsid w:val="00A37EC8"/>
    <w:rsid w:val="00A408C0"/>
    <w:rsid w:val="00A40A00"/>
    <w:rsid w:val="00A40B5A"/>
    <w:rsid w:val="00A40CCB"/>
    <w:rsid w:val="00A41958"/>
    <w:rsid w:val="00A4222C"/>
    <w:rsid w:val="00A425EB"/>
    <w:rsid w:val="00A4260F"/>
    <w:rsid w:val="00A4270F"/>
    <w:rsid w:val="00A43154"/>
    <w:rsid w:val="00A436C5"/>
    <w:rsid w:val="00A440ED"/>
    <w:rsid w:val="00A44293"/>
    <w:rsid w:val="00A44898"/>
    <w:rsid w:val="00A44C3E"/>
    <w:rsid w:val="00A45D98"/>
    <w:rsid w:val="00A46FF1"/>
    <w:rsid w:val="00A470CB"/>
    <w:rsid w:val="00A47111"/>
    <w:rsid w:val="00A47CE2"/>
    <w:rsid w:val="00A47D6C"/>
    <w:rsid w:val="00A50B80"/>
    <w:rsid w:val="00A50FCB"/>
    <w:rsid w:val="00A51B67"/>
    <w:rsid w:val="00A5277E"/>
    <w:rsid w:val="00A52F5F"/>
    <w:rsid w:val="00A53423"/>
    <w:rsid w:val="00A54461"/>
    <w:rsid w:val="00A54B17"/>
    <w:rsid w:val="00A553E0"/>
    <w:rsid w:val="00A5546F"/>
    <w:rsid w:val="00A557C2"/>
    <w:rsid w:val="00A55B94"/>
    <w:rsid w:val="00A55B9F"/>
    <w:rsid w:val="00A565E7"/>
    <w:rsid w:val="00A56621"/>
    <w:rsid w:val="00A5754D"/>
    <w:rsid w:val="00A5769E"/>
    <w:rsid w:val="00A60017"/>
    <w:rsid w:val="00A60520"/>
    <w:rsid w:val="00A60FDC"/>
    <w:rsid w:val="00A61AE4"/>
    <w:rsid w:val="00A62A16"/>
    <w:rsid w:val="00A630C0"/>
    <w:rsid w:val="00A63210"/>
    <w:rsid w:val="00A65CA8"/>
    <w:rsid w:val="00A65ED0"/>
    <w:rsid w:val="00A66A54"/>
    <w:rsid w:val="00A677BB"/>
    <w:rsid w:val="00A67863"/>
    <w:rsid w:val="00A70846"/>
    <w:rsid w:val="00A70B30"/>
    <w:rsid w:val="00A71975"/>
    <w:rsid w:val="00A71AE5"/>
    <w:rsid w:val="00A71C32"/>
    <w:rsid w:val="00A71FEA"/>
    <w:rsid w:val="00A720F1"/>
    <w:rsid w:val="00A72CCD"/>
    <w:rsid w:val="00A73C0D"/>
    <w:rsid w:val="00A73CBD"/>
    <w:rsid w:val="00A7413F"/>
    <w:rsid w:val="00A7447C"/>
    <w:rsid w:val="00A74D95"/>
    <w:rsid w:val="00A750DB"/>
    <w:rsid w:val="00A7576F"/>
    <w:rsid w:val="00A762D6"/>
    <w:rsid w:val="00A7634A"/>
    <w:rsid w:val="00A7652C"/>
    <w:rsid w:val="00A76D20"/>
    <w:rsid w:val="00A76DD0"/>
    <w:rsid w:val="00A76E8D"/>
    <w:rsid w:val="00A76F22"/>
    <w:rsid w:val="00A77419"/>
    <w:rsid w:val="00A778FD"/>
    <w:rsid w:val="00A77AE5"/>
    <w:rsid w:val="00A77B63"/>
    <w:rsid w:val="00A803AA"/>
    <w:rsid w:val="00A80B17"/>
    <w:rsid w:val="00A81961"/>
    <w:rsid w:val="00A81ED6"/>
    <w:rsid w:val="00A828AC"/>
    <w:rsid w:val="00A82AAC"/>
    <w:rsid w:val="00A82CDC"/>
    <w:rsid w:val="00A83009"/>
    <w:rsid w:val="00A83D23"/>
    <w:rsid w:val="00A83E04"/>
    <w:rsid w:val="00A84025"/>
    <w:rsid w:val="00A840B1"/>
    <w:rsid w:val="00A8421C"/>
    <w:rsid w:val="00A84611"/>
    <w:rsid w:val="00A84A47"/>
    <w:rsid w:val="00A865B5"/>
    <w:rsid w:val="00A868CA"/>
    <w:rsid w:val="00A8703F"/>
    <w:rsid w:val="00A871D7"/>
    <w:rsid w:val="00A87FFA"/>
    <w:rsid w:val="00A90460"/>
    <w:rsid w:val="00A90FF2"/>
    <w:rsid w:val="00A919B4"/>
    <w:rsid w:val="00A91D76"/>
    <w:rsid w:val="00A91DD5"/>
    <w:rsid w:val="00A9222E"/>
    <w:rsid w:val="00A92A60"/>
    <w:rsid w:val="00A93067"/>
    <w:rsid w:val="00A9383B"/>
    <w:rsid w:val="00A948E8"/>
    <w:rsid w:val="00A95D03"/>
    <w:rsid w:val="00A96ECC"/>
    <w:rsid w:val="00A972F2"/>
    <w:rsid w:val="00A973FE"/>
    <w:rsid w:val="00A97FC4"/>
    <w:rsid w:val="00AA000A"/>
    <w:rsid w:val="00AA0E34"/>
    <w:rsid w:val="00AA1323"/>
    <w:rsid w:val="00AA2415"/>
    <w:rsid w:val="00AA299C"/>
    <w:rsid w:val="00AA336F"/>
    <w:rsid w:val="00AA41E5"/>
    <w:rsid w:val="00AA44EA"/>
    <w:rsid w:val="00AA467D"/>
    <w:rsid w:val="00AA4711"/>
    <w:rsid w:val="00AA4CB9"/>
    <w:rsid w:val="00AA5787"/>
    <w:rsid w:val="00AA5BF3"/>
    <w:rsid w:val="00AA62F1"/>
    <w:rsid w:val="00AA67BB"/>
    <w:rsid w:val="00AA683C"/>
    <w:rsid w:val="00AA70C3"/>
    <w:rsid w:val="00AA7645"/>
    <w:rsid w:val="00AB053B"/>
    <w:rsid w:val="00AB094D"/>
    <w:rsid w:val="00AB0B7B"/>
    <w:rsid w:val="00AB0EBD"/>
    <w:rsid w:val="00AB1053"/>
    <w:rsid w:val="00AB1148"/>
    <w:rsid w:val="00AB1292"/>
    <w:rsid w:val="00AB1371"/>
    <w:rsid w:val="00AB2033"/>
    <w:rsid w:val="00AB2143"/>
    <w:rsid w:val="00AB25AB"/>
    <w:rsid w:val="00AB2747"/>
    <w:rsid w:val="00AB2930"/>
    <w:rsid w:val="00AB3BC9"/>
    <w:rsid w:val="00AB4425"/>
    <w:rsid w:val="00AB53DC"/>
    <w:rsid w:val="00AB584D"/>
    <w:rsid w:val="00AB654A"/>
    <w:rsid w:val="00AB65C9"/>
    <w:rsid w:val="00AB667E"/>
    <w:rsid w:val="00AB6B16"/>
    <w:rsid w:val="00AB7277"/>
    <w:rsid w:val="00AB7CE7"/>
    <w:rsid w:val="00AC0222"/>
    <w:rsid w:val="00AC0499"/>
    <w:rsid w:val="00AC14C8"/>
    <w:rsid w:val="00AC1ED6"/>
    <w:rsid w:val="00AC2231"/>
    <w:rsid w:val="00AC28E9"/>
    <w:rsid w:val="00AC3A02"/>
    <w:rsid w:val="00AC3A9A"/>
    <w:rsid w:val="00AC5F26"/>
    <w:rsid w:val="00AC642F"/>
    <w:rsid w:val="00AC6B6C"/>
    <w:rsid w:val="00AC6E71"/>
    <w:rsid w:val="00AC7031"/>
    <w:rsid w:val="00AC791F"/>
    <w:rsid w:val="00AC7984"/>
    <w:rsid w:val="00AC7E53"/>
    <w:rsid w:val="00AD0B1C"/>
    <w:rsid w:val="00AD0B30"/>
    <w:rsid w:val="00AD1B7C"/>
    <w:rsid w:val="00AD252B"/>
    <w:rsid w:val="00AD42B6"/>
    <w:rsid w:val="00AD4430"/>
    <w:rsid w:val="00AD4899"/>
    <w:rsid w:val="00AD48F5"/>
    <w:rsid w:val="00AD525E"/>
    <w:rsid w:val="00AD5541"/>
    <w:rsid w:val="00AD7327"/>
    <w:rsid w:val="00AE0988"/>
    <w:rsid w:val="00AE0BE7"/>
    <w:rsid w:val="00AE1C85"/>
    <w:rsid w:val="00AE1DDF"/>
    <w:rsid w:val="00AE2016"/>
    <w:rsid w:val="00AE296B"/>
    <w:rsid w:val="00AE2B13"/>
    <w:rsid w:val="00AE2EAE"/>
    <w:rsid w:val="00AE33B0"/>
    <w:rsid w:val="00AE37D2"/>
    <w:rsid w:val="00AE3F7B"/>
    <w:rsid w:val="00AE4941"/>
    <w:rsid w:val="00AE496E"/>
    <w:rsid w:val="00AE5553"/>
    <w:rsid w:val="00AE6039"/>
    <w:rsid w:val="00AE60D5"/>
    <w:rsid w:val="00AE6AFE"/>
    <w:rsid w:val="00AE7237"/>
    <w:rsid w:val="00AE740A"/>
    <w:rsid w:val="00AE761B"/>
    <w:rsid w:val="00AE7ABE"/>
    <w:rsid w:val="00AE7FF7"/>
    <w:rsid w:val="00AF06E9"/>
    <w:rsid w:val="00AF0873"/>
    <w:rsid w:val="00AF0B51"/>
    <w:rsid w:val="00AF10DB"/>
    <w:rsid w:val="00AF1811"/>
    <w:rsid w:val="00AF2393"/>
    <w:rsid w:val="00AF26FC"/>
    <w:rsid w:val="00AF273D"/>
    <w:rsid w:val="00AF2AF6"/>
    <w:rsid w:val="00AF2E46"/>
    <w:rsid w:val="00AF2F11"/>
    <w:rsid w:val="00AF47EB"/>
    <w:rsid w:val="00AF4C57"/>
    <w:rsid w:val="00AF4D38"/>
    <w:rsid w:val="00AF5AF6"/>
    <w:rsid w:val="00AF5CFA"/>
    <w:rsid w:val="00AF5DC7"/>
    <w:rsid w:val="00AF633B"/>
    <w:rsid w:val="00AF6C0A"/>
    <w:rsid w:val="00AF7B18"/>
    <w:rsid w:val="00B00552"/>
    <w:rsid w:val="00B00720"/>
    <w:rsid w:val="00B01158"/>
    <w:rsid w:val="00B0115D"/>
    <w:rsid w:val="00B01244"/>
    <w:rsid w:val="00B02076"/>
    <w:rsid w:val="00B02598"/>
    <w:rsid w:val="00B02670"/>
    <w:rsid w:val="00B029FC"/>
    <w:rsid w:val="00B02C58"/>
    <w:rsid w:val="00B02D79"/>
    <w:rsid w:val="00B02E37"/>
    <w:rsid w:val="00B0321D"/>
    <w:rsid w:val="00B0385D"/>
    <w:rsid w:val="00B040BD"/>
    <w:rsid w:val="00B04AC4"/>
    <w:rsid w:val="00B052FC"/>
    <w:rsid w:val="00B05982"/>
    <w:rsid w:val="00B06032"/>
    <w:rsid w:val="00B066B3"/>
    <w:rsid w:val="00B069D7"/>
    <w:rsid w:val="00B06A6C"/>
    <w:rsid w:val="00B06C32"/>
    <w:rsid w:val="00B079C2"/>
    <w:rsid w:val="00B079CC"/>
    <w:rsid w:val="00B07C05"/>
    <w:rsid w:val="00B07D0C"/>
    <w:rsid w:val="00B07E9A"/>
    <w:rsid w:val="00B10665"/>
    <w:rsid w:val="00B11AC9"/>
    <w:rsid w:val="00B11FCB"/>
    <w:rsid w:val="00B12019"/>
    <w:rsid w:val="00B134D3"/>
    <w:rsid w:val="00B13915"/>
    <w:rsid w:val="00B14031"/>
    <w:rsid w:val="00B1436C"/>
    <w:rsid w:val="00B1444C"/>
    <w:rsid w:val="00B14454"/>
    <w:rsid w:val="00B14568"/>
    <w:rsid w:val="00B146EF"/>
    <w:rsid w:val="00B14DD5"/>
    <w:rsid w:val="00B15093"/>
    <w:rsid w:val="00B150B5"/>
    <w:rsid w:val="00B150F8"/>
    <w:rsid w:val="00B16017"/>
    <w:rsid w:val="00B16F27"/>
    <w:rsid w:val="00B17180"/>
    <w:rsid w:val="00B1733E"/>
    <w:rsid w:val="00B174A5"/>
    <w:rsid w:val="00B178D0"/>
    <w:rsid w:val="00B202BA"/>
    <w:rsid w:val="00B208F1"/>
    <w:rsid w:val="00B20C3E"/>
    <w:rsid w:val="00B20E50"/>
    <w:rsid w:val="00B21879"/>
    <w:rsid w:val="00B21E48"/>
    <w:rsid w:val="00B22286"/>
    <w:rsid w:val="00B231C4"/>
    <w:rsid w:val="00B231F3"/>
    <w:rsid w:val="00B23412"/>
    <w:rsid w:val="00B24291"/>
    <w:rsid w:val="00B243D1"/>
    <w:rsid w:val="00B24846"/>
    <w:rsid w:val="00B24E54"/>
    <w:rsid w:val="00B251F1"/>
    <w:rsid w:val="00B25872"/>
    <w:rsid w:val="00B2696C"/>
    <w:rsid w:val="00B27276"/>
    <w:rsid w:val="00B275F1"/>
    <w:rsid w:val="00B30F75"/>
    <w:rsid w:val="00B31296"/>
    <w:rsid w:val="00B31379"/>
    <w:rsid w:val="00B316A4"/>
    <w:rsid w:val="00B325E9"/>
    <w:rsid w:val="00B3261C"/>
    <w:rsid w:val="00B32B20"/>
    <w:rsid w:val="00B330D6"/>
    <w:rsid w:val="00B33C8A"/>
    <w:rsid w:val="00B33E42"/>
    <w:rsid w:val="00B33EC3"/>
    <w:rsid w:val="00B36337"/>
    <w:rsid w:val="00B36867"/>
    <w:rsid w:val="00B36A4D"/>
    <w:rsid w:val="00B402B4"/>
    <w:rsid w:val="00B404ED"/>
    <w:rsid w:val="00B4061C"/>
    <w:rsid w:val="00B40F39"/>
    <w:rsid w:val="00B41289"/>
    <w:rsid w:val="00B41736"/>
    <w:rsid w:val="00B4252E"/>
    <w:rsid w:val="00B42574"/>
    <w:rsid w:val="00B426A5"/>
    <w:rsid w:val="00B43032"/>
    <w:rsid w:val="00B434BD"/>
    <w:rsid w:val="00B4351A"/>
    <w:rsid w:val="00B4355B"/>
    <w:rsid w:val="00B438D8"/>
    <w:rsid w:val="00B43BF7"/>
    <w:rsid w:val="00B43C2A"/>
    <w:rsid w:val="00B45511"/>
    <w:rsid w:val="00B45EEA"/>
    <w:rsid w:val="00B46739"/>
    <w:rsid w:val="00B470BE"/>
    <w:rsid w:val="00B4752E"/>
    <w:rsid w:val="00B47D76"/>
    <w:rsid w:val="00B503D5"/>
    <w:rsid w:val="00B50AFA"/>
    <w:rsid w:val="00B50F4E"/>
    <w:rsid w:val="00B51A9B"/>
    <w:rsid w:val="00B51AF4"/>
    <w:rsid w:val="00B51BE5"/>
    <w:rsid w:val="00B53831"/>
    <w:rsid w:val="00B53EC8"/>
    <w:rsid w:val="00B541B0"/>
    <w:rsid w:val="00B5445E"/>
    <w:rsid w:val="00B5499E"/>
    <w:rsid w:val="00B551BD"/>
    <w:rsid w:val="00B5521F"/>
    <w:rsid w:val="00B5624B"/>
    <w:rsid w:val="00B5654A"/>
    <w:rsid w:val="00B5684A"/>
    <w:rsid w:val="00B56F96"/>
    <w:rsid w:val="00B5703A"/>
    <w:rsid w:val="00B575A7"/>
    <w:rsid w:val="00B57CAB"/>
    <w:rsid w:val="00B60100"/>
    <w:rsid w:val="00B60B38"/>
    <w:rsid w:val="00B60DC4"/>
    <w:rsid w:val="00B60F84"/>
    <w:rsid w:val="00B613A2"/>
    <w:rsid w:val="00B61F71"/>
    <w:rsid w:val="00B62043"/>
    <w:rsid w:val="00B62E8A"/>
    <w:rsid w:val="00B64681"/>
    <w:rsid w:val="00B6482B"/>
    <w:rsid w:val="00B64C26"/>
    <w:rsid w:val="00B64F54"/>
    <w:rsid w:val="00B651CC"/>
    <w:rsid w:val="00B65B88"/>
    <w:rsid w:val="00B66F0F"/>
    <w:rsid w:val="00B67006"/>
    <w:rsid w:val="00B675A4"/>
    <w:rsid w:val="00B703B5"/>
    <w:rsid w:val="00B7073A"/>
    <w:rsid w:val="00B70D10"/>
    <w:rsid w:val="00B714CC"/>
    <w:rsid w:val="00B72288"/>
    <w:rsid w:val="00B72AFB"/>
    <w:rsid w:val="00B731CC"/>
    <w:rsid w:val="00B73438"/>
    <w:rsid w:val="00B7356A"/>
    <w:rsid w:val="00B735B5"/>
    <w:rsid w:val="00B73783"/>
    <w:rsid w:val="00B73A30"/>
    <w:rsid w:val="00B74086"/>
    <w:rsid w:val="00B740DC"/>
    <w:rsid w:val="00B7447B"/>
    <w:rsid w:val="00B744FD"/>
    <w:rsid w:val="00B745B5"/>
    <w:rsid w:val="00B74690"/>
    <w:rsid w:val="00B7494E"/>
    <w:rsid w:val="00B74B46"/>
    <w:rsid w:val="00B74F98"/>
    <w:rsid w:val="00B7527D"/>
    <w:rsid w:val="00B754D7"/>
    <w:rsid w:val="00B7596C"/>
    <w:rsid w:val="00B75CFC"/>
    <w:rsid w:val="00B7657E"/>
    <w:rsid w:val="00B765C7"/>
    <w:rsid w:val="00B76720"/>
    <w:rsid w:val="00B76AF7"/>
    <w:rsid w:val="00B76B85"/>
    <w:rsid w:val="00B76DA3"/>
    <w:rsid w:val="00B76E02"/>
    <w:rsid w:val="00B77264"/>
    <w:rsid w:val="00B77A0A"/>
    <w:rsid w:val="00B77BF0"/>
    <w:rsid w:val="00B8120F"/>
    <w:rsid w:val="00B815E7"/>
    <w:rsid w:val="00B816EB"/>
    <w:rsid w:val="00B823B3"/>
    <w:rsid w:val="00B82D52"/>
    <w:rsid w:val="00B84310"/>
    <w:rsid w:val="00B84508"/>
    <w:rsid w:val="00B84E0C"/>
    <w:rsid w:val="00B84FF1"/>
    <w:rsid w:val="00B86593"/>
    <w:rsid w:val="00B900C5"/>
    <w:rsid w:val="00B903AB"/>
    <w:rsid w:val="00B9050E"/>
    <w:rsid w:val="00B90536"/>
    <w:rsid w:val="00B914E3"/>
    <w:rsid w:val="00B92F8C"/>
    <w:rsid w:val="00B93346"/>
    <w:rsid w:val="00B93E55"/>
    <w:rsid w:val="00B93EF9"/>
    <w:rsid w:val="00B94D5B"/>
    <w:rsid w:val="00B94F74"/>
    <w:rsid w:val="00B95462"/>
    <w:rsid w:val="00B9559B"/>
    <w:rsid w:val="00B95D2D"/>
    <w:rsid w:val="00B9668B"/>
    <w:rsid w:val="00B96891"/>
    <w:rsid w:val="00B96907"/>
    <w:rsid w:val="00B96995"/>
    <w:rsid w:val="00B96B1A"/>
    <w:rsid w:val="00B970F2"/>
    <w:rsid w:val="00B97225"/>
    <w:rsid w:val="00B975EA"/>
    <w:rsid w:val="00B9761C"/>
    <w:rsid w:val="00BA0462"/>
    <w:rsid w:val="00BA2501"/>
    <w:rsid w:val="00BA251C"/>
    <w:rsid w:val="00BA2625"/>
    <w:rsid w:val="00BA2C8C"/>
    <w:rsid w:val="00BA2CE5"/>
    <w:rsid w:val="00BA2E69"/>
    <w:rsid w:val="00BA2F40"/>
    <w:rsid w:val="00BA33B1"/>
    <w:rsid w:val="00BA3CA5"/>
    <w:rsid w:val="00BA3D10"/>
    <w:rsid w:val="00BA4601"/>
    <w:rsid w:val="00BA4899"/>
    <w:rsid w:val="00BA4DCF"/>
    <w:rsid w:val="00BA5C6E"/>
    <w:rsid w:val="00BA6216"/>
    <w:rsid w:val="00BA74D8"/>
    <w:rsid w:val="00BA7D7E"/>
    <w:rsid w:val="00BB043B"/>
    <w:rsid w:val="00BB0743"/>
    <w:rsid w:val="00BB1A77"/>
    <w:rsid w:val="00BB2176"/>
    <w:rsid w:val="00BB4690"/>
    <w:rsid w:val="00BB4CAF"/>
    <w:rsid w:val="00BB51F8"/>
    <w:rsid w:val="00BB61E7"/>
    <w:rsid w:val="00BB67C3"/>
    <w:rsid w:val="00BB6F0E"/>
    <w:rsid w:val="00BB735F"/>
    <w:rsid w:val="00BB743E"/>
    <w:rsid w:val="00BB7984"/>
    <w:rsid w:val="00BC0350"/>
    <w:rsid w:val="00BC06DB"/>
    <w:rsid w:val="00BC0E35"/>
    <w:rsid w:val="00BC1429"/>
    <w:rsid w:val="00BC1822"/>
    <w:rsid w:val="00BC1AF2"/>
    <w:rsid w:val="00BC1B5E"/>
    <w:rsid w:val="00BC25AB"/>
    <w:rsid w:val="00BC266C"/>
    <w:rsid w:val="00BC268F"/>
    <w:rsid w:val="00BC3786"/>
    <w:rsid w:val="00BC402A"/>
    <w:rsid w:val="00BC45B2"/>
    <w:rsid w:val="00BC49C7"/>
    <w:rsid w:val="00BC594D"/>
    <w:rsid w:val="00BC624C"/>
    <w:rsid w:val="00BC6C19"/>
    <w:rsid w:val="00BC6E42"/>
    <w:rsid w:val="00BC764A"/>
    <w:rsid w:val="00BC79B2"/>
    <w:rsid w:val="00BC7C6E"/>
    <w:rsid w:val="00BD0233"/>
    <w:rsid w:val="00BD1034"/>
    <w:rsid w:val="00BD118B"/>
    <w:rsid w:val="00BD14A6"/>
    <w:rsid w:val="00BD159E"/>
    <w:rsid w:val="00BD1C13"/>
    <w:rsid w:val="00BD2532"/>
    <w:rsid w:val="00BD2839"/>
    <w:rsid w:val="00BD2F9E"/>
    <w:rsid w:val="00BD314C"/>
    <w:rsid w:val="00BD32C3"/>
    <w:rsid w:val="00BD3A91"/>
    <w:rsid w:val="00BD3EAC"/>
    <w:rsid w:val="00BD407C"/>
    <w:rsid w:val="00BD51AD"/>
    <w:rsid w:val="00BD5658"/>
    <w:rsid w:val="00BD5771"/>
    <w:rsid w:val="00BD5B4A"/>
    <w:rsid w:val="00BD5D63"/>
    <w:rsid w:val="00BD6011"/>
    <w:rsid w:val="00BD7706"/>
    <w:rsid w:val="00BE0B70"/>
    <w:rsid w:val="00BE1106"/>
    <w:rsid w:val="00BE1C18"/>
    <w:rsid w:val="00BE221B"/>
    <w:rsid w:val="00BE2224"/>
    <w:rsid w:val="00BE2908"/>
    <w:rsid w:val="00BE2A9E"/>
    <w:rsid w:val="00BE2E05"/>
    <w:rsid w:val="00BE3AD8"/>
    <w:rsid w:val="00BE3B53"/>
    <w:rsid w:val="00BE4560"/>
    <w:rsid w:val="00BE4EE5"/>
    <w:rsid w:val="00BE4F22"/>
    <w:rsid w:val="00BE5159"/>
    <w:rsid w:val="00BE5374"/>
    <w:rsid w:val="00BE54E9"/>
    <w:rsid w:val="00BE55AD"/>
    <w:rsid w:val="00BE5C19"/>
    <w:rsid w:val="00BE619A"/>
    <w:rsid w:val="00BE654F"/>
    <w:rsid w:val="00BE6784"/>
    <w:rsid w:val="00BE7C14"/>
    <w:rsid w:val="00BE7D7C"/>
    <w:rsid w:val="00BF0511"/>
    <w:rsid w:val="00BF0EEE"/>
    <w:rsid w:val="00BF1420"/>
    <w:rsid w:val="00BF1DDE"/>
    <w:rsid w:val="00BF2221"/>
    <w:rsid w:val="00BF276B"/>
    <w:rsid w:val="00BF29BD"/>
    <w:rsid w:val="00BF2CEA"/>
    <w:rsid w:val="00BF2EB2"/>
    <w:rsid w:val="00BF31E4"/>
    <w:rsid w:val="00BF3F39"/>
    <w:rsid w:val="00BF4221"/>
    <w:rsid w:val="00BF4392"/>
    <w:rsid w:val="00BF45AB"/>
    <w:rsid w:val="00BF481D"/>
    <w:rsid w:val="00BF4DC2"/>
    <w:rsid w:val="00BF4E44"/>
    <w:rsid w:val="00BF513A"/>
    <w:rsid w:val="00BF5821"/>
    <w:rsid w:val="00BF606F"/>
    <w:rsid w:val="00BF6780"/>
    <w:rsid w:val="00BF70C4"/>
    <w:rsid w:val="00BF7488"/>
    <w:rsid w:val="00BF748D"/>
    <w:rsid w:val="00BF74FD"/>
    <w:rsid w:val="00BF7C80"/>
    <w:rsid w:val="00C00126"/>
    <w:rsid w:val="00C00C65"/>
    <w:rsid w:val="00C00E62"/>
    <w:rsid w:val="00C00E73"/>
    <w:rsid w:val="00C00F0A"/>
    <w:rsid w:val="00C01DDA"/>
    <w:rsid w:val="00C022F5"/>
    <w:rsid w:val="00C04E34"/>
    <w:rsid w:val="00C04E4D"/>
    <w:rsid w:val="00C04F3A"/>
    <w:rsid w:val="00C057D4"/>
    <w:rsid w:val="00C05CD2"/>
    <w:rsid w:val="00C06218"/>
    <w:rsid w:val="00C06E70"/>
    <w:rsid w:val="00C07BFE"/>
    <w:rsid w:val="00C07D1C"/>
    <w:rsid w:val="00C10370"/>
    <w:rsid w:val="00C10590"/>
    <w:rsid w:val="00C109F6"/>
    <w:rsid w:val="00C113EB"/>
    <w:rsid w:val="00C12151"/>
    <w:rsid w:val="00C1261D"/>
    <w:rsid w:val="00C12CBC"/>
    <w:rsid w:val="00C12F9A"/>
    <w:rsid w:val="00C1308D"/>
    <w:rsid w:val="00C138B9"/>
    <w:rsid w:val="00C13DE4"/>
    <w:rsid w:val="00C14590"/>
    <w:rsid w:val="00C14BBC"/>
    <w:rsid w:val="00C14F92"/>
    <w:rsid w:val="00C15435"/>
    <w:rsid w:val="00C15B28"/>
    <w:rsid w:val="00C15BE2"/>
    <w:rsid w:val="00C15E89"/>
    <w:rsid w:val="00C1702A"/>
    <w:rsid w:val="00C1734C"/>
    <w:rsid w:val="00C1774C"/>
    <w:rsid w:val="00C17838"/>
    <w:rsid w:val="00C20297"/>
    <w:rsid w:val="00C20458"/>
    <w:rsid w:val="00C20744"/>
    <w:rsid w:val="00C20790"/>
    <w:rsid w:val="00C2080B"/>
    <w:rsid w:val="00C20CEC"/>
    <w:rsid w:val="00C20D76"/>
    <w:rsid w:val="00C21618"/>
    <w:rsid w:val="00C2176C"/>
    <w:rsid w:val="00C21D8C"/>
    <w:rsid w:val="00C21DF3"/>
    <w:rsid w:val="00C21E45"/>
    <w:rsid w:val="00C224E9"/>
    <w:rsid w:val="00C2272F"/>
    <w:rsid w:val="00C22AAB"/>
    <w:rsid w:val="00C23017"/>
    <w:rsid w:val="00C23AD0"/>
    <w:rsid w:val="00C2418D"/>
    <w:rsid w:val="00C2429E"/>
    <w:rsid w:val="00C24781"/>
    <w:rsid w:val="00C25745"/>
    <w:rsid w:val="00C25C99"/>
    <w:rsid w:val="00C25DAD"/>
    <w:rsid w:val="00C260E8"/>
    <w:rsid w:val="00C264A4"/>
    <w:rsid w:val="00C26FCE"/>
    <w:rsid w:val="00C275FF"/>
    <w:rsid w:val="00C27E59"/>
    <w:rsid w:val="00C3026F"/>
    <w:rsid w:val="00C305A3"/>
    <w:rsid w:val="00C30B4D"/>
    <w:rsid w:val="00C30F06"/>
    <w:rsid w:val="00C3179E"/>
    <w:rsid w:val="00C31C88"/>
    <w:rsid w:val="00C31E6A"/>
    <w:rsid w:val="00C31F4A"/>
    <w:rsid w:val="00C32886"/>
    <w:rsid w:val="00C32971"/>
    <w:rsid w:val="00C3358E"/>
    <w:rsid w:val="00C340D6"/>
    <w:rsid w:val="00C34549"/>
    <w:rsid w:val="00C34D26"/>
    <w:rsid w:val="00C35891"/>
    <w:rsid w:val="00C35BE7"/>
    <w:rsid w:val="00C35FD4"/>
    <w:rsid w:val="00C36707"/>
    <w:rsid w:val="00C36E5C"/>
    <w:rsid w:val="00C37928"/>
    <w:rsid w:val="00C37A0B"/>
    <w:rsid w:val="00C37BD2"/>
    <w:rsid w:val="00C401EF"/>
    <w:rsid w:val="00C4070C"/>
    <w:rsid w:val="00C40947"/>
    <w:rsid w:val="00C40CC5"/>
    <w:rsid w:val="00C41427"/>
    <w:rsid w:val="00C414F1"/>
    <w:rsid w:val="00C417DE"/>
    <w:rsid w:val="00C42E3D"/>
    <w:rsid w:val="00C42EAC"/>
    <w:rsid w:val="00C431AF"/>
    <w:rsid w:val="00C435D1"/>
    <w:rsid w:val="00C43BF7"/>
    <w:rsid w:val="00C43F04"/>
    <w:rsid w:val="00C43FEB"/>
    <w:rsid w:val="00C44780"/>
    <w:rsid w:val="00C4483A"/>
    <w:rsid w:val="00C44A23"/>
    <w:rsid w:val="00C45472"/>
    <w:rsid w:val="00C465D1"/>
    <w:rsid w:val="00C466A5"/>
    <w:rsid w:val="00C4711F"/>
    <w:rsid w:val="00C47398"/>
    <w:rsid w:val="00C501F6"/>
    <w:rsid w:val="00C504BC"/>
    <w:rsid w:val="00C504E5"/>
    <w:rsid w:val="00C50E41"/>
    <w:rsid w:val="00C51A74"/>
    <w:rsid w:val="00C523CA"/>
    <w:rsid w:val="00C52446"/>
    <w:rsid w:val="00C52523"/>
    <w:rsid w:val="00C529A7"/>
    <w:rsid w:val="00C54A49"/>
    <w:rsid w:val="00C55502"/>
    <w:rsid w:val="00C56110"/>
    <w:rsid w:val="00C56997"/>
    <w:rsid w:val="00C56E69"/>
    <w:rsid w:val="00C56FE2"/>
    <w:rsid w:val="00C57448"/>
    <w:rsid w:val="00C5764D"/>
    <w:rsid w:val="00C603E2"/>
    <w:rsid w:val="00C60F67"/>
    <w:rsid w:val="00C615EC"/>
    <w:rsid w:val="00C61CFD"/>
    <w:rsid w:val="00C622CA"/>
    <w:rsid w:val="00C6244D"/>
    <w:rsid w:val="00C62AFC"/>
    <w:rsid w:val="00C62AFE"/>
    <w:rsid w:val="00C631C6"/>
    <w:rsid w:val="00C6351A"/>
    <w:rsid w:val="00C639A1"/>
    <w:rsid w:val="00C63A92"/>
    <w:rsid w:val="00C63DE0"/>
    <w:rsid w:val="00C64A8B"/>
    <w:rsid w:val="00C64AC8"/>
    <w:rsid w:val="00C64BA0"/>
    <w:rsid w:val="00C64D1E"/>
    <w:rsid w:val="00C654E2"/>
    <w:rsid w:val="00C65A09"/>
    <w:rsid w:val="00C65F1B"/>
    <w:rsid w:val="00C6687E"/>
    <w:rsid w:val="00C67196"/>
    <w:rsid w:val="00C671EA"/>
    <w:rsid w:val="00C6724E"/>
    <w:rsid w:val="00C67BB7"/>
    <w:rsid w:val="00C67E1B"/>
    <w:rsid w:val="00C67F47"/>
    <w:rsid w:val="00C70F40"/>
    <w:rsid w:val="00C71012"/>
    <w:rsid w:val="00C72401"/>
    <w:rsid w:val="00C72499"/>
    <w:rsid w:val="00C72AC6"/>
    <w:rsid w:val="00C73621"/>
    <w:rsid w:val="00C74B46"/>
    <w:rsid w:val="00C74F23"/>
    <w:rsid w:val="00C74F89"/>
    <w:rsid w:val="00C76087"/>
    <w:rsid w:val="00C76AA4"/>
    <w:rsid w:val="00C76EB6"/>
    <w:rsid w:val="00C7759F"/>
    <w:rsid w:val="00C80181"/>
    <w:rsid w:val="00C8027A"/>
    <w:rsid w:val="00C8131A"/>
    <w:rsid w:val="00C81C07"/>
    <w:rsid w:val="00C81C1E"/>
    <w:rsid w:val="00C828DF"/>
    <w:rsid w:val="00C839A5"/>
    <w:rsid w:val="00C83FBF"/>
    <w:rsid w:val="00C84C3E"/>
    <w:rsid w:val="00C84F77"/>
    <w:rsid w:val="00C84F9B"/>
    <w:rsid w:val="00C8585D"/>
    <w:rsid w:val="00C85E0E"/>
    <w:rsid w:val="00C85E54"/>
    <w:rsid w:val="00C8684F"/>
    <w:rsid w:val="00C86B15"/>
    <w:rsid w:val="00C86B79"/>
    <w:rsid w:val="00C86E31"/>
    <w:rsid w:val="00C872E0"/>
    <w:rsid w:val="00C87334"/>
    <w:rsid w:val="00C909CF"/>
    <w:rsid w:val="00C911D9"/>
    <w:rsid w:val="00C913FE"/>
    <w:rsid w:val="00C91705"/>
    <w:rsid w:val="00C9182F"/>
    <w:rsid w:val="00C9231E"/>
    <w:rsid w:val="00C926AD"/>
    <w:rsid w:val="00C92BC0"/>
    <w:rsid w:val="00C93230"/>
    <w:rsid w:val="00C94469"/>
    <w:rsid w:val="00C94A1B"/>
    <w:rsid w:val="00C94DDF"/>
    <w:rsid w:val="00C94DFE"/>
    <w:rsid w:val="00C95812"/>
    <w:rsid w:val="00C959AA"/>
    <w:rsid w:val="00C9601F"/>
    <w:rsid w:val="00C962D0"/>
    <w:rsid w:val="00C96A51"/>
    <w:rsid w:val="00C977E3"/>
    <w:rsid w:val="00C97D9D"/>
    <w:rsid w:val="00CA07D4"/>
    <w:rsid w:val="00CA24FD"/>
    <w:rsid w:val="00CA28BE"/>
    <w:rsid w:val="00CA28F7"/>
    <w:rsid w:val="00CA2B55"/>
    <w:rsid w:val="00CA2C09"/>
    <w:rsid w:val="00CA2C65"/>
    <w:rsid w:val="00CA3396"/>
    <w:rsid w:val="00CA33B8"/>
    <w:rsid w:val="00CA3564"/>
    <w:rsid w:val="00CA3781"/>
    <w:rsid w:val="00CA3B4E"/>
    <w:rsid w:val="00CA4101"/>
    <w:rsid w:val="00CA4535"/>
    <w:rsid w:val="00CA48CD"/>
    <w:rsid w:val="00CA512B"/>
    <w:rsid w:val="00CA517D"/>
    <w:rsid w:val="00CA5B6C"/>
    <w:rsid w:val="00CA61A9"/>
    <w:rsid w:val="00CA6AE4"/>
    <w:rsid w:val="00CA6B90"/>
    <w:rsid w:val="00CA6DCF"/>
    <w:rsid w:val="00CA705E"/>
    <w:rsid w:val="00CA7300"/>
    <w:rsid w:val="00CA789D"/>
    <w:rsid w:val="00CA78DB"/>
    <w:rsid w:val="00CB02E1"/>
    <w:rsid w:val="00CB0526"/>
    <w:rsid w:val="00CB0A99"/>
    <w:rsid w:val="00CB0C72"/>
    <w:rsid w:val="00CB0DE1"/>
    <w:rsid w:val="00CB0F3D"/>
    <w:rsid w:val="00CB134C"/>
    <w:rsid w:val="00CB16CF"/>
    <w:rsid w:val="00CB1AE4"/>
    <w:rsid w:val="00CB1B7E"/>
    <w:rsid w:val="00CB2164"/>
    <w:rsid w:val="00CB2A59"/>
    <w:rsid w:val="00CB2D80"/>
    <w:rsid w:val="00CB3596"/>
    <w:rsid w:val="00CB36D3"/>
    <w:rsid w:val="00CB4171"/>
    <w:rsid w:val="00CB4585"/>
    <w:rsid w:val="00CB5978"/>
    <w:rsid w:val="00CB598D"/>
    <w:rsid w:val="00CB5AB5"/>
    <w:rsid w:val="00CB62FF"/>
    <w:rsid w:val="00CB6363"/>
    <w:rsid w:val="00CB6553"/>
    <w:rsid w:val="00CB7A94"/>
    <w:rsid w:val="00CC0B35"/>
    <w:rsid w:val="00CC1692"/>
    <w:rsid w:val="00CC1ADC"/>
    <w:rsid w:val="00CC239B"/>
    <w:rsid w:val="00CC2F5B"/>
    <w:rsid w:val="00CC3CEC"/>
    <w:rsid w:val="00CC4398"/>
    <w:rsid w:val="00CC653D"/>
    <w:rsid w:val="00CC7042"/>
    <w:rsid w:val="00CC7075"/>
    <w:rsid w:val="00CC7645"/>
    <w:rsid w:val="00CC7DEB"/>
    <w:rsid w:val="00CD0552"/>
    <w:rsid w:val="00CD0639"/>
    <w:rsid w:val="00CD0EB3"/>
    <w:rsid w:val="00CD0F30"/>
    <w:rsid w:val="00CD19B8"/>
    <w:rsid w:val="00CD1CD8"/>
    <w:rsid w:val="00CD282C"/>
    <w:rsid w:val="00CD38C4"/>
    <w:rsid w:val="00CD396E"/>
    <w:rsid w:val="00CD3EF8"/>
    <w:rsid w:val="00CD3FF6"/>
    <w:rsid w:val="00CD4458"/>
    <w:rsid w:val="00CD4599"/>
    <w:rsid w:val="00CD4825"/>
    <w:rsid w:val="00CD48D5"/>
    <w:rsid w:val="00CD5259"/>
    <w:rsid w:val="00CD5456"/>
    <w:rsid w:val="00CD5658"/>
    <w:rsid w:val="00CD56F1"/>
    <w:rsid w:val="00CD5839"/>
    <w:rsid w:val="00CD59FD"/>
    <w:rsid w:val="00CD5DC3"/>
    <w:rsid w:val="00CD64F3"/>
    <w:rsid w:val="00CE06F0"/>
    <w:rsid w:val="00CE0CD5"/>
    <w:rsid w:val="00CE15AD"/>
    <w:rsid w:val="00CE21C0"/>
    <w:rsid w:val="00CE2613"/>
    <w:rsid w:val="00CE37D6"/>
    <w:rsid w:val="00CE3D1E"/>
    <w:rsid w:val="00CE4097"/>
    <w:rsid w:val="00CE498E"/>
    <w:rsid w:val="00CE4A1C"/>
    <w:rsid w:val="00CE4D46"/>
    <w:rsid w:val="00CE4E9D"/>
    <w:rsid w:val="00CE508A"/>
    <w:rsid w:val="00CE5984"/>
    <w:rsid w:val="00CE5AC2"/>
    <w:rsid w:val="00CE6AD8"/>
    <w:rsid w:val="00CE6B7E"/>
    <w:rsid w:val="00CE7797"/>
    <w:rsid w:val="00CE783D"/>
    <w:rsid w:val="00CE79D7"/>
    <w:rsid w:val="00CE7B17"/>
    <w:rsid w:val="00CF046C"/>
    <w:rsid w:val="00CF0BD5"/>
    <w:rsid w:val="00CF0DB4"/>
    <w:rsid w:val="00CF1607"/>
    <w:rsid w:val="00CF1C82"/>
    <w:rsid w:val="00CF1EEB"/>
    <w:rsid w:val="00CF1F31"/>
    <w:rsid w:val="00CF2525"/>
    <w:rsid w:val="00CF3518"/>
    <w:rsid w:val="00CF358F"/>
    <w:rsid w:val="00CF369F"/>
    <w:rsid w:val="00CF3A1C"/>
    <w:rsid w:val="00CF3BFA"/>
    <w:rsid w:val="00CF5391"/>
    <w:rsid w:val="00CF53B0"/>
    <w:rsid w:val="00CF54D5"/>
    <w:rsid w:val="00CF5861"/>
    <w:rsid w:val="00CF629B"/>
    <w:rsid w:val="00CF73B2"/>
    <w:rsid w:val="00CF7D4E"/>
    <w:rsid w:val="00CF7F39"/>
    <w:rsid w:val="00D0102D"/>
    <w:rsid w:val="00D017FB"/>
    <w:rsid w:val="00D01D7A"/>
    <w:rsid w:val="00D01F65"/>
    <w:rsid w:val="00D0237C"/>
    <w:rsid w:val="00D023A4"/>
    <w:rsid w:val="00D02811"/>
    <w:rsid w:val="00D02F94"/>
    <w:rsid w:val="00D039A6"/>
    <w:rsid w:val="00D0418E"/>
    <w:rsid w:val="00D04296"/>
    <w:rsid w:val="00D042D1"/>
    <w:rsid w:val="00D042DD"/>
    <w:rsid w:val="00D04349"/>
    <w:rsid w:val="00D0476E"/>
    <w:rsid w:val="00D04D6A"/>
    <w:rsid w:val="00D058D9"/>
    <w:rsid w:val="00D0625D"/>
    <w:rsid w:val="00D0672F"/>
    <w:rsid w:val="00D06B33"/>
    <w:rsid w:val="00D06CEC"/>
    <w:rsid w:val="00D0789D"/>
    <w:rsid w:val="00D104E0"/>
    <w:rsid w:val="00D108BD"/>
    <w:rsid w:val="00D10BD8"/>
    <w:rsid w:val="00D10D39"/>
    <w:rsid w:val="00D115C2"/>
    <w:rsid w:val="00D11ED3"/>
    <w:rsid w:val="00D12935"/>
    <w:rsid w:val="00D12E93"/>
    <w:rsid w:val="00D136A4"/>
    <w:rsid w:val="00D138E0"/>
    <w:rsid w:val="00D13A9A"/>
    <w:rsid w:val="00D13C29"/>
    <w:rsid w:val="00D144EA"/>
    <w:rsid w:val="00D145D3"/>
    <w:rsid w:val="00D14618"/>
    <w:rsid w:val="00D14D4C"/>
    <w:rsid w:val="00D14E8D"/>
    <w:rsid w:val="00D15485"/>
    <w:rsid w:val="00D15924"/>
    <w:rsid w:val="00D15B01"/>
    <w:rsid w:val="00D15BBE"/>
    <w:rsid w:val="00D15C37"/>
    <w:rsid w:val="00D160EF"/>
    <w:rsid w:val="00D16851"/>
    <w:rsid w:val="00D16B89"/>
    <w:rsid w:val="00D173C2"/>
    <w:rsid w:val="00D178B3"/>
    <w:rsid w:val="00D20334"/>
    <w:rsid w:val="00D20AF2"/>
    <w:rsid w:val="00D20B3A"/>
    <w:rsid w:val="00D218FB"/>
    <w:rsid w:val="00D21EBB"/>
    <w:rsid w:val="00D21FE2"/>
    <w:rsid w:val="00D22D39"/>
    <w:rsid w:val="00D23261"/>
    <w:rsid w:val="00D23AAF"/>
    <w:rsid w:val="00D23B4D"/>
    <w:rsid w:val="00D245D0"/>
    <w:rsid w:val="00D24982"/>
    <w:rsid w:val="00D25DF7"/>
    <w:rsid w:val="00D2617D"/>
    <w:rsid w:val="00D26182"/>
    <w:rsid w:val="00D26EC5"/>
    <w:rsid w:val="00D26F6F"/>
    <w:rsid w:val="00D270F0"/>
    <w:rsid w:val="00D27C4F"/>
    <w:rsid w:val="00D27DF8"/>
    <w:rsid w:val="00D3010B"/>
    <w:rsid w:val="00D30DA3"/>
    <w:rsid w:val="00D30E54"/>
    <w:rsid w:val="00D3103F"/>
    <w:rsid w:val="00D3166B"/>
    <w:rsid w:val="00D31A1C"/>
    <w:rsid w:val="00D32C57"/>
    <w:rsid w:val="00D33358"/>
    <w:rsid w:val="00D33EB9"/>
    <w:rsid w:val="00D346BD"/>
    <w:rsid w:val="00D34964"/>
    <w:rsid w:val="00D34E9A"/>
    <w:rsid w:val="00D351AC"/>
    <w:rsid w:val="00D36C81"/>
    <w:rsid w:val="00D36DCD"/>
    <w:rsid w:val="00D4094B"/>
    <w:rsid w:val="00D40C68"/>
    <w:rsid w:val="00D411AE"/>
    <w:rsid w:val="00D411E6"/>
    <w:rsid w:val="00D42084"/>
    <w:rsid w:val="00D42168"/>
    <w:rsid w:val="00D42C62"/>
    <w:rsid w:val="00D43596"/>
    <w:rsid w:val="00D43BFB"/>
    <w:rsid w:val="00D4495A"/>
    <w:rsid w:val="00D44FAB"/>
    <w:rsid w:val="00D456B9"/>
    <w:rsid w:val="00D456C3"/>
    <w:rsid w:val="00D458F1"/>
    <w:rsid w:val="00D4598E"/>
    <w:rsid w:val="00D45F3E"/>
    <w:rsid w:val="00D46809"/>
    <w:rsid w:val="00D475B8"/>
    <w:rsid w:val="00D47941"/>
    <w:rsid w:val="00D505A4"/>
    <w:rsid w:val="00D5074F"/>
    <w:rsid w:val="00D508E1"/>
    <w:rsid w:val="00D51D2E"/>
    <w:rsid w:val="00D52937"/>
    <w:rsid w:val="00D52C10"/>
    <w:rsid w:val="00D5482F"/>
    <w:rsid w:val="00D548D6"/>
    <w:rsid w:val="00D54990"/>
    <w:rsid w:val="00D56587"/>
    <w:rsid w:val="00D56773"/>
    <w:rsid w:val="00D57076"/>
    <w:rsid w:val="00D57634"/>
    <w:rsid w:val="00D57F5A"/>
    <w:rsid w:val="00D60A1F"/>
    <w:rsid w:val="00D60F2E"/>
    <w:rsid w:val="00D611F2"/>
    <w:rsid w:val="00D615DB"/>
    <w:rsid w:val="00D616C2"/>
    <w:rsid w:val="00D619AD"/>
    <w:rsid w:val="00D61F4A"/>
    <w:rsid w:val="00D620A1"/>
    <w:rsid w:val="00D62D61"/>
    <w:rsid w:val="00D6321E"/>
    <w:rsid w:val="00D63267"/>
    <w:rsid w:val="00D6394F"/>
    <w:rsid w:val="00D64168"/>
    <w:rsid w:val="00D64206"/>
    <w:rsid w:val="00D650E1"/>
    <w:rsid w:val="00D6567D"/>
    <w:rsid w:val="00D65B1E"/>
    <w:rsid w:val="00D65C1C"/>
    <w:rsid w:val="00D65D2A"/>
    <w:rsid w:val="00D66B36"/>
    <w:rsid w:val="00D66BC4"/>
    <w:rsid w:val="00D66FBE"/>
    <w:rsid w:val="00D7022E"/>
    <w:rsid w:val="00D71005"/>
    <w:rsid w:val="00D7123C"/>
    <w:rsid w:val="00D7194F"/>
    <w:rsid w:val="00D71A76"/>
    <w:rsid w:val="00D71DD9"/>
    <w:rsid w:val="00D72327"/>
    <w:rsid w:val="00D7295E"/>
    <w:rsid w:val="00D7311A"/>
    <w:rsid w:val="00D73407"/>
    <w:rsid w:val="00D73BB3"/>
    <w:rsid w:val="00D742B4"/>
    <w:rsid w:val="00D74627"/>
    <w:rsid w:val="00D74E09"/>
    <w:rsid w:val="00D7500C"/>
    <w:rsid w:val="00D75147"/>
    <w:rsid w:val="00D75318"/>
    <w:rsid w:val="00D765F0"/>
    <w:rsid w:val="00D76609"/>
    <w:rsid w:val="00D76751"/>
    <w:rsid w:val="00D76763"/>
    <w:rsid w:val="00D76967"/>
    <w:rsid w:val="00D76DB8"/>
    <w:rsid w:val="00D77030"/>
    <w:rsid w:val="00D77366"/>
    <w:rsid w:val="00D77E0C"/>
    <w:rsid w:val="00D77FF9"/>
    <w:rsid w:val="00D806BD"/>
    <w:rsid w:val="00D80A7B"/>
    <w:rsid w:val="00D81A51"/>
    <w:rsid w:val="00D822D1"/>
    <w:rsid w:val="00D826BB"/>
    <w:rsid w:val="00D82C44"/>
    <w:rsid w:val="00D83393"/>
    <w:rsid w:val="00D83AB4"/>
    <w:rsid w:val="00D83B6C"/>
    <w:rsid w:val="00D83CC7"/>
    <w:rsid w:val="00D84318"/>
    <w:rsid w:val="00D84571"/>
    <w:rsid w:val="00D8463C"/>
    <w:rsid w:val="00D8486E"/>
    <w:rsid w:val="00D85D30"/>
    <w:rsid w:val="00D8615B"/>
    <w:rsid w:val="00D86534"/>
    <w:rsid w:val="00D90124"/>
    <w:rsid w:val="00D91343"/>
    <w:rsid w:val="00D91C93"/>
    <w:rsid w:val="00D9220E"/>
    <w:rsid w:val="00D925C0"/>
    <w:rsid w:val="00D929C5"/>
    <w:rsid w:val="00D92AC2"/>
    <w:rsid w:val="00D92AC9"/>
    <w:rsid w:val="00D938CF"/>
    <w:rsid w:val="00D93A29"/>
    <w:rsid w:val="00D93A75"/>
    <w:rsid w:val="00D93E88"/>
    <w:rsid w:val="00D947E0"/>
    <w:rsid w:val="00D94C0B"/>
    <w:rsid w:val="00D95198"/>
    <w:rsid w:val="00D9526E"/>
    <w:rsid w:val="00D95CE9"/>
    <w:rsid w:val="00D965C6"/>
    <w:rsid w:val="00D972D5"/>
    <w:rsid w:val="00D97D35"/>
    <w:rsid w:val="00DA0406"/>
    <w:rsid w:val="00DA0ABA"/>
    <w:rsid w:val="00DA0B11"/>
    <w:rsid w:val="00DA10E6"/>
    <w:rsid w:val="00DA160B"/>
    <w:rsid w:val="00DA1B44"/>
    <w:rsid w:val="00DA2A01"/>
    <w:rsid w:val="00DA2AAD"/>
    <w:rsid w:val="00DA2C6A"/>
    <w:rsid w:val="00DA2D94"/>
    <w:rsid w:val="00DA3066"/>
    <w:rsid w:val="00DA322D"/>
    <w:rsid w:val="00DA3399"/>
    <w:rsid w:val="00DA3C89"/>
    <w:rsid w:val="00DA4259"/>
    <w:rsid w:val="00DA4281"/>
    <w:rsid w:val="00DA4720"/>
    <w:rsid w:val="00DA4AFC"/>
    <w:rsid w:val="00DA4D1C"/>
    <w:rsid w:val="00DA4D94"/>
    <w:rsid w:val="00DA50D9"/>
    <w:rsid w:val="00DA54AA"/>
    <w:rsid w:val="00DA5849"/>
    <w:rsid w:val="00DA5853"/>
    <w:rsid w:val="00DA64E8"/>
    <w:rsid w:val="00DA6EA4"/>
    <w:rsid w:val="00DA717E"/>
    <w:rsid w:val="00DA7265"/>
    <w:rsid w:val="00DA7978"/>
    <w:rsid w:val="00DA7C8B"/>
    <w:rsid w:val="00DB0007"/>
    <w:rsid w:val="00DB05F8"/>
    <w:rsid w:val="00DB0E50"/>
    <w:rsid w:val="00DB12C8"/>
    <w:rsid w:val="00DB1345"/>
    <w:rsid w:val="00DB14EB"/>
    <w:rsid w:val="00DB17C6"/>
    <w:rsid w:val="00DB18F6"/>
    <w:rsid w:val="00DB21A1"/>
    <w:rsid w:val="00DB3FA3"/>
    <w:rsid w:val="00DB4AC1"/>
    <w:rsid w:val="00DB4E91"/>
    <w:rsid w:val="00DB55F3"/>
    <w:rsid w:val="00DB5A71"/>
    <w:rsid w:val="00DB6D05"/>
    <w:rsid w:val="00DB6F4D"/>
    <w:rsid w:val="00DB7AB2"/>
    <w:rsid w:val="00DC08BB"/>
    <w:rsid w:val="00DC0B51"/>
    <w:rsid w:val="00DC208A"/>
    <w:rsid w:val="00DC20C1"/>
    <w:rsid w:val="00DC2147"/>
    <w:rsid w:val="00DC21E2"/>
    <w:rsid w:val="00DC283E"/>
    <w:rsid w:val="00DC2D08"/>
    <w:rsid w:val="00DC2D77"/>
    <w:rsid w:val="00DC38CD"/>
    <w:rsid w:val="00DC3974"/>
    <w:rsid w:val="00DC464C"/>
    <w:rsid w:val="00DC5FF4"/>
    <w:rsid w:val="00DC6AC3"/>
    <w:rsid w:val="00DC7F1E"/>
    <w:rsid w:val="00DC7FD5"/>
    <w:rsid w:val="00DD13F5"/>
    <w:rsid w:val="00DD1735"/>
    <w:rsid w:val="00DD18F2"/>
    <w:rsid w:val="00DD1974"/>
    <w:rsid w:val="00DD1E62"/>
    <w:rsid w:val="00DD1F84"/>
    <w:rsid w:val="00DD25D2"/>
    <w:rsid w:val="00DD3C4B"/>
    <w:rsid w:val="00DD4356"/>
    <w:rsid w:val="00DD4443"/>
    <w:rsid w:val="00DD4638"/>
    <w:rsid w:val="00DD4649"/>
    <w:rsid w:val="00DD505C"/>
    <w:rsid w:val="00DD5482"/>
    <w:rsid w:val="00DD61E4"/>
    <w:rsid w:val="00DD6565"/>
    <w:rsid w:val="00DD67ED"/>
    <w:rsid w:val="00DD7CE7"/>
    <w:rsid w:val="00DE07C7"/>
    <w:rsid w:val="00DE0822"/>
    <w:rsid w:val="00DE19AC"/>
    <w:rsid w:val="00DE1EBD"/>
    <w:rsid w:val="00DE1FB6"/>
    <w:rsid w:val="00DE292A"/>
    <w:rsid w:val="00DE2DA2"/>
    <w:rsid w:val="00DE3585"/>
    <w:rsid w:val="00DE38FF"/>
    <w:rsid w:val="00DE41C5"/>
    <w:rsid w:val="00DE42C4"/>
    <w:rsid w:val="00DE4603"/>
    <w:rsid w:val="00DE52AA"/>
    <w:rsid w:val="00DE5ADA"/>
    <w:rsid w:val="00DE7180"/>
    <w:rsid w:val="00DE71B5"/>
    <w:rsid w:val="00DE75C8"/>
    <w:rsid w:val="00DF072F"/>
    <w:rsid w:val="00DF07D3"/>
    <w:rsid w:val="00DF082F"/>
    <w:rsid w:val="00DF09B3"/>
    <w:rsid w:val="00DF198A"/>
    <w:rsid w:val="00DF19D7"/>
    <w:rsid w:val="00DF21EF"/>
    <w:rsid w:val="00DF23F3"/>
    <w:rsid w:val="00DF25A6"/>
    <w:rsid w:val="00DF314B"/>
    <w:rsid w:val="00DF33C7"/>
    <w:rsid w:val="00DF34CF"/>
    <w:rsid w:val="00DF4250"/>
    <w:rsid w:val="00DF4916"/>
    <w:rsid w:val="00DF4F35"/>
    <w:rsid w:val="00DF514C"/>
    <w:rsid w:val="00DF57F2"/>
    <w:rsid w:val="00DF652A"/>
    <w:rsid w:val="00DF7EA0"/>
    <w:rsid w:val="00E00AB7"/>
    <w:rsid w:val="00E00D9D"/>
    <w:rsid w:val="00E014A2"/>
    <w:rsid w:val="00E01FC7"/>
    <w:rsid w:val="00E0282A"/>
    <w:rsid w:val="00E02A0C"/>
    <w:rsid w:val="00E02B41"/>
    <w:rsid w:val="00E02F74"/>
    <w:rsid w:val="00E0389F"/>
    <w:rsid w:val="00E03E8D"/>
    <w:rsid w:val="00E03F81"/>
    <w:rsid w:val="00E047C4"/>
    <w:rsid w:val="00E04B67"/>
    <w:rsid w:val="00E04D46"/>
    <w:rsid w:val="00E052DC"/>
    <w:rsid w:val="00E05398"/>
    <w:rsid w:val="00E05506"/>
    <w:rsid w:val="00E05871"/>
    <w:rsid w:val="00E05B2A"/>
    <w:rsid w:val="00E0675B"/>
    <w:rsid w:val="00E07406"/>
    <w:rsid w:val="00E07AE7"/>
    <w:rsid w:val="00E106A4"/>
    <w:rsid w:val="00E11089"/>
    <w:rsid w:val="00E110D2"/>
    <w:rsid w:val="00E11185"/>
    <w:rsid w:val="00E111E1"/>
    <w:rsid w:val="00E11428"/>
    <w:rsid w:val="00E1208C"/>
    <w:rsid w:val="00E12537"/>
    <w:rsid w:val="00E129E2"/>
    <w:rsid w:val="00E13239"/>
    <w:rsid w:val="00E14679"/>
    <w:rsid w:val="00E14791"/>
    <w:rsid w:val="00E15C81"/>
    <w:rsid w:val="00E165B2"/>
    <w:rsid w:val="00E16642"/>
    <w:rsid w:val="00E16C4B"/>
    <w:rsid w:val="00E1704A"/>
    <w:rsid w:val="00E17164"/>
    <w:rsid w:val="00E177F2"/>
    <w:rsid w:val="00E17AD8"/>
    <w:rsid w:val="00E17BCF"/>
    <w:rsid w:val="00E2051A"/>
    <w:rsid w:val="00E207CE"/>
    <w:rsid w:val="00E20E44"/>
    <w:rsid w:val="00E20EEC"/>
    <w:rsid w:val="00E2128B"/>
    <w:rsid w:val="00E217AA"/>
    <w:rsid w:val="00E217DF"/>
    <w:rsid w:val="00E21B41"/>
    <w:rsid w:val="00E2233B"/>
    <w:rsid w:val="00E225BE"/>
    <w:rsid w:val="00E227D8"/>
    <w:rsid w:val="00E22F79"/>
    <w:rsid w:val="00E2398C"/>
    <w:rsid w:val="00E23E26"/>
    <w:rsid w:val="00E24240"/>
    <w:rsid w:val="00E245A1"/>
    <w:rsid w:val="00E252E1"/>
    <w:rsid w:val="00E255E1"/>
    <w:rsid w:val="00E25857"/>
    <w:rsid w:val="00E258E0"/>
    <w:rsid w:val="00E25AC6"/>
    <w:rsid w:val="00E25CF1"/>
    <w:rsid w:val="00E2678E"/>
    <w:rsid w:val="00E268AD"/>
    <w:rsid w:val="00E27110"/>
    <w:rsid w:val="00E27339"/>
    <w:rsid w:val="00E27C97"/>
    <w:rsid w:val="00E318E5"/>
    <w:rsid w:val="00E319CC"/>
    <w:rsid w:val="00E31D29"/>
    <w:rsid w:val="00E325B5"/>
    <w:rsid w:val="00E33C30"/>
    <w:rsid w:val="00E34100"/>
    <w:rsid w:val="00E3429B"/>
    <w:rsid w:val="00E342CC"/>
    <w:rsid w:val="00E34364"/>
    <w:rsid w:val="00E34C57"/>
    <w:rsid w:val="00E34D07"/>
    <w:rsid w:val="00E34E21"/>
    <w:rsid w:val="00E35191"/>
    <w:rsid w:val="00E3543F"/>
    <w:rsid w:val="00E354AA"/>
    <w:rsid w:val="00E3584C"/>
    <w:rsid w:val="00E35BE2"/>
    <w:rsid w:val="00E35CB7"/>
    <w:rsid w:val="00E3663C"/>
    <w:rsid w:val="00E36E44"/>
    <w:rsid w:val="00E36E53"/>
    <w:rsid w:val="00E372DA"/>
    <w:rsid w:val="00E37815"/>
    <w:rsid w:val="00E37F95"/>
    <w:rsid w:val="00E40C0E"/>
    <w:rsid w:val="00E414C4"/>
    <w:rsid w:val="00E425B0"/>
    <w:rsid w:val="00E42643"/>
    <w:rsid w:val="00E42EA4"/>
    <w:rsid w:val="00E43035"/>
    <w:rsid w:val="00E44071"/>
    <w:rsid w:val="00E44268"/>
    <w:rsid w:val="00E4445A"/>
    <w:rsid w:val="00E4477D"/>
    <w:rsid w:val="00E45A33"/>
    <w:rsid w:val="00E461CC"/>
    <w:rsid w:val="00E46458"/>
    <w:rsid w:val="00E468D6"/>
    <w:rsid w:val="00E47684"/>
    <w:rsid w:val="00E47875"/>
    <w:rsid w:val="00E478C6"/>
    <w:rsid w:val="00E4793F"/>
    <w:rsid w:val="00E47AB0"/>
    <w:rsid w:val="00E47AFB"/>
    <w:rsid w:val="00E507DF"/>
    <w:rsid w:val="00E5113F"/>
    <w:rsid w:val="00E512BC"/>
    <w:rsid w:val="00E51DF3"/>
    <w:rsid w:val="00E51ECE"/>
    <w:rsid w:val="00E520E0"/>
    <w:rsid w:val="00E52934"/>
    <w:rsid w:val="00E52975"/>
    <w:rsid w:val="00E52B2C"/>
    <w:rsid w:val="00E52C38"/>
    <w:rsid w:val="00E5416D"/>
    <w:rsid w:val="00E5518C"/>
    <w:rsid w:val="00E57658"/>
    <w:rsid w:val="00E57911"/>
    <w:rsid w:val="00E57B2E"/>
    <w:rsid w:val="00E57D55"/>
    <w:rsid w:val="00E60857"/>
    <w:rsid w:val="00E60B15"/>
    <w:rsid w:val="00E60F33"/>
    <w:rsid w:val="00E61217"/>
    <w:rsid w:val="00E61380"/>
    <w:rsid w:val="00E61BED"/>
    <w:rsid w:val="00E61DFA"/>
    <w:rsid w:val="00E62AB0"/>
    <w:rsid w:val="00E62E4D"/>
    <w:rsid w:val="00E63D28"/>
    <w:rsid w:val="00E6427D"/>
    <w:rsid w:val="00E64618"/>
    <w:rsid w:val="00E64A6E"/>
    <w:rsid w:val="00E64E94"/>
    <w:rsid w:val="00E65363"/>
    <w:rsid w:val="00E67FAF"/>
    <w:rsid w:val="00E70414"/>
    <w:rsid w:val="00E71223"/>
    <w:rsid w:val="00E715D8"/>
    <w:rsid w:val="00E71C47"/>
    <w:rsid w:val="00E71EA4"/>
    <w:rsid w:val="00E7223A"/>
    <w:rsid w:val="00E73159"/>
    <w:rsid w:val="00E7343A"/>
    <w:rsid w:val="00E73495"/>
    <w:rsid w:val="00E74810"/>
    <w:rsid w:val="00E74B32"/>
    <w:rsid w:val="00E752F9"/>
    <w:rsid w:val="00E755AB"/>
    <w:rsid w:val="00E7567C"/>
    <w:rsid w:val="00E75A9B"/>
    <w:rsid w:val="00E7617B"/>
    <w:rsid w:val="00E80037"/>
    <w:rsid w:val="00E801F4"/>
    <w:rsid w:val="00E805AD"/>
    <w:rsid w:val="00E805BA"/>
    <w:rsid w:val="00E80A26"/>
    <w:rsid w:val="00E80BF8"/>
    <w:rsid w:val="00E81E6A"/>
    <w:rsid w:val="00E82134"/>
    <w:rsid w:val="00E823C6"/>
    <w:rsid w:val="00E82FDD"/>
    <w:rsid w:val="00E834AB"/>
    <w:rsid w:val="00E83A8B"/>
    <w:rsid w:val="00E842CC"/>
    <w:rsid w:val="00E84DDE"/>
    <w:rsid w:val="00E855A4"/>
    <w:rsid w:val="00E9052D"/>
    <w:rsid w:val="00E90916"/>
    <w:rsid w:val="00E90E80"/>
    <w:rsid w:val="00E90F67"/>
    <w:rsid w:val="00E90F74"/>
    <w:rsid w:val="00E9144D"/>
    <w:rsid w:val="00E91EC6"/>
    <w:rsid w:val="00E928E7"/>
    <w:rsid w:val="00E92AB0"/>
    <w:rsid w:val="00E932FB"/>
    <w:rsid w:val="00E93CEA"/>
    <w:rsid w:val="00E94745"/>
    <w:rsid w:val="00E94D81"/>
    <w:rsid w:val="00E95035"/>
    <w:rsid w:val="00E95A38"/>
    <w:rsid w:val="00E95B86"/>
    <w:rsid w:val="00E95FEF"/>
    <w:rsid w:val="00E96343"/>
    <w:rsid w:val="00E967C1"/>
    <w:rsid w:val="00E972D6"/>
    <w:rsid w:val="00E974B9"/>
    <w:rsid w:val="00E97916"/>
    <w:rsid w:val="00E97CB2"/>
    <w:rsid w:val="00E97D28"/>
    <w:rsid w:val="00E97D31"/>
    <w:rsid w:val="00EA01AC"/>
    <w:rsid w:val="00EA01ED"/>
    <w:rsid w:val="00EA149C"/>
    <w:rsid w:val="00EA1689"/>
    <w:rsid w:val="00EA1B26"/>
    <w:rsid w:val="00EA2236"/>
    <w:rsid w:val="00EA231F"/>
    <w:rsid w:val="00EA2A1A"/>
    <w:rsid w:val="00EA35D5"/>
    <w:rsid w:val="00EA37EB"/>
    <w:rsid w:val="00EA3B67"/>
    <w:rsid w:val="00EA42FE"/>
    <w:rsid w:val="00EA4552"/>
    <w:rsid w:val="00EA4715"/>
    <w:rsid w:val="00EA61FF"/>
    <w:rsid w:val="00EA6CD0"/>
    <w:rsid w:val="00EB0054"/>
    <w:rsid w:val="00EB0170"/>
    <w:rsid w:val="00EB05F8"/>
    <w:rsid w:val="00EB0C5C"/>
    <w:rsid w:val="00EB0F08"/>
    <w:rsid w:val="00EB201F"/>
    <w:rsid w:val="00EB2DF6"/>
    <w:rsid w:val="00EB3C6A"/>
    <w:rsid w:val="00EB412A"/>
    <w:rsid w:val="00EB43B7"/>
    <w:rsid w:val="00EB4B27"/>
    <w:rsid w:val="00EB4E12"/>
    <w:rsid w:val="00EB517A"/>
    <w:rsid w:val="00EB61B7"/>
    <w:rsid w:val="00EB6866"/>
    <w:rsid w:val="00EB7203"/>
    <w:rsid w:val="00EB7811"/>
    <w:rsid w:val="00EB7B18"/>
    <w:rsid w:val="00EC05F8"/>
    <w:rsid w:val="00EC0FBC"/>
    <w:rsid w:val="00EC2399"/>
    <w:rsid w:val="00EC262A"/>
    <w:rsid w:val="00EC26BB"/>
    <w:rsid w:val="00EC27E9"/>
    <w:rsid w:val="00EC2F46"/>
    <w:rsid w:val="00EC31FD"/>
    <w:rsid w:val="00EC3935"/>
    <w:rsid w:val="00EC3B8D"/>
    <w:rsid w:val="00EC3EAC"/>
    <w:rsid w:val="00EC3F56"/>
    <w:rsid w:val="00EC4128"/>
    <w:rsid w:val="00EC512F"/>
    <w:rsid w:val="00EC5B10"/>
    <w:rsid w:val="00EC6550"/>
    <w:rsid w:val="00EC6568"/>
    <w:rsid w:val="00EC6C4E"/>
    <w:rsid w:val="00EC6CF2"/>
    <w:rsid w:val="00EC7047"/>
    <w:rsid w:val="00EC74A5"/>
    <w:rsid w:val="00EC79A7"/>
    <w:rsid w:val="00EC7C07"/>
    <w:rsid w:val="00ED00EF"/>
    <w:rsid w:val="00ED1500"/>
    <w:rsid w:val="00ED1650"/>
    <w:rsid w:val="00ED1A70"/>
    <w:rsid w:val="00ED1F43"/>
    <w:rsid w:val="00ED1FAE"/>
    <w:rsid w:val="00ED282C"/>
    <w:rsid w:val="00ED2F80"/>
    <w:rsid w:val="00ED36A2"/>
    <w:rsid w:val="00ED3910"/>
    <w:rsid w:val="00ED3BB8"/>
    <w:rsid w:val="00ED3FCF"/>
    <w:rsid w:val="00ED4C74"/>
    <w:rsid w:val="00ED51B5"/>
    <w:rsid w:val="00ED6CA7"/>
    <w:rsid w:val="00ED6F52"/>
    <w:rsid w:val="00EE028F"/>
    <w:rsid w:val="00EE038A"/>
    <w:rsid w:val="00EE04E3"/>
    <w:rsid w:val="00EE0EB9"/>
    <w:rsid w:val="00EE1199"/>
    <w:rsid w:val="00EE1CAF"/>
    <w:rsid w:val="00EE1FF9"/>
    <w:rsid w:val="00EE2574"/>
    <w:rsid w:val="00EE281D"/>
    <w:rsid w:val="00EE28F3"/>
    <w:rsid w:val="00EE2B4C"/>
    <w:rsid w:val="00EE3544"/>
    <w:rsid w:val="00EE35F9"/>
    <w:rsid w:val="00EE3780"/>
    <w:rsid w:val="00EE3E26"/>
    <w:rsid w:val="00EE4041"/>
    <w:rsid w:val="00EE4967"/>
    <w:rsid w:val="00EE5B0E"/>
    <w:rsid w:val="00EE5BF8"/>
    <w:rsid w:val="00EE5CD0"/>
    <w:rsid w:val="00EE6397"/>
    <w:rsid w:val="00EE679D"/>
    <w:rsid w:val="00EE6DBD"/>
    <w:rsid w:val="00EE771F"/>
    <w:rsid w:val="00EE78AF"/>
    <w:rsid w:val="00EE799D"/>
    <w:rsid w:val="00EE79C5"/>
    <w:rsid w:val="00EF020C"/>
    <w:rsid w:val="00EF0D96"/>
    <w:rsid w:val="00EF0F74"/>
    <w:rsid w:val="00EF0FB6"/>
    <w:rsid w:val="00EF1878"/>
    <w:rsid w:val="00EF29D9"/>
    <w:rsid w:val="00EF2A92"/>
    <w:rsid w:val="00EF2F88"/>
    <w:rsid w:val="00EF3257"/>
    <w:rsid w:val="00EF3629"/>
    <w:rsid w:val="00EF4007"/>
    <w:rsid w:val="00EF421D"/>
    <w:rsid w:val="00EF44F7"/>
    <w:rsid w:val="00EF4956"/>
    <w:rsid w:val="00EF573A"/>
    <w:rsid w:val="00EF581C"/>
    <w:rsid w:val="00EF6BAA"/>
    <w:rsid w:val="00EF6DE4"/>
    <w:rsid w:val="00EF7803"/>
    <w:rsid w:val="00EF78C0"/>
    <w:rsid w:val="00F00800"/>
    <w:rsid w:val="00F00C02"/>
    <w:rsid w:val="00F010F5"/>
    <w:rsid w:val="00F011EE"/>
    <w:rsid w:val="00F0183E"/>
    <w:rsid w:val="00F01C85"/>
    <w:rsid w:val="00F01D31"/>
    <w:rsid w:val="00F0215C"/>
    <w:rsid w:val="00F0291D"/>
    <w:rsid w:val="00F029EA"/>
    <w:rsid w:val="00F030CC"/>
    <w:rsid w:val="00F03265"/>
    <w:rsid w:val="00F03304"/>
    <w:rsid w:val="00F05C21"/>
    <w:rsid w:val="00F05D44"/>
    <w:rsid w:val="00F06893"/>
    <w:rsid w:val="00F06949"/>
    <w:rsid w:val="00F07797"/>
    <w:rsid w:val="00F07EA6"/>
    <w:rsid w:val="00F10322"/>
    <w:rsid w:val="00F10337"/>
    <w:rsid w:val="00F10F63"/>
    <w:rsid w:val="00F1104D"/>
    <w:rsid w:val="00F11932"/>
    <w:rsid w:val="00F11E8E"/>
    <w:rsid w:val="00F1280E"/>
    <w:rsid w:val="00F128B5"/>
    <w:rsid w:val="00F12D16"/>
    <w:rsid w:val="00F13CED"/>
    <w:rsid w:val="00F14196"/>
    <w:rsid w:val="00F14A92"/>
    <w:rsid w:val="00F14FDE"/>
    <w:rsid w:val="00F15819"/>
    <w:rsid w:val="00F15C15"/>
    <w:rsid w:val="00F15D9B"/>
    <w:rsid w:val="00F16080"/>
    <w:rsid w:val="00F16317"/>
    <w:rsid w:val="00F164D1"/>
    <w:rsid w:val="00F17193"/>
    <w:rsid w:val="00F1775B"/>
    <w:rsid w:val="00F20797"/>
    <w:rsid w:val="00F209D1"/>
    <w:rsid w:val="00F20F73"/>
    <w:rsid w:val="00F2136D"/>
    <w:rsid w:val="00F21888"/>
    <w:rsid w:val="00F21B1B"/>
    <w:rsid w:val="00F21EBE"/>
    <w:rsid w:val="00F21FF7"/>
    <w:rsid w:val="00F22716"/>
    <w:rsid w:val="00F22BC9"/>
    <w:rsid w:val="00F22C7F"/>
    <w:rsid w:val="00F232A2"/>
    <w:rsid w:val="00F23490"/>
    <w:rsid w:val="00F23537"/>
    <w:rsid w:val="00F23553"/>
    <w:rsid w:val="00F23748"/>
    <w:rsid w:val="00F238DC"/>
    <w:rsid w:val="00F238F4"/>
    <w:rsid w:val="00F2408F"/>
    <w:rsid w:val="00F240B8"/>
    <w:rsid w:val="00F24170"/>
    <w:rsid w:val="00F246F1"/>
    <w:rsid w:val="00F24705"/>
    <w:rsid w:val="00F24F81"/>
    <w:rsid w:val="00F250C8"/>
    <w:rsid w:val="00F26346"/>
    <w:rsid w:val="00F26701"/>
    <w:rsid w:val="00F270FC"/>
    <w:rsid w:val="00F277D5"/>
    <w:rsid w:val="00F27E23"/>
    <w:rsid w:val="00F30B28"/>
    <w:rsid w:val="00F30C39"/>
    <w:rsid w:val="00F31918"/>
    <w:rsid w:val="00F31E77"/>
    <w:rsid w:val="00F31FBF"/>
    <w:rsid w:val="00F322C5"/>
    <w:rsid w:val="00F32D56"/>
    <w:rsid w:val="00F33080"/>
    <w:rsid w:val="00F331C7"/>
    <w:rsid w:val="00F33365"/>
    <w:rsid w:val="00F3528A"/>
    <w:rsid w:val="00F35860"/>
    <w:rsid w:val="00F359A2"/>
    <w:rsid w:val="00F35DEB"/>
    <w:rsid w:val="00F35E0F"/>
    <w:rsid w:val="00F36553"/>
    <w:rsid w:val="00F36959"/>
    <w:rsid w:val="00F36ED6"/>
    <w:rsid w:val="00F37C8F"/>
    <w:rsid w:val="00F40B35"/>
    <w:rsid w:val="00F40CB8"/>
    <w:rsid w:val="00F41EB4"/>
    <w:rsid w:val="00F4271C"/>
    <w:rsid w:val="00F4345C"/>
    <w:rsid w:val="00F43CF6"/>
    <w:rsid w:val="00F44736"/>
    <w:rsid w:val="00F44A73"/>
    <w:rsid w:val="00F461AB"/>
    <w:rsid w:val="00F466C1"/>
    <w:rsid w:val="00F47088"/>
    <w:rsid w:val="00F4771D"/>
    <w:rsid w:val="00F509FA"/>
    <w:rsid w:val="00F5305E"/>
    <w:rsid w:val="00F53BB6"/>
    <w:rsid w:val="00F54250"/>
    <w:rsid w:val="00F55027"/>
    <w:rsid w:val="00F55149"/>
    <w:rsid w:val="00F55552"/>
    <w:rsid w:val="00F555E6"/>
    <w:rsid w:val="00F55ACC"/>
    <w:rsid w:val="00F562BE"/>
    <w:rsid w:val="00F57792"/>
    <w:rsid w:val="00F57804"/>
    <w:rsid w:val="00F57849"/>
    <w:rsid w:val="00F57B6D"/>
    <w:rsid w:val="00F57DC6"/>
    <w:rsid w:val="00F607A4"/>
    <w:rsid w:val="00F60FF4"/>
    <w:rsid w:val="00F61858"/>
    <w:rsid w:val="00F61885"/>
    <w:rsid w:val="00F61D5B"/>
    <w:rsid w:val="00F637D9"/>
    <w:rsid w:val="00F63A1E"/>
    <w:rsid w:val="00F644F4"/>
    <w:rsid w:val="00F6459C"/>
    <w:rsid w:val="00F65C8E"/>
    <w:rsid w:val="00F65E28"/>
    <w:rsid w:val="00F66552"/>
    <w:rsid w:val="00F66EA1"/>
    <w:rsid w:val="00F67283"/>
    <w:rsid w:val="00F6746F"/>
    <w:rsid w:val="00F70892"/>
    <w:rsid w:val="00F7107F"/>
    <w:rsid w:val="00F7174C"/>
    <w:rsid w:val="00F71C02"/>
    <w:rsid w:val="00F71DD6"/>
    <w:rsid w:val="00F738A8"/>
    <w:rsid w:val="00F744C1"/>
    <w:rsid w:val="00F744C9"/>
    <w:rsid w:val="00F74699"/>
    <w:rsid w:val="00F74D25"/>
    <w:rsid w:val="00F758FE"/>
    <w:rsid w:val="00F761FB"/>
    <w:rsid w:val="00F7684E"/>
    <w:rsid w:val="00F76B4D"/>
    <w:rsid w:val="00F77DA1"/>
    <w:rsid w:val="00F81A63"/>
    <w:rsid w:val="00F81DD1"/>
    <w:rsid w:val="00F81F75"/>
    <w:rsid w:val="00F82787"/>
    <w:rsid w:val="00F829F3"/>
    <w:rsid w:val="00F82BC2"/>
    <w:rsid w:val="00F82BFB"/>
    <w:rsid w:val="00F836BD"/>
    <w:rsid w:val="00F83E49"/>
    <w:rsid w:val="00F8418F"/>
    <w:rsid w:val="00F84D30"/>
    <w:rsid w:val="00F85201"/>
    <w:rsid w:val="00F85AC4"/>
    <w:rsid w:val="00F85EDD"/>
    <w:rsid w:val="00F863AF"/>
    <w:rsid w:val="00F8657C"/>
    <w:rsid w:val="00F9069A"/>
    <w:rsid w:val="00F90DC4"/>
    <w:rsid w:val="00F90F76"/>
    <w:rsid w:val="00F915CB"/>
    <w:rsid w:val="00F92336"/>
    <w:rsid w:val="00F93844"/>
    <w:rsid w:val="00F9487C"/>
    <w:rsid w:val="00F94D96"/>
    <w:rsid w:val="00F950CD"/>
    <w:rsid w:val="00F95A6A"/>
    <w:rsid w:val="00F95B40"/>
    <w:rsid w:val="00F95F5A"/>
    <w:rsid w:val="00F96489"/>
    <w:rsid w:val="00F9655C"/>
    <w:rsid w:val="00F976E1"/>
    <w:rsid w:val="00F97BD7"/>
    <w:rsid w:val="00FA0131"/>
    <w:rsid w:val="00FA0182"/>
    <w:rsid w:val="00FA0A3E"/>
    <w:rsid w:val="00FA1BBE"/>
    <w:rsid w:val="00FA219E"/>
    <w:rsid w:val="00FA496B"/>
    <w:rsid w:val="00FA4DF2"/>
    <w:rsid w:val="00FA5F8E"/>
    <w:rsid w:val="00FA679E"/>
    <w:rsid w:val="00FA6B2F"/>
    <w:rsid w:val="00FA71E7"/>
    <w:rsid w:val="00FA779F"/>
    <w:rsid w:val="00FB1079"/>
    <w:rsid w:val="00FB1A0A"/>
    <w:rsid w:val="00FB2F45"/>
    <w:rsid w:val="00FB30FE"/>
    <w:rsid w:val="00FB337F"/>
    <w:rsid w:val="00FB3391"/>
    <w:rsid w:val="00FB3482"/>
    <w:rsid w:val="00FB3AD8"/>
    <w:rsid w:val="00FB3BBB"/>
    <w:rsid w:val="00FB4D14"/>
    <w:rsid w:val="00FB5341"/>
    <w:rsid w:val="00FB662A"/>
    <w:rsid w:val="00FB6669"/>
    <w:rsid w:val="00FB670F"/>
    <w:rsid w:val="00FB688C"/>
    <w:rsid w:val="00FB68F0"/>
    <w:rsid w:val="00FB69F9"/>
    <w:rsid w:val="00FB6DBE"/>
    <w:rsid w:val="00FB7483"/>
    <w:rsid w:val="00FB77E6"/>
    <w:rsid w:val="00FB7B62"/>
    <w:rsid w:val="00FB7C42"/>
    <w:rsid w:val="00FC04C5"/>
    <w:rsid w:val="00FC0D6F"/>
    <w:rsid w:val="00FC1063"/>
    <w:rsid w:val="00FC1220"/>
    <w:rsid w:val="00FC1600"/>
    <w:rsid w:val="00FC1C84"/>
    <w:rsid w:val="00FC1F94"/>
    <w:rsid w:val="00FC23EC"/>
    <w:rsid w:val="00FC2760"/>
    <w:rsid w:val="00FC2817"/>
    <w:rsid w:val="00FC3082"/>
    <w:rsid w:val="00FC4556"/>
    <w:rsid w:val="00FC4C20"/>
    <w:rsid w:val="00FC5BE9"/>
    <w:rsid w:val="00FC5D52"/>
    <w:rsid w:val="00FC5D9E"/>
    <w:rsid w:val="00FC5E99"/>
    <w:rsid w:val="00FC6A6B"/>
    <w:rsid w:val="00FC724F"/>
    <w:rsid w:val="00FC7BC5"/>
    <w:rsid w:val="00FD01EE"/>
    <w:rsid w:val="00FD08B5"/>
    <w:rsid w:val="00FD0D1E"/>
    <w:rsid w:val="00FD1651"/>
    <w:rsid w:val="00FD1DA1"/>
    <w:rsid w:val="00FD203C"/>
    <w:rsid w:val="00FD20CC"/>
    <w:rsid w:val="00FD2131"/>
    <w:rsid w:val="00FD295A"/>
    <w:rsid w:val="00FD298E"/>
    <w:rsid w:val="00FD2AA3"/>
    <w:rsid w:val="00FD2C8C"/>
    <w:rsid w:val="00FD31EC"/>
    <w:rsid w:val="00FD35A1"/>
    <w:rsid w:val="00FD3675"/>
    <w:rsid w:val="00FD3C4D"/>
    <w:rsid w:val="00FD3CAF"/>
    <w:rsid w:val="00FD4471"/>
    <w:rsid w:val="00FD4D85"/>
    <w:rsid w:val="00FD5346"/>
    <w:rsid w:val="00FD59DC"/>
    <w:rsid w:val="00FD5D1E"/>
    <w:rsid w:val="00FD5F95"/>
    <w:rsid w:val="00FD69D8"/>
    <w:rsid w:val="00FD6BA8"/>
    <w:rsid w:val="00FD7113"/>
    <w:rsid w:val="00FD7E43"/>
    <w:rsid w:val="00FE03D9"/>
    <w:rsid w:val="00FE0AC1"/>
    <w:rsid w:val="00FE0D55"/>
    <w:rsid w:val="00FE0DBC"/>
    <w:rsid w:val="00FE1620"/>
    <w:rsid w:val="00FE1B8E"/>
    <w:rsid w:val="00FE1D2E"/>
    <w:rsid w:val="00FE20D9"/>
    <w:rsid w:val="00FE2A74"/>
    <w:rsid w:val="00FE3D15"/>
    <w:rsid w:val="00FE3FE6"/>
    <w:rsid w:val="00FE4501"/>
    <w:rsid w:val="00FE4611"/>
    <w:rsid w:val="00FE4BCE"/>
    <w:rsid w:val="00FE4CAC"/>
    <w:rsid w:val="00FE6874"/>
    <w:rsid w:val="00FE6B7E"/>
    <w:rsid w:val="00FE7327"/>
    <w:rsid w:val="00FE787E"/>
    <w:rsid w:val="00FF1672"/>
    <w:rsid w:val="00FF1802"/>
    <w:rsid w:val="00FF181F"/>
    <w:rsid w:val="00FF1D18"/>
    <w:rsid w:val="00FF1D71"/>
    <w:rsid w:val="00FF1D9B"/>
    <w:rsid w:val="00FF266D"/>
    <w:rsid w:val="00FF266F"/>
    <w:rsid w:val="00FF28FA"/>
    <w:rsid w:val="00FF2ACC"/>
    <w:rsid w:val="00FF3186"/>
    <w:rsid w:val="00FF33C3"/>
    <w:rsid w:val="00FF3A2B"/>
    <w:rsid w:val="00FF3BC8"/>
    <w:rsid w:val="00FF4D62"/>
    <w:rsid w:val="00FF57D6"/>
    <w:rsid w:val="00FF5B01"/>
    <w:rsid w:val="00FF5F63"/>
    <w:rsid w:val="00FF71C5"/>
    <w:rsid w:val="00FF749D"/>
    <w:rsid w:val="00FF75DA"/>
    <w:rsid w:val="00FF7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Mang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6C4B"/>
    <w:pPr>
      <w:spacing w:line="360" w:lineRule="auto"/>
      <w:jc w:val="both"/>
    </w:pPr>
    <w:rPr>
      <w:rFonts w:ascii="Century Gothic" w:hAnsi="Century Gothic"/>
      <w:sz w:val="24"/>
      <w:szCs w:val="24"/>
    </w:rPr>
  </w:style>
  <w:style w:type="paragraph" w:styleId="Heading1">
    <w:name w:val="heading 1"/>
    <w:aliases w:val="10pt,MASTHEAD,Section,HEADING 1,Section Heading,MainHeader,1 ghost,g,Main heading,App1,1,h1,L1,Article Heading,EASI 1,Hoofdstuk,Heading 1-nonum,Chapter Title"/>
    <w:basedOn w:val="Normal"/>
    <w:next w:val="Normal"/>
    <w:qFormat/>
    <w:rsid w:val="00037E8D"/>
    <w:pPr>
      <w:keepNext/>
      <w:numPr>
        <w:numId w:val="2"/>
      </w:numPr>
      <w:shd w:val="clear" w:color="auto" w:fill="336699"/>
      <w:spacing w:before="240" w:after="60"/>
      <w:outlineLvl w:val="0"/>
    </w:pPr>
    <w:rPr>
      <w:rFonts w:cs="Arial"/>
      <w:b/>
      <w:bCs/>
      <w:color w:val="FFFFFF"/>
      <w:kern w:val="32"/>
      <w:sz w:val="32"/>
      <w:szCs w:val="32"/>
    </w:rPr>
  </w:style>
  <w:style w:type="paragraph" w:styleId="Heading2">
    <w:name w:val="heading 2"/>
    <w:aliases w:val="Major,Reset numbering,style1,H2,2,B Heading,h2,level2,level 2,LetHead2,MisHead2,Normalhead2,l2,Normal Heading 2"/>
    <w:basedOn w:val="Normal"/>
    <w:next w:val="Normal"/>
    <w:qFormat/>
    <w:rsid w:val="00037E8D"/>
    <w:pPr>
      <w:keepNext/>
      <w:numPr>
        <w:ilvl w:val="1"/>
        <w:numId w:val="2"/>
      </w:numPr>
      <w:spacing w:before="240" w:after="60"/>
      <w:outlineLvl w:val="1"/>
    </w:pPr>
    <w:rPr>
      <w:rFonts w:ascii="Arial" w:hAnsi="Arial" w:cs="Arial"/>
      <w:b/>
      <w:bCs/>
      <w:i/>
      <w:iCs/>
      <w:sz w:val="28"/>
      <w:szCs w:val="28"/>
    </w:rPr>
  </w:style>
  <w:style w:type="paragraph" w:styleId="Heading3">
    <w:name w:val="heading 3"/>
    <w:aliases w:val="Heading 3 Char Char,Heading 3 Char"/>
    <w:basedOn w:val="Normal"/>
    <w:next w:val="Normal"/>
    <w:qFormat/>
    <w:rsid w:val="00037E8D"/>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037E8D"/>
    <w:pPr>
      <w:keepNext/>
      <w:numPr>
        <w:ilvl w:val="3"/>
        <w:numId w:val="2"/>
      </w:numPr>
      <w:spacing w:before="240" w:after="60"/>
      <w:outlineLvl w:val="3"/>
    </w:pPr>
    <w:rPr>
      <w:b/>
      <w:bCs/>
      <w:sz w:val="28"/>
      <w:szCs w:val="28"/>
    </w:rPr>
  </w:style>
  <w:style w:type="paragraph" w:styleId="Heading5">
    <w:name w:val="heading 5"/>
    <w:basedOn w:val="Normal"/>
    <w:next w:val="Normal"/>
    <w:qFormat/>
    <w:rsid w:val="00037E8D"/>
    <w:pPr>
      <w:numPr>
        <w:ilvl w:val="4"/>
        <w:numId w:val="2"/>
      </w:numPr>
      <w:spacing w:before="240" w:after="60"/>
      <w:outlineLvl w:val="4"/>
    </w:pPr>
    <w:rPr>
      <w:b/>
      <w:bCs/>
      <w:i/>
      <w:iCs/>
      <w:sz w:val="26"/>
      <w:szCs w:val="26"/>
    </w:rPr>
  </w:style>
  <w:style w:type="paragraph" w:styleId="Heading6">
    <w:name w:val="heading 6"/>
    <w:basedOn w:val="Normal"/>
    <w:next w:val="Normal"/>
    <w:qFormat/>
    <w:rsid w:val="00037E8D"/>
    <w:pPr>
      <w:numPr>
        <w:ilvl w:val="5"/>
        <w:numId w:val="2"/>
      </w:numPr>
      <w:spacing w:before="240" w:after="60"/>
      <w:outlineLvl w:val="5"/>
    </w:pPr>
    <w:rPr>
      <w:b/>
      <w:bCs/>
      <w:sz w:val="22"/>
      <w:szCs w:val="22"/>
    </w:rPr>
  </w:style>
  <w:style w:type="paragraph" w:styleId="Heading7">
    <w:name w:val="heading 7"/>
    <w:basedOn w:val="Normal"/>
    <w:next w:val="Normal"/>
    <w:qFormat/>
    <w:rsid w:val="00037E8D"/>
    <w:pPr>
      <w:numPr>
        <w:ilvl w:val="6"/>
        <w:numId w:val="2"/>
      </w:numPr>
      <w:spacing w:before="240" w:after="60"/>
      <w:outlineLvl w:val="6"/>
    </w:pPr>
  </w:style>
  <w:style w:type="paragraph" w:styleId="Heading8">
    <w:name w:val="heading 8"/>
    <w:basedOn w:val="Normal"/>
    <w:next w:val="Normal"/>
    <w:qFormat/>
    <w:rsid w:val="00037E8D"/>
    <w:pPr>
      <w:numPr>
        <w:ilvl w:val="7"/>
        <w:numId w:val="2"/>
      </w:numPr>
      <w:spacing w:before="240" w:after="60"/>
      <w:outlineLvl w:val="7"/>
    </w:pPr>
    <w:rPr>
      <w:i/>
      <w:iCs/>
    </w:rPr>
  </w:style>
  <w:style w:type="paragraph" w:styleId="Heading9">
    <w:name w:val="heading 9"/>
    <w:basedOn w:val="Normal"/>
    <w:next w:val="Normal"/>
    <w:qFormat/>
    <w:rsid w:val="00037E8D"/>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7E8D"/>
    <w:pPr>
      <w:tabs>
        <w:tab w:val="center" w:pos="4320"/>
        <w:tab w:val="right" w:pos="8640"/>
      </w:tabs>
    </w:pPr>
  </w:style>
  <w:style w:type="paragraph" w:styleId="Footer">
    <w:name w:val="footer"/>
    <w:basedOn w:val="Normal"/>
    <w:rsid w:val="00037E8D"/>
    <w:pPr>
      <w:tabs>
        <w:tab w:val="center" w:pos="4320"/>
        <w:tab w:val="right" w:pos="8640"/>
      </w:tabs>
    </w:pPr>
  </w:style>
  <w:style w:type="paragraph" w:customStyle="1" w:styleId="StyleHeading216ptJustifiedLinespacing15lines">
    <w:name w:val="Style Heading 2 + 16 pt Justified Line spacing:  1.5 lines"/>
    <w:basedOn w:val="Heading2"/>
    <w:rsid w:val="00037E8D"/>
    <w:pPr>
      <w:numPr>
        <w:numId w:val="1"/>
      </w:numPr>
      <w:spacing w:before="0" w:after="0"/>
    </w:pPr>
    <w:rPr>
      <w:rFonts w:ascii="Century Gothic" w:hAnsi="Century Gothic" w:cs="Times New Roman"/>
      <w:i w:val="0"/>
      <w:sz w:val="24"/>
      <w:szCs w:val="24"/>
    </w:rPr>
  </w:style>
  <w:style w:type="paragraph" w:styleId="BalloonText">
    <w:name w:val="Balloon Text"/>
    <w:basedOn w:val="Normal"/>
    <w:semiHidden/>
    <w:rsid w:val="00037E8D"/>
    <w:rPr>
      <w:rFonts w:ascii="Tahoma" w:hAnsi="Tahoma" w:cs="Tahoma"/>
      <w:sz w:val="16"/>
      <w:szCs w:val="16"/>
    </w:rPr>
  </w:style>
  <w:style w:type="paragraph" w:styleId="TOC1">
    <w:name w:val="toc 1"/>
    <w:basedOn w:val="Normal"/>
    <w:next w:val="Normal"/>
    <w:autoRedefine/>
    <w:uiPriority w:val="39"/>
    <w:rsid w:val="00037E8D"/>
  </w:style>
  <w:style w:type="paragraph" w:styleId="TOC2">
    <w:name w:val="toc 2"/>
    <w:basedOn w:val="Normal"/>
    <w:next w:val="Normal"/>
    <w:autoRedefine/>
    <w:uiPriority w:val="39"/>
    <w:rsid w:val="00037E8D"/>
    <w:pPr>
      <w:ind w:left="240"/>
    </w:pPr>
  </w:style>
  <w:style w:type="character" w:styleId="Hyperlink">
    <w:name w:val="Hyperlink"/>
    <w:basedOn w:val="DefaultParagraphFont"/>
    <w:uiPriority w:val="99"/>
    <w:rsid w:val="00037E8D"/>
    <w:rPr>
      <w:color w:val="0000FF"/>
      <w:u w:val="single"/>
    </w:rPr>
  </w:style>
  <w:style w:type="paragraph" w:styleId="BodyText">
    <w:name w:val="Body Text"/>
    <w:basedOn w:val="Normal"/>
    <w:rsid w:val="00037E8D"/>
    <w:rPr>
      <w:rFonts w:ascii="Arial" w:hAnsi="Arial"/>
      <w:sz w:val="22"/>
      <w:szCs w:val="20"/>
    </w:rPr>
  </w:style>
  <w:style w:type="paragraph" w:styleId="Caption">
    <w:name w:val="caption"/>
    <w:basedOn w:val="Normal"/>
    <w:next w:val="Normal"/>
    <w:qFormat/>
    <w:rsid w:val="00037E8D"/>
    <w:pPr>
      <w:spacing w:before="120" w:after="120"/>
      <w:jc w:val="left"/>
    </w:pPr>
    <w:rPr>
      <w:b/>
      <w:bCs/>
      <w:szCs w:val="20"/>
    </w:rPr>
  </w:style>
  <w:style w:type="paragraph" w:styleId="TableofFigures">
    <w:name w:val="table of figures"/>
    <w:basedOn w:val="Normal"/>
    <w:next w:val="Normal"/>
    <w:uiPriority w:val="99"/>
    <w:rsid w:val="00037E8D"/>
    <w:pPr>
      <w:ind w:left="480" w:hanging="480"/>
    </w:pPr>
  </w:style>
  <w:style w:type="paragraph" w:customStyle="1" w:styleId="ams">
    <w:name w:val="ams"/>
    <w:basedOn w:val="BodyTextIndent3"/>
    <w:rsid w:val="00037E8D"/>
    <w:pPr>
      <w:spacing w:after="0"/>
      <w:ind w:left="720"/>
    </w:pPr>
    <w:rPr>
      <w:rFonts w:ascii="Arial" w:hAnsi="Arial" w:cs="Arial"/>
      <w:sz w:val="28"/>
      <w:szCs w:val="24"/>
    </w:rPr>
  </w:style>
  <w:style w:type="paragraph" w:styleId="BodyTextIndent3">
    <w:name w:val="Body Text Indent 3"/>
    <w:basedOn w:val="Normal"/>
    <w:rsid w:val="00037E8D"/>
    <w:pPr>
      <w:spacing w:after="120"/>
      <w:ind w:left="283"/>
    </w:pPr>
    <w:rPr>
      <w:sz w:val="16"/>
      <w:szCs w:val="16"/>
    </w:rPr>
  </w:style>
  <w:style w:type="paragraph" w:styleId="BodyTextIndent2">
    <w:name w:val="Body Text Indent 2"/>
    <w:basedOn w:val="Normal"/>
    <w:rsid w:val="00037E8D"/>
    <w:pPr>
      <w:spacing w:after="120" w:line="480" w:lineRule="auto"/>
      <w:ind w:left="283"/>
    </w:pPr>
  </w:style>
  <w:style w:type="paragraph" w:customStyle="1" w:styleId="Default">
    <w:name w:val="Default"/>
    <w:rsid w:val="00037E8D"/>
    <w:pPr>
      <w:autoSpaceDE w:val="0"/>
      <w:autoSpaceDN w:val="0"/>
      <w:adjustRightInd w:val="0"/>
    </w:pPr>
    <w:rPr>
      <w:rFonts w:ascii="Book Antiqua" w:hAnsi="Book Antiqua" w:cs="Book Antiqua"/>
      <w:color w:val="000000"/>
      <w:sz w:val="24"/>
      <w:szCs w:val="24"/>
    </w:rPr>
  </w:style>
  <w:style w:type="paragraph" w:styleId="BodyText2">
    <w:name w:val="Body Text 2"/>
    <w:basedOn w:val="Normal"/>
    <w:rsid w:val="00037E8D"/>
    <w:pPr>
      <w:spacing w:after="120" w:line="480" w:lineRule="auto"/>
    </w:pPr>
  </w:style>
  <w:style w:type="paragraph" w:customStyle="1" w:styleId="BodyText21">
    <w:name w:val="Body Text 21"/>
    <w:basedOn w:val="Normal"/>
    <w:rsid w:val="00037E8D"/>
    <w:pPr>
      <w:widowControl w:val="0"/>
      <w:spacing w:line="240" w:lineRule="auto"/>
    </w:pPr>
    <w:rPr>
      <w:rFonts w:ascii="Times New Roman" w:hAnsi="Times New Roman"/>
      <w:snapToGrid w:val="0"/>
      <w:szCs w:val="20"/>
      <w:lang w:val="en-AU"/>
    </w:rPr>
  </w:style>
  <w:style w:type="paragraph" w:styleId="List">
    <w:name w:val="List"/>
    <w:basedOn w:val="Normal"/>
    <w:rsid w:val="00037E8D"/>
    <w:pPr>
      <w:tabs>
        <w:tab w:val="num" w:pos="720"/>
      </w:tabs>
      <w:spacing w:line="312" w:lineRule="auto"/>
      <w:ind w:left="720" w:hanging="360"/>
    </w:pPr>
    <w:rPr>
      <w:rFonts w:ascii="Arial" w:hAnsi="Arial"/>
      <w:sz w:val="22"/>
      <w:szCs w:val="20"/>
    </w:rPr>
  </w:style>
  <w:style w:type="paragraph" w:styleId="BodyText3">
    <w:name w:val="Body Text 3"/>
    <w:basedOn w:val="Normal"/>
    <w:rsid w:val="00037E8D"/>
    <w:rPr>
      <w:color w:val="FF0000"/>
      <w:sz w:val="22"/>
      <w:szCs w:val="22"/>
    </w:rPr>
  </w:style>
  <w:style w:type="paragraph" w:styleId="NormalWeb">
    <w:name w:val="Normal (Web)"/>
    <w:basedOn w:val="Normal"/>
    <w:rsid w:val="00037E8D"/>
    <w:pPr>
      <w:spacing w:before="100" w:beforeAutospacing="1" w:after="100" w:afterAutospacing="1" w:line="240" w:lineRule="auto"/>
      <w:jc w:val="left"/>
    </w:pPr>
    <w:rPr>
      <w:rFonts w:ascii="Times New Roman" w:hAnsi="Times New Roman"/>
    </w:rPr>
  </w:style>
  <w:style w:type="paragraph" w:styleId="BodyTextIndent">
    <w:name w:val="Body Text Indent"/>
    <w:basedOn w:val="Normal"/>
    <w:rsid w:val="00037E8D"/>
    <w:pPr>
      <w:ind w:left="720"/>
    </w:pPr>
    <w:rPr>
      <w:bCs/>
      <w:iCs/>
      <w:sz w:val="22"/>
      <w:szCs w:val="26"/>
    </w:rPr>
  </w:style>
  <w:style w:type="character" w:styleId="FollowedHyperlink">
    <w:name w:val="FollowedHyperlink"/>
    <w:basedOn w:val="DefaultParagraphFont"/>
    <w:rsid w:val="00037E8D"/>
    <w:rPr>
      <w:color w:val="800080"/>
      <w:u w:val="single"/>
    </w:rPr>
  </w:style>
  <w:style w:type="paragraph" w:customStyle="1" w:styleId="WW-BodyTextIndent2">
    <w:name w:val="WW-Body Text Indent 2"/>
    <w:basedOn w:val="Normal"/>
    <w:rsid w:val="00037E8D"/>
    <w:pPr>
      <w:suppressAutoHyphens/>
      <w:spacing w:after="120" w:line="480" w:lineRule="auto"/>
      <w:ind w:left="360"/>
      <w:jc w:val="left"/>
    </w:pPr>
    <w:rPr>
      <w:rFonts w:ascii="Times New Roman" w:hAnsi="Times New Roman"/>
      <w:lang w:eastAsia="ar-SA"/>
    </w:rPr>
  </w:style>
  <w:style w:type="paragraph" w:customStyle="1" w:styleId="Normal11pt">
    <w:name w:val="Normal + 11 pt"/>
    <w:basedOn w:val="Heading7"/>
    <w:rsid w:val="00037E8D"/>
    <w:pPr>
      <w:spacing w:line="240" w:lineRule="auto"/>
      <w:ind w:left="1440" w:firstLine="720"/>
    </w:pPr>
    <w:rPr>
      <w:rFonts w:cs="Arial"/>
      <w:b/>
      <w:szCs w:val="22"/>
      <w:u w:val="single"/>
    </w:rPr>
  </w:style>
  <w:style w:type="paragraph" w:styleId="TOC4">
    <w:name w:val="toc 4"/>
    <w:basedOn w:val="Normal"/>
    <w:next w:val="Normal"/>
    <w:autoRedefine/>
    <w:semiHidden/>
    <w:rsid w:val="00037E8D"/>
    <w:pPr>
      <w:ind w:left="720"/>
    </w:pPr>
  </w:style>
  <w:style w:type="paragraph" w:styleId="TOC3">
    <w:name w:val="toc 3"/>
    <w:basedOn w:val="Normal"/>
    <w:next w:val="Normal"/>
    <w:autoRedefine/>
    <w:uiPriority w:val="39"/>
    <w:rsid w:val="00037E8D"/>
    <w:pPr>
      <w:ind w:left="480"/>
    </w:pPr>
  </w:style>
  <w:style w:type="paragraph" w:customStyle="1" w:styleId="TableContents">
    <w:name w:val="Table Contents"/>
    <w:basedOn w:val="BodyText"/>
    <w:rsid w:val="00037E8D"/>
    <w:pPr>
      <w:widowControl w:val="0"/>
      <w:suppressLineNumbers/>
      <w:suppressAutoHyphens/>
      <w:spacing w:after="120" w:line="240" w:lineRule="auto"/>
      <w:jc w:val="left"/>
    </w:pPr>
    <w:rPr>
      <w:rFonts w:ascii="Times New Roman" w:eastAsia="Lucida Sans Unicode" w:hAnsi="Times New Roman" w:cs="Tahoma"/>
      <w:sz w:val="24"/>
      <w:szCs w:val="24"/>
    </w:rPr>
  </w:style>
  <w:style w:type="paragraph" w:styleId="FootnoteText">
    <w:name w:val="footnote text"/>
    <w:basedOn w:val="Normal"/>
    <w:semiHidden/>
    <w:rsid w:val="00037E8D"/>
    <w:rPr>
      <w:sz w:val="20"/>
      <w:szCs w:val="20"/>
    </w:rPr>
  </w:style>
  <w:style w:type="character" w:styleId="FootnoteReference">
    <w:name w:val="footnote reference"/>
    <w:basedOn w:val="DefaultParagraphFont"/>
    <w:semiHidden/>
    <w:rsid w:val="00037E8D"/>
    <w:rPr>
      <w:vertAlign w:val="superscript"/>
    </w:rPr>
  </w:style>
  <w:style w:type="paragraph" w:styleId="TOC5">
    <w:name w:val="toc 5"/>
    <w:basedOn w:val="Normal"/>
    <w:next w:val="Normal"/>
    <w:autoRedefine/>
    <w:semiHidden/>
    <w:rsid w:val="00037E8D"/>
    <w:pPr>
      <w:ind w:left="960"/>
    </w:pPr>
  </w:style>
  <w:style w:type="paragraph" w:styleId="TOC6">
    <w:name w:val="toc 6"/>
    <w:basedOn w:val="Normal"/>
    <w:next w:val="Normal"/>
    <w:autoRedefine/>
    <w:semiHidden/>
    <w:rsid w:val="00037E8D"/>
    <w:pPr>
      <w:ind w:left="1200"/>
    </w:pPr>
  </w:style>
  <w:style w:type="paragraph" w:styleId="TOC7">
    <w:name w:val="toc 7"/>
    <w:basedOn w:val="Normal"/>
    <w:next w:val="Normal"/>
    <w:autoRedefine/>
    <w:semiHidden/>
    <w:rsid w:val="00037E8D"/>
    <w:pPr>
      <w:ind w:left="1440"/>
    </w:pPr>
  </w:style>
  <w:style w:type="paragraph" w:styleId="TOC8">
    <w:name w:val="toc 8"/>
    <w:basedOn w:val="Normal"/>
    <w:next w:val="Normal"/>
    <w:autoRedefine/>
    <w:semiHidden/>
    <w:rsid w:val="00037E8D"/>
    <w:pPr>
      <w:ind w:left="1680"/>
    </w:pPr>
  </w:style>
  <w:style w:type="paragraph" w:styleId="TOC9">
    <w:name w:val="toc 9"/>
    <w:basedOn w:val="Normal"/>
    <w:next w:val="Normal"/>
    <w:autoRedefine/>
    <w:semiHidden/>
    <w:rsid w:val="00037E8D"/>
    <w:pPr>
      <w:ind w:left="1920"/>
    </w:pPr>
  </w:style>
  <w:style w:type="paragraph" w:customStyle="1" w:styleId="xl26">
    <w:name w:val="xl26"/>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style>
  <w:style w:type="paragraph" w:customStyle="1" w:styleId="xl27">
    <w:name w:val="xl27"/>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28">
    <w:name w:val="xl28"/>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29">
    <w:name w:val="xl29"/>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b/>
      <w:bCs/>
    </w:rPr>
  </w:style>
  <w:style w:type="paragraph" w:customStyle="1" w:styleId="xl30">
    <w:name w:val="xl30"/>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31">
    <w:name w:val="xl31"/>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textAlignment w:val="center"/>
    </w:pPr>
    <w:rPr>
      <w:b/>
      <w:bCs/>
    </w:rPr>
  </w:style>
  <w:style w:type="paragraph" w:customStyle="1" w:styleId="xl32">
    <w:name w:val="xl32"/>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b/>
      <w:bCs/>
    </w:rPr>
  </w:style>
  <w:style w:type="paragraph" w:customStyle="1" w:styleId="xl33">
    <w:name w:val="xl33"/>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rPr>
  </w:style>
  <w:style w:type="paragraph" w:customStyle="1" w:styleId="xl34">
    <w:name w:val="xl34"/>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b/>
      <w:bCs/>
    </w:rPr>
  </w:style>
  <w:style w:type="paragraph" w:customStyle="1" w:styleId="xl35">
    <w:name w:val="xl35"/>
    <w:basedOn w:val="Normal"/>
    <w:rsid w:val="00C43BF7"/>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jc w:val="left"/>
      <w:textAlignment w:val="center"/>
    </w:pPr>
    <w:rPr>
      <w:b/>
      <w:bCs/>
      <w:color w:val="FFFFFF"/>
    </w:rPr>
  </w:style>
  <w:style w:type="paragraph" w:customStyle="1" w:styleId="xl36">
    <w:name w:val="xl36"/>
    <w:basedOn w:val="Normal"/>
    <w:rsid w:val="00C43BF7"/>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jc w:val="center"/>
      <w:textAlignment w:val="center"/>
    </w:pPr>
    <w:rPr>
      <w:b/>
      <w:bCs/>
      <w:color w:val="FFFFFF"/>
    </w:rPr>
  </w:style>
  <w:style w:type="paragraph" w:customStyle="1" w:styleId="xl45">
    <w:name w:val="xl45"/>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rPr>
  </w:style>
  <w:style w:type="paragraph" w:customStyle="1" w:styleId="xl46">
    <w:name w:val="xl46"/>
    <w:basedOn w:val="Normal"/>
    <w:rsid w:val="00C43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Arial" w:hAnsi="Arial" w:cs="Arial"/>
      <w:b/>
      <w:bCs/>
    </w:rPr>
  </w:style>
  <w:style w:type="paragraph" w:customStyle="1" w:styleId="xl47">
    <w:name w:val="xl47"/>
    <w:basedOn w:val="Normal"/>
    <w:rsid w:val="00C43BF7"/>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paragraph" w:customStyle="1" w:styleId="xl48">
    <w:name w:val="xl48"/>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paragraph" w:customStyle="1" w:styleId="xl49">
    <w:name w:val="xl49"/>
    <w:basedOn w:val="Normal"/>
    <w:rsid w:val="00C43BF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paragraph" w:customStyle="1" w:styleId="xl50">
    <w:name w:val="xl50"/>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paragraph" w:customStyle="1" w:styleId="xl51">
    <w:name w:val="xl51"/>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b/>
      <w:bCs/>
    </w:rPr>
  </w:style>
  <w:style w:type="paragraph" w:customStyle="1" w:styleId="xl52">
    <w:name w:val="xl52"/>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textAlignment w:val="center"/>
    </w:pPr>
    <w:rPr>
      <w:rFonts w:ascii="Arial" w:hAnsi="Arial" w:cs="Arial"/>
      <w:b/>
      <w:bCs/>
    </w:rPr>
  </w:style>
  <w:style w:type="paragraph" w:customStyle="1" w:styleId="xl53">
    <w:name w:val="xl53"/>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rPr>
  </w:style>
  <w:style w:type="paragraph" w:customStyle="1" w:styleId="xl54">
    <w:name w:val="xl54"/>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rPr>
  </w:style>
  <w:style w:type="paragraph" w:customStyle="1" w:styleId="xl55">
    <w:name w:val="xl55"/>
    <w:basedOn w:val="Normal"/>
    <w:rsid w:val="00C43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Arial" w:hAnsi="Arial" w:cs="Arial"/>
    </w:rPr>
  </w:style>
  <w:style w:type="paragraph" w:customStyle="1" w:styleId="xl56">
    <w:name w:val="xl56"/>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rPr>
  </w:style>
  <w:style w:type="paragraph" w:customStyle="1" w:styleId="xl57">
    <w:name w:val="xl57"/>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hAnsi="Arial" w:cs="Arial"/>
    </w:rPr>
  </w:style>
  <w:style w:type="paragraph" w:customStyle="1" w:styleId="xl58">
    <w:name w:val="xl58"/>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rPr>
  </w:style>
  <w:style w:type="paragraph" w:customStyle="1" w:styleId="xl59">
    <w:name w:val="xl59"/>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b/>
      <w:bCs/>
    </w:rPr>
  </w:style>
  <w:style w:type="paragraph" w:customStyle="1" w:styleId="xl60">
    <w:name w:val="xl60"/>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rPr>
  </w:style>
  <w:style w:type="paragraph" w:customStyle="1" w:styleId="xl61">
    <w:name w:val="xl61"/>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rPr>
  </w:style>
  <w:style w:type="paragraph" w:customStyle="1" w:styleId="xl62">
    <w:name w:val="xl62"/>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b/>
      <w:bCs/>
      <w:color w:val="993366"/>
    </w:rPr>
  </w:style>
  <w:style w:type="paragraph" w:customStyle="1" w:styleId="xl63">
    <w:name w:val="xl63"/>
    <w:basedOn w:val="Normal"/>
    <w:rsid w:val="00C43B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hAnsi="Arial" w:cs="Arial"/>
    </w:rPr>
  </w:style>
  <w:style w:type="paragraph" w:customStyle="1" w:styleId="xl64">
    <w:name w:val="xl64"/>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textAlignment w:val="center"/>
    </w:pPr>
    <w:rPr>
      <w:rFonts w:ascii="Arial" w:hAnsi="Arial" w:cs="Arial"/>
    </w:rPr>
  </w:style>
  <w:style w:type="paragraph" w:customStyle="1" w:styleId="xl65">
    <w:name w:val="xl65"/>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textAlignment w:val="center"/>
    </w:pPr>
    <w:rPr>
      <w:rFonts w:ascii="Arial" w:hAnsi="Arial" w:cs="Arial"/>
      <w:b/>
      <w:bCs/>
    </w:rPr>
  </w:style>
  <w:style w:type="paragraph" w:customStyle="1" w:styleId="xl66">
    <w:name w:val="xl66"/>
    <w:basedOn w:val="Normal"/>
    <w:rsid w:val="00C43BF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left"/>
      <w:textAlignment w:val="center"/>
    </w:pPr>
    <w:rPr>
      <w:rFonts w:ascii="Arial" w:hAnsi="Arial" w:cs="Arial"/>
      <w:b/>
      <w:bCs/>
    </w:rPr>
  </w:style>
  <w:style w:type="paragraph" w:customStyle="1" w:styleId="xl67">
    <w:name w:val="xl67"/>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pPr>
    <w:rPr>
      <w:rFonts w:ascii="Arial" w:hAnsi="Arial" w:cs="Arial"/>
      <w:b/>
      <w:bCs/>
    </w:rPr>
  </w:style>
  <w:style w:type="paragraph" w:customStyle="1" w:styleId="xl68">
    <w:name w:val="xl68"/>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left"/>
    </w:pPr>
    <w:rPr>
      <w:rFonts w:ascii="Arial" w:hAnsi="Arial" w:cs="Arial"/>
      <w:b/>
      <w:bCs/>
    </w:rPr>
  </w:style>
  <w:style w:type="paragraph" w:customStyle="1" w:styleId="xl69">
    <w:name w:val="xl69"/>
    <w:basedOn w:val="Normal"/>
    <w:rsid w:val="00C43BF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left"/>
    </w:pPr>
    <w:rPr>
      <w:rFonts w:ascii="Arial" w:hAnsi="Arial" w:cs="Arial"/>
      <w:b/>
      <w:bCs/>
    </w:rPr>
  </w:style>
  <w:style w:type="paragraph" w:customStyle="1" w:styleId="xl70">
    <w:name w:val="xl70"/>
    <w:basedOn w:val="Normal"/>
    <w:rsid w:val="00C43BF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Arial" w:hAnsi="Arial" w:cs="Arial"/>
    </w:rPr>
  </w:style>
  <w:style w:type="paragraph" w:customStyle="1" w:styleId="xl71">
    <w:name w:val="xl71"/>
    <w:basedOn w:val="Normal"/>
    <w:rsid w:val="00C43BF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left"/>
      <w:textAlignment w:val="center"/>
    </w:pPr>
    <w:rPr>
      <w:rFonts w:ascii="Arial" w:hAnsi="Arial" w:cs="Arial"/>
    </w:rPr>
  </w:style>
  <w:style w:type="paragraph" w:customStyle="1" w:styleId="xl72">
    <w:name w:val="xl72"/>
    <w:basedOn w:val="Normal"/>
    <w:rsid w:val="00C43BF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Arial" w:hAnsi="Arial" w:cs="Arial"/>
      <w:b/>
      <w:bCs/>
      <w:color w:val="993366"/>
    </w:rPr>
  </w:style>
  <w:style w:type="paragraph" w:customStyle="1" w:styleId="xl73">
    <w:name w:val="xl73"/>
    <w:basedOn w:val="Normal"/>
    <w:rsid w:val="00C43BF7"/>
    <w:pPr>
      <w:pBdr>
        <w:top w:val="single" w:sz="4" w:space="0" w:color="auto"/>
        <w:left w:val="single" w:sz="4" w:space="0" w:color="auto"/>
        <w:bottom w:val="single" w:sz="4" w:space="0" w:color="auto"/>
      </w:pBdr>
      <w:spacing w:before="100" w:beforeAutospacing="1" w:after="100" w:afterAutospacing="1" w:line="240" w:lineRule="auto"/>
      <w:jc w:val="left"/>
    </w:pPr>
    <w:rPr>
      <w:rFonts w:ascii="Arial" w:hAnsi="Arial" w:cs="Arial"/>
    </w:rPr>
  </w:style>
  <w:style w:type="paragraph" w:customStyle="1" w:styleId="xl74">
    <w:name w:val="xl74"/>
    <w:basedOn w:val="Normal"/>
    <w:rsid w:val="00C43BF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paragraph" w:customStyle="1" w:styleId="xl75">
    <w:name w:val="xl75"/>
    <w:basedOn w:val="Normal"/>
    <w:rsid w:val="00C43BF7"/>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paragraph" w:customStyle="1" w:styleId="xl76">
    <w:name w:val="xl76"/>
    <w:basedOn w:val="Normal"/>
    <w:rsid w:val="00C43BF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paragraph" w:customStyle="1" w:styleId="xl77">
    <w:name w:val="xl77"/>
    <w:basedOn w:val="Normal"/>
    <w:rsid w:val="00C43BF7"/>
    <w:pPr>
      <w:pBdr>
        <w:top w:val="single" w:sz="8" w:space="0" w:color="auto"/>
        <w:left w:val="single" w:sz="4" w:space="0" w:color="auto"/>
        <w:bottom w:val="single" w:sz="4"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paragraph" w:customStyle="1" w:styleId="xl78">
    <w:name w:val="xl78"/>
    <w:basedOn w:val="Normal"/>
    <w:rsid w:val="00C43BF7"/>
    <w:pPr>
      <w:pBdr>
        <w:top w:val="single" w:sz="8" w:space="0" w:color="auto"/>
        <w:bottom w:val="single" w:sz="4" w:space="0" w:color="auto"/>
      </w:pBdr>
      <w:shd w:val="clear" w:color="auto" w:fill="CCFFFF"/>
      <w:spacing w:before="100" w:beforeAutospacing="1" w:after="100" w:afterAutospacing="1" w:line="240" w:lineRule="auto"/>
      <w:jc w:val="center"/>
      <w:textAlignment w:val="center"/>
    </w:pPr>
    <w:rPr>
      <w:rFonts w:ascii="Arial" w:hAnsi="Arial" w:cs="Arial"/>
      <w:b/>
      <w:bCs/>
    </w:rPr>
  </w:style>
  <w:style w:type="table" w:styleId="TableGrid">
    <w:name w:val="Table Grid"/>
    <w:basedOn w:val="TableNormal"/>
    <w:rsid w:val="002F7A1E"/>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480407"/>
    <w:pPr>
      <w:spacing w:line="240" w:lineRule="auto"/>
      <w:ind w:left="720"/>
      <w:jc w:val="left"/>
    </w:pPr>
    <w:rPr>
      <w:rFonts w:ascii="Times New Roman" w:hAnsi="Times New Roman"/>
    </w:rPr>
  </w:style>
  <w:style w:type="character" w:styleId="PageNumber">
    <w:name w:val="page number"/>
    <w:basedOn w:val="DefaultParagraphFont"/>
    <w:rsid w:val="007D1997"/>
  </w:style>
</w:styles>
</file>

<file path=word/webSettings.xml><?xml version="1.0" encoding="utf-8"?>
<w:webSettings xmlns:r="http://schemas.openxmlformats.org/officeDocument/2006/relationships" xmlns:w="http://schemas.openxmlformats.org/wordprocessingml/2006/main">
  <w:divs>
    <w:div w:id="81266148">
      <w:bodyDiv w:val="1"/>
      <w:marLeft w:val="0"/>
      <w:marRight w:val="0"/>
      <w:marTop w:val="0"/>
      <w:marBottom w:val="0"/>
      <w:divBdr>
        <w:top w:val="none" w:sz="0" w:space="0" w:color="auto"/>
        <w:left w:val="none" w:sz="0" w:space="0" w:color="auto"/>
        <w:bottom w:val="none" w:sz="0" w:space="0" w:color="auto"/>
        <w:right w:val="none" w:sz="0" w:space="0" w:color="auto"/>
      </w:divBdr>
    </w:div>
    <w:div w:id="107628971">
      <w:bodyDiv w:val="1"/>
      <w:marLeft w:val="0"/>
      <w:marRight w:val="0"/>
      <w:marTop w:val="0"/>
      <w:marBottom w:val="0"/>
      <w:divBdr>
        <w:top w:val="none" w:sz="0" w:space="0" w:color="auto"/>
        <w:left w:val="none" w:sz="0" w:space="0" w:color="auto"/>
        <w:bottom w:val="none" w:sz="0" w:space="0" w:color="auto"/>
        <w:right w:val="none" w:sz="0" w:space="0" w:color="auto"/>
      </w:divBdr>
    </w:div>
    <w:div w:id="274867263">
      <w:bodyDiv w:val="1"/>
      <w:marLeft w:val="0"/>
      <w:marRight w:val="0"/>
      <w:marTop w:val="0"/>
      <w:marBottom w:val="0"/>
      <w:divBdr>
        <w:top w:val="none" w:sz="0" w:space="0" w:color="auto"/>
        <w:left w:val="none" w:sz="0" w:space="0" w:color="auto"/>
        <w:bottom w:val="none" w:sz="0" w:space="0" w:color="auto"/>
        <w:right w:val="none" w:sz="0" w:space="0" w:color="auto"/>
      </w:divBdr>
    </w:div>
    <w:div w:id="289553177">
      <w:bodyDiv w:val="1"/>
      <w:marLeft w:val="0"/>
      <w:marRight w:val="0"/>
      <w:marTop w:val="0"/>
      <w:marBottom w:val="0"/>
      <w:divBdr>
        <w:top w:val="none" w:sz="0" w:space="0" w:color="auto"/>
        <w:left w:val="none" w:sz="0" w:space="0" w:color="auto"/>
        <w:bottom w:val="none" w:sz="0" w:space="0" w:color="auto"/>
        <w:right w:val="none" w:sz="0" w:space="0" w:color="auto"/>
      </w:divBdr>
    </w:div>
    <w:div w:id="353266109">
      <w:bodyDiv w:val="1"/>
      <w:marLeft w:val="0"/>
      <w:marRight w:val="0"/>
      <w:marTop w:val="0"/>
      <w:marBottom w:val="0"/>
      <w:divBdr>
        <w:top w:val="none" w:sz="0" w:space="0" w:color="auto"/>
        <w:left w:val="none" w:sz="0" w:space="0" w:color="auto"/>
        <w:bottom w:val="none" w:sz="0" w:space="0" w:color="auto"/>
        <w:right w:val="none" w:sz="0" w:space="0" w:color="auto"/>
      </w:divBdr>
    </w:div>
    <w:div w:id="378020759">
      <w:bodyDiv w:val="1"/>
      <w:marLeft w:val="0"/>
      <w:marRight w:val="0"/>
      <w:marTop w:val="0"/>
      <w:marBottom w:val="0"/>
      <w:divBdr>
        <w:top w:val="none" w:sz="0" w:space="0" w:color="auto"/>
        <w:left w:val="none" w:sz="0" w:space="0" w:color="auto"/>
        <w:bottom w:val="none" w:sz="0" w:space="0" w:color="auto"/>
        <w:right w:val="none" w:sz="0" w:space="0" w:color="auto"/>
      </w:divBdr>
    </w:div>
    <w:div w:id="473565885">
      <w:bodyDiv w:val="1"/>
      <w:marLeft w:val="0"/>
      <w:marRight w:val="0"/>
      <w:marTop w:val="0"/>
      <w:marBottom w:val="0"/>
      <w:divBdr>
        <w:top w:val="none" w:sz="0" w:space="0" w:color="auto"/>
        <w:left w:val="none" w:sz="0" w:space="0" w:color="auto"/>
        <w:bottom w:val="none" w:sz="0" w:space="0" w:color="auto"/>
        <w:right w:val="none" w:sz="0" w:space="0" w:color="auto"/>
      </w:divBdr>
    </w:div>
    <w:div w:id="568468296">
      <w:bodyDiv w:val="1"/>
      <w:marLeft w:val="0"/>
      <w:marRight w:val="0"/>
      <w:marTop w:val="0"/>
      <w:marBottom w:val="0"/>
      <w:divBdr>
        <w:top w:val="none" w:sz="0" w:space="0" w:color="auto"/>
        <w:left w:val="none" w:sz="0" w:space="0" w:color="auto"/>
        <w:bottom w:val="none" w:sz="0" w:space="0" w:color="auto"/>
        <w:right w:val="none" w:sz="0" w:space="0" w:color="auto"/>
      </w:divBdr>
    </w:div>
    <w:div w:id="615598808">
      <w:bodyDiv w:val="1"/>
      <w:marLeft w:val="0"/>
      <w:marRight w:val="0"/>
      <w:marTop w:val="0"/>
      <w:marBottom w:val="0"/>
      <w:divBdr>
        <w:top w:val="none" w:sz="0" w:space="0" w:color="auto"/>
        <w:left w:val="none" w:sz="0" w:space="0" w:color="auto"/>
        <w:bottom w:val="none" w:sz="0" w:space="0" w:color="auto"/>
        <w:right w:val="none" w:sz="0" w:space="0" w:color="auto"/>
      </w:divBdr>
    </w:div>
    <w:div w:id="913583339">
      <w:bodyDiv w:val="1"/>
      <w:marLeft w:val="0"/>
      <w:marRight w:val="0"/>
      <w:marTop w:val="0"/>
      <w:marBottom w:val="0"/>
      <w:divBdr>
        <w:top w:val="none" w:sz="0" w:space="0" w:color="auto"/>
        <w:left w:val="none" w:sz="0" w:space="0" w:color="auto"/>
        <w:bottom w:val="none" w:sz="0" w:space="0" w:color="auto"/>
        <w:right w:val="none" w:sz="0" w:space="0" w:color="auto"/>
      </w:divBdr>
    </w:div>
    <w:div w:id="1134519683">
      <w:bodyDiv w:val="1"/>
      <w:marLeft w:val="0"/>
      <w:marRight w:val="0"/>
      <w:marTop w:val="0"/>
      <w:marBottom w:val="0"/>
      <w:divBdr>
        <w:top w:val="none" w:sz="0" w:space="0" w:color="auto"/>
        <w:left w:val="none" w:sz="0" w:space="0" w:color="auto"/>
        <w:bottom w:val="none" w:sz="0" w:space="0" w:color="auto"/>
        <w:right w:val="none" w:sz="0" w:space="0" w:color="auto"/>
      </w:divBdr>
    </w:div>
    <w:div w:id="1217425312">
      <w:bodyDiv w:val="1"/>
      <w:marLeft w:val="0"/>
      <w:marRight w:val="0"/>
      <w:marTop w:val="0"/>
      <w:marBottom w:val="0"/>
      <w:divBdr>
        <w:top w:val="none" w:sz="0" w:space="0" w:color="auto"/>
        <w:left w:val="none" w:sz="0" w:space="0" w:color="auto"/>
        <w:bottom w:val="none" w:sz="0" w:space="0" w:color="auto"/>
        <w:right w:val="none" w:sz="0" w:space="0" w:color="auto"/>
      </w:divBdr>
    </w:div>
    <w:div w:id="1329283071">
      <w:bodyDiv w:val="1"/>
      <w:marLeft w:val="0"/>
      <w:marRight w:val="0"/>
      <w:marTop w:val="0"/>
      <w:marBottom w:val="0"/>
      <w:divBdr>
        <w:top w:val="none" w:sz="0" w:space="0" w:color="auto"/>
        <w:left w:val="none" w:sz="0" w:space="0" w:color="auto"/>
        <w:bottom w:val="none" w:sz="0" w:space="0" w:color="auto"/>
        <w:right w:val="none" w:sz="0" w:space="0" w:color="auto"/>
      </w:divBdr>
    </w:div>
    <w:div w:id="1342855586">
      <w:bodyDiv w:val="1"/>
      <w:marLeft w:val="0"/>
      <w:marRight w:val="0"/>
      <w:marTop w:val="0"/>
      <w:marBottom w:val="0"/>
      <w:divBdr>
        <w:top w:val="none" w:sz="0" w:space="0" w:color="auto"/>
        <w:left w:val="none" w:sz="0" w:space="0" w:color="auto"/>
        <w:bottom w:val="none" w:sz="0" w:space="0" w:color="auto"/>
        <w:right w:val="none" w:sz="0" w:space="0" w:color="auto"/>
      </w:divBdr>
    </w:div>
    <w:div w:id="1370450231">
      <w:bodyDiv w:val="1"/>
      <w:marLeft w:val="0"/>
      <w:marRight w:val="0"/>
      <w:marTop w:val="0"/>
      <w:marBottom w:val="0"/>
      <w:divBdr>
        <w:top w:val="none" w:sz="0" w:space="0" w:color="auto"/>
        <w:left w:val="none" w:sz="0" w:space="0" w:color="auto"/>
        <w:bottom w:val="none" w:sz="0" w:space="0" w:color="auto"/>
        <w:right w:val="none" w:sz="0" w:space="0" w:color="auto"/>
      </w:divBdr>
    </w:div>
    <w:div w:id="1443109645">
      <w:bodyDiv w:val="1"/>
      <w:marLeft w:val="0"/>
      <w:marRight w:val="0"/>
      <w:marTop w:val="0"/>
      <w:marBottom w:val="0"/>
      <w:divBdr>
        <w:top w:val="none" w:sz="0" w:space="0" w:color="auto"/>
        <w:left w:val="none" w:sz="0" w:space="0" w:color="auto"/>
        <w:bottom w:val="none" w:sz="0" w:space="0" w:color="auto"/>
        <w:right w:val="none" w:sz="0" w:space="0" w:color="auto"/>
      </w:divBdr>
    </w:div>
    <w:div w:id="1578592099">
      <w:bodyDiv w:val="1"/>
      <w:marLeft w:val="0"/>
      <w:marRight w:val="0"/>
      <w:marTop w:val="0"/>
      <w:marBottom w:val="0"/>
      <w:divBdr>
        <w:top w:val="none" w:sz="0" w:space="0" w:color="auto"/>
        <w:left w:val="none" w:sz="0" w:space="0" w:color="auto"/>
        <w:bottom w:val="none" w:sz="0" w:space="0" w:color="auto"/>
        <w:right w:val="none" w:sz="0" w:space="0" w:color="auto"/>
      </w:divBdr>
    </w:div>
    <w:div w:id="1691444246">
      <w:bodyDiv w:val="1"/>
      <w:marLeft w:val="0"/>
      <w:marRight w:val="0"/>
      <w:marTop w:val="0"/>
      <w:marBottom w:val="0"/>
      <w:divBdr>
        <w:top w:val="none" w:sz="0" w:space="0" w:color="auto"/>
        <w:left w:val="none" w:sz="0" w:space="0" w:color="auto"/>
        <w:bottom w:val="none" w:sz="0" w:space="0" w:color="auto"/>
        <w:right w:val="none" w:sz="0" w:space="0" w:color="auto"/>
      </w:divBdr>
    </w:div>
    <w:div w:id="1730496918">
      <w:bodyDiv w:val="1"/>
      <w:marLeft w:val="0"/>
      <w:marRight w:val="0"/>
      <w:marTop w:val="0"/>
      <w:marBottom w:val="0"/>
      <w:divBdr>
        <w:top w:val="none" w:sz="0" w:space="0" w:color="auto"/>
        <w:left w:val="none" w:sz="0" w:space="0" w:color="auto"/>
        <w:bottom w:val="none" w:sz="0" w:space="0" w:color="auto"/>
        <w:right w:val="none" w:sz="0" w:space="0" w:color="auto"/>
      </w:divBdr>
    </w:div>
    <w:div w:id="186574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quity@15.5%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CCF34-78AB-4B7D-B140-E72567211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72</Pages>
  <Words>18881</Words>
  <Characters>107624</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Chapter 1 Submissions</vt:lpstr>
    </vt:vector>
  </TitlesOfParts>
  <Company>crisil   TGQXQ - 2TDJQ - GQ7MJ - 2DXPX - HY8CG</Company>
  <LinksUpToDate>false</LinksUpToDate>
  <CharactersWithSpaces>126253</CharactersWithSpaces>
  <SharedDoc>false</SharedDoc>
  <HLinks>
    <vt:vector size="402" baseType="variant">
      <vt:variant>
        <vt:i4>4587572</vt:i4>
      </vt:variant>
      <vt:variant>
        <vt:i4>648</vt:i4>
      </vt:variant>
      <vt:variant>
        <vt:i4>0</vt:i4>
      </vt:variant>
      <vt:variant>
        <vt:i4>5</vt:i4>
      </vt:variant>
      <vt:variant>
        <vt:lpwstr>mailto:equity@15.5%</vt:lpwstr>
      </vt:variant>
      <vt:variant>
        <vt:lpwstr/>
      </vt:variant>
      <vt:variant>
        <vt:i4>1376306</vt:i4>
      </vt:variant>
      <vt:variant>
        <vt:i4>395</vt:i4>
      </vt:variant>
      <vt:variant>
        <vt:i4>0</vt:i4>
      </vt:variant>
      <vt:variant>
        <vt:i4>5</vt:i4>
      </vt:variant>
      <vt:variant>
        <vt:lpwstr/>
      </vt:variant>
      <vt:variant>
        <vt:lpwstr>_Toc320264763</vt:lpwstr>
      </vt:variant>
      <vt:variant>
        <vt:i4>1376306</vt:i4>
      </vt:variant>
      <vt:variant>
        <vt:i4>389</vt:i4>
      </vt:variant>
      <vt:variant>
        <vt:i4>0</vt:i4>
      </vt:variant>
      <vt:variant>
        <vt:i4>5</vt:i4>
      </vt:variant>
      <vt:variant>
        <vt:lpwstr/>
      </vt:variant>
      <vt:variant>
        <vt:lpwstr>_Toc320264762</vt:lpwstr>
      </vt:variant>
      <vt:variant>
        <vt:i4>1376306</vt:i4>
      </vt:variant>
      <vt:variant>
        <vt:i4>383</vt:i4>
      </vt:variant>
      <vt:variant>
        <vt:i4>0</vt:i4>
      </vt:variant>
      <vt:variant>
        <vt:i4>5</vt:i4>
      </vt:variant>
      <vt:variant>
        <vt:lpwstr/>
      </vt:variant>
      <vt:variant>
        <vt:lpwstr>_Toc320264761</vt:lpwstr>
      </vt:variant>
      <vt:variant>
        <vt:i4>1376306</vt:i4>
      </vt:variant>
      <vt:variant>
        <vt:i4>377</vt:i4>
      </vt:variant>
      <vt:variant>
        <vt:i4>0</vt:i4>
      </vt:variant>
      <vt:variant>
        <vt:i4>5</vt:i4>
      </vt:variant>
      <vt:variant>
        <vt:lpwstr/>
      </vt:variant>
      <vt:variant>
        <vt:lpwstr>_Toc320264760</vt:lpwstr>
      </vt:variant>
      <vt:variant>
        <vt:i4>1441842</vt:i4>
      </vt:variant>
      <vt:variant>
        <vt:i4>371</vt:i4>
      </vt:variant>
      <vt:variant>
        <vt:i4>0</vt:i4>
      </vt:variant>
      <vt:variant>
        <vt:i4>5</vt:i4>
      </vt:variant>
      <vt:variant>
        <vt:lpwstr/>
      </vt:variant>
      <vt:variant>
        <vt:lpwstr>_Toc320264759</vt:lpwstr>
      </vt:variant>
      <vt:variant>
        <vt:i4>1441842</vt:i4>
      </vt:variant>
      <vt:variant>
        <vt:i4>365</vt:i4>
      </vt:variant>
      <vt:variant>
        <vt:i4>0</vt:i4>
      </vt:variant>
      <vt:variant>
        <vt:i4>5</vt:i4>
      </vt:variant>
      <vt:variant>
        <vt:lpwstr/>
      </vt:variant>
      <vt:variant>
        <vt:lpwstr>_Toc320264758</vt:lpwstr>
      </vt:variant>
      <vt:variant>
        <vt:i4>1441842</vt:i4>
      </vt:variant>
      <vt:variant>
        <vt:i4>359</vt:i4>
      </vt:variant>
      <vt:variant>
        <vt:i4>0</vt:i4>
      </vt:variant>
      <vt:variant>
        <vt:i4>5</vt:i4>
      </vt:variant>
      <vt:variant>
        <vt:lpwstr/>
      </vt:variant>
      <vt:variant>
        <vt:lpwstr>_Toc320264757</vt:lpwstr>
      </vt:variant>
      <vt:variant>
        <vt:i4>1441842</vt:i4>
      </vt:variant>
      <vt:variant>
        <vt:i4>353</vt:i4>
      </vt:variant>
      <vt:variant>
        <vt:i4>0</vt:i4>
      </vt:variant>
      <vt:variant>
        <vt:i4>5</vt:i4>
      </vt:variant>
      <vt:variant>
        <vt:lpwstr/>
      </vt:variant>
      <vt:variant>
        <vt:lpwstr>_Toc320264756</vt:lpwstr>
      </vt:variant>
      <vt:variant>
        <vt:i4>1441842</vt:i4>
      </vt:variant>
      <vt:variant>
        <vt:i4>347</vt:i4>
      </vt:variant>
      <vt:variant>
        <vt:i4>0</vt:i4>
      </vt:variant>
      <vt:variant>
        <vt:i4>5</vt:i4>
      </vt:variant>
      <vt:variant>
        <vt:lpwstr/>
      </vt:variant>
      <vt:variant>
        <vt:lpwstr>_Toc320264755</vt:lpwstr>
      </vt:variant>
      <vt:variant>
        <vt:i4>1441842</vt:i4>
      </vt:variant>
      <vt:variant>
        <vt:i4>341</vt:i4>
      </vt:variant>
      <vt:variant>
        <vt:i4>0</vt:i4>
      </vt:variant>
      <vt:variant>
        <vt:i4>5</vt:i4>
      </vt:variant>
      <vt:variant>
        <vt:lpwstr/>
      </vt:variant>
      <vt:variant>
        <vt:lpwstr>_Toc320264754</vt:lpwstr>
      </vt:variant>
      <vt:variant>
        <vt:i4>1441842</vt:i4>
      </vt:variant>
      <vt:variant>
        <vt:i4>335</vt:i4>
      </vt:variant>
      <vt:variant>
        <vt:i4>0</vt:i4>
      </vt:variant>
      <vt:variant>
        <vt:i4>5</vt:i4>
      </vt:variant>
      <vt:variant>
        <vt:lpwstr/>
      </vt:variant>
      <vt:variant>
        <vt:lpwstr>_Toc320264753</vt:lpwstr>
      </vt:variant>
      <vt:variant>
        <vt:i4>1441842</vt:i4>
      </vt:variant>
      <vt:variant>
        <vt:i4>329</vt:i4>
      </vt:variant>
      <vt:variant>
        <vt:i4>0</vt:i4>
      </vt:variant>
      <vt:variant>
        <vt:i4>5</vt:i4>
      </vt:variant>
      <vt:variant>
        <vt:lpwstr/>
      </vt:variant>
      <vt:variant>
        <vt:lpwstr>_Toc320264752</vt:lpwstr>
      </vt:variant>
      <vt:variant>
        <vt:i4>1441842</vt:i4>
      </vt:variant>
      <vt:variant>
        <vt:i4>323</vt:i4>
      </vt:variant>
      <vt:variant>
        <vt:i4>0</vt:i4>
      </vt:variant>
      <vt:variant>
        <vt:i4>5</vt:i4>
      </vt:variant>
      <vt:variant>
        <vt:lpwstr/>
      </vt:variant>
      <vt:variant>
        <vt:lpwstr>_Toc320264751</vt:lpwstr>
      </vt:variant>
      <vt:variant>
        <vt:i4>1441842</vt:i4>
      </vt:variant>
      <vt:variant>
        <vt:i4>317</vt:i4>
      </vt:variant>
      <vt:variant>
        <vt:i4>0</vt:i4>
      </vt:variant>
      <vt:variant>
        <vt:i4>5</vt:i4>
      </vt:variant>
      <vt:variant>
        <vt:lpwstr/>
      </vt:variant>
      <vt:variant>
        <vt:lpwstr>_Toc320264750</vt:lpwstr>
      </vt:variant>
      <vt:variant>
        <vt:i4>1507378</vt:i4>
      </vt:variant>
      <vt:variant>
        <vt:i4>311</vt:i4>
      </vt:variant>
      <vt:variant>
        <vt:i4>0</vt:i4>
      </vt:variant>
      <vt:variant>
        <vt:i4>5</vt:i4>
      </vt:variant>
      <vt:variant>
        <vt:lpwstr/>
      </vt:variant>
      <vt:variant>
        <vt:lpwstr>_Toc320264749</vt:lpwstr>
      </vt:variant>
      <vt:variant>
        <vt:i4>1507378</vt:i4>
      </vt:variant>
      <vt:variant>
        <vt:i4>305</vt:i4>
      </vt:variant>
      <vt:variant>
        <vt:i4>0</vt:i4>
      </vt:variant>
      <vt:variant>
        <vt:i4>5</vt:i4>
      </vt:variant>
      <vt:variant>
        <vt:lpwstr/>
      </vt:variant>
      <vt:variant>
        <vt:lpwstr>_Toc320264748</vt:lpwstr>
      </vt:variant>
      <vt:variant>
        <vt:i4>1507378</vt:i4>
      </vt:variant>
      <vt:variant>
        <vt:i4>299</vt:i4>
      </vt:variant>
      <vt:variant>
        <vt:i4>0</vt:i4>
      </vt:variant>
      <vt:variant>
        <vt:i4>5</vt:i4>
      </vt:variant>
      <vt:variant>
        <vt:lpwstr/>
      </vt:variant>
      <vt:variant>
        <vt:lpwstr>_Toc320264747</vt:lpwstr>
      </vt:variant>
      <vt:variant>
        <vt:i4>1507378</vt:i4>
      </vt:variant>
      <vt:variant>
        <vt:i4>293</vt:i4>
      </vt:variant>
      <vt:variant>
        <vt:i4>0</vt:i4>
      </vt:variant>
      <vt:variant>
        <vt:i4>5</vt:i4>
      </vt:variant>
      <vt:variant>
        <vt:lpwstr/>
      </vt:variant>
      <vt:variant>
        <vt:lpwstr>_Toc320264746</vt:lpwstr>
      </vt:variant>
      <vt:variant>
        <vt:i4>1507378</vt:i4>
      </vt:variant>
      <vt:variant>
        <vt:i4>287</vt:i4>
      </vt:variant>
      <vt:variant>
        <vt:i4>0</vt:i4>
      </vt:variant>
      <vt:variant>
        <vt:i4>5</vt:i4>
      </vt:variant>
      <vt:variant>
        <vt:lpwstr/>
      </vt:variant>
      <vt:variant>
        <vt:lpwstr>_Toc320264745</vt:lpwstr>
      </vt:variant>
      <vt:variant>
        <vt:i4>1507378</vt:i4>
      </vt:variant>
      <vt:variant>
        <vt:i4>281</vt:i4>
      </vt:variant>
      <vt:variant>
        <vt:i4>0</vt:i4>
      </vt:variant>
      <vt:variant>
        <vt:i4>5</vt:i4>
      </vt:variant>
      <vt:variant>
        <vt:lpwstr/>
      </vt:variant>
      <vt:variant>
        <vt:lpwstr>_Toc320264744</vt:lpwstr>
      </vt:variant>
      <vt:variant>
        <vt:i4>1507378</vt:i4>
      </vt:variant>
      <vt:variant>
        <vt:i4>275</vt:i4>
      </vt:variant>
      <vt:variant>
        <vt:i4>0</vt:i4>
      </vt:variant>
      <vt:variant>
        <vt:i4>5</vt:i4>
      </vt:variant>
      <vt:variant>
        <vt:lpwstr/>
      </vt:variant>
      <vt:variant>
        <vt:lpwstr>_Toc320264743</vt:lpwstr>
      </vt:variant>
      <vt:variant>
        <vt:i4>1507378</vt:i4>
      </vt:variant>
      <vt:variant>
        <vt:i4>269</vt:i4>
      </vt:variant>
      <vt:variant>
        <vt:i4>0</vt:i4>
      </vt:variant>
      <vt:variant>
        <vt:i4>5</vt:i4>
      </vt:variant>
      <vt:variant>
        <vt:lpwstr/>
      </vt:variant>
      <vt:variant>
        <vt:lpwstr>_Toc320264742</vt:lpwstr>
      </vt:variant>
      <vt:variant>
        <vt:i4>1507378</vt:i4>
      </vt:variant>
      <vt:variant>
        <vt:i4>263</vt:i4>
      </vt:variant>
      <vt:variant>
        <vt:i4>0</vt:i4>
      </vt:variant>
      <vt:variant>
        <vt:i4>5</vt:i4>
      </vt:variant>
      <vt:variant>
        <vt:lpwstr/>
      </vt:variant>
      <vt:variant>
        <vt:lpwstr>_Toc320264741</vt:lpwstr>
      </vt:variant>
      <vt:variant>
        <vt:i4>1507378</vt:i4>
      </vt:variant>
      <vt:variant>
        <vt:i4>257</vt:i4>
      </vt:variant>
      <vt:variant>
        <vt:i4>0</vt:i4>
      </vt:variant>
      <vt:variant>
        <vt:i4>5</vt:i4>
      </vt:variant>
      <vt:variant>
        <vt:lpwstr/>
      </vt:variant>
      <vt:variant>
        <vt:lpwstr>_Toc320264740</vt:lpwstr>
      </vt:variant>
      <vt:variant>
        <vt:i4>1048626</vt:i4>
      </vt:variant>
      <vt:variant>
        <vt:i4>251</vt:i4>
      </vt:variant>
      <vt:variant>
        <vt:i4>0</vt:i4>
      </vt:variant>
      <vt:variant>
        <vt:i4>5</vt:i4>
      </vt:variant>
      <vt:variant>
        <vt:lpwstr/>
      </vt:variant>
      <vt:variant>
        <vt:lpwstr>_Toc320264739</vt:lpwstr>
      </vt:variant>
      <vt:variant>
        <vt:i4>1048626</vt:i4>
      </vt:variant>
      <vt:variant>
        <vt:i4>245</vt:i4>
      </vt:variant>
      <vt:variant>
        <vt:i4>0</vt:i4>
      </vt:variant>
      <vt:variant>
        <vt:i4>5</vt:i4>
      </vt:variant>
      <vt:variant>
        <vt:lpwstr/>
      </vt:variant>
      <vt:variant>
        <vt:lpwstr>_Toc320264738</vt:lpwstr>
      </vt:variant>
      <vt:variant>
        <vt:i4>1048626</vt:i4>
      </vt:variant>
      <vt:variant>
        <vt:i4>239</vt:i4>
      </vt:variant>
      <vt:variant>
        <vt:i4>0</vt:i4>
      </vt:variant>
      <vt:variant>
        <vt:i4>5</vt:i4>
      </vt:variant>
      <vt:variant>
        <vt:lpwstr/>
      </vt:variant>
      <vt:variant>
        <vt:lpwstr>_Toc320264737</vt:lpwstr>
      </vt:variant>
      <vt:variant>
        <vt:i4>1048626</vt:i4>
      </vt:variant>
      <vt:variant>
        <vt:i4>233</vt:i4>
      </vt:variant>
      <vt:variant>
        <vt:i4>0</vt:i4>
      </vt:variant>
      <vt:variant>
        <vt:i4>5</vt:i4>
      </vt:variant>
      <vt:variant>
        <vt:lpwstr/>
      </vt:variant>
      <vt:variant>
        <vt:lpwstr>_Toc320264736</vt:lpwstr>
      </vt:variant>
      <vt:variant>
        <vt:i4>1048626</vt:i4>
      </vt:variant>
      <vt:variant>
        <vt:i4>227</vt:i4>
      </vt:variant>
      <vt:variant>
        <vt:i4>0</vt:i4>
      </vt:variant>
      <vt:variant>
        <vt:i4>5</vt:i4>
      </vt:variant>
      <vt:variant>
        <vt:lpwstr/>
      </vt:variant>
      <vt:variant>
        <vt:lpwstr>_Toc320264735</vt:lpwstr>
      </vt:variant>
      <vt:variant>
        <vt:i4>1048626</vt:i4>
      </vt:variant>
      <vt:variant>
        <vt:i4>221</vt:i4>
      </vt:variant>
      <vt:variant>
        <vt:i4>0</vt:i4>
      </vt:variant>
      <vt:variant>
        <vt:i4>5</vt:i4>
      </vt:variant>
      <vt:variant>
        <vt:lpwstr/>
      </vt:variant>
      <vt:variant>
        <vt:lpwstr>_Toc320264734</vt:lpwstr>
      </vt:variant>
      <vt:variant>
        <vt:i4>1048626</vt:i4>
      </vt:variant>
      <vt:variant>
        <vt:i4>215</vt:i4>
      </vt:variant>
      <vt:variant>
        <vt:i4>0</vt:i4>
      </vt:variant>
      <vt:variant>
        <vt:i4>5</vt:i4>
      </vt:variant>
      <vt:variant>
        <vt:lpwstr/>
      </vt:variant>
      <vt:variant>
        <vt:lpwstr>_Toc320264733</vt:lpwstr>
      </vt:variant>
      <vt:variant>
        <vt:i4>1048626</vt:i4>
      </vt:variant>
      <vt:variant>
        <vt:i4>209</vt:i4>
      </vt:variant>
      <vt:variant>
        <vt:i4>0</vt:i4>
      </vt:variant>
      <vt:variant>
        <vt:i4>5</vt:i4>
      </vt:variant>
      <vt:variant>
        <vt:lpwstr/>
      </vt:variant>
      <vt:variant>
        <vt:lpwstr>_Toc320264732</vt:lpwstr>
      </vt:variant>
      <vt:variant>
        <vt:i4>1048626</vt:i4>
      </vt:variant>
      <vt:variant>
        <vt:i4>203</vt:i4>
      </vt:variant>
      <vt:variant>
        <vt:i4>0</vt:i4>
      </vt:variant>
      <vt:variant>
        <vt:i4>5</vt:i4>
      </vt:variant>
      <vt:variant>
        <vt:lpwstr/>
      </vt:variant>
      <vt:variant>
        <vt:lpwstr>_Toc320264731</vt:lpwstr>
      </vt:variant>
      <vt:variant>
        <vt:i4>1048626</vt:i4>
      </vt:variant>
      <vt:variant>
        <vt:i4>197</vt:i4>
      </vt:variant>
      <vt:variant>
        <vt:i4>0</vt:i4>
      </vt:variant>
      <vt:variant>
        <vt:i4>5</vt:i4>
      </vt:variant>
      <vt:variant>
        <vt:lpwstr/>
      </vt:variant>
      <vt:variant>
        <vt:lpwstr>_Toc320264730</vt:lpwstr>
      </vt:variant>
      <vt:variant>
        <vt:i4>1114162</vt:i4>
      </vt:variant>
      <vt:variant>
        <vt:i4>191</vt:i4>
      </vt:variant>
      <vt:variant>
        <vt:i4>0</vt:i4>
      </vt:variant>
      <vt:variant>
        <vt:i4>5</vt:i4>
      </vt:variant>
      <vt:variant>
        <vt:lpwstr/>
      </vt:variant>
      <vt:variant>
        <vt:lpwstr>_Toc320264729</vt:lpwstr>
      </vt:variant>
      <vt:variant>
        <vt:i4>1114162</vt:i4>
      </vt:variant>
      <vt:variant>
        <vt:i4>185</vt:i4>
      </vt:variant>
      <vt:variant>
        <vt:i4>0</vt:i4>
      </vt:variant>
      <vt:variant>
        <vt:i4>5</vt:i4>
      </vt:variant>
      <vt:variant>
        <vt:lpwstr/>
      </vt:variant>
      <vt:variant>
        <vt:lpwstr>_Toc320264728</vt:lpwstr>
      </vt:variant>
      <vt:variant>
        <vt:i4>1114162</vt:i4>
      </vt:variant>
      <vt:variant>
        <vt:i4>179</vt:i4>
      </vt:variant>
      <vt:variant>
        <vt:i4>0</vt:i4>
      </vt:variant>
      <vt:variant>
        <vt:i4>5</vt:i4>
      </vt:variant>
      <vt:variant>
        <vt:lpwstr/>
      </vt:variant>
      <vt:variant>
        <vt:lpwstr>_Toc320264727</vt:lpwstr>
      </vt:variant>
      <vt:variant>
        <vt:i4>1114162</vt:i4>
      </vt:variant>
      <vt:variant>
        <vt:i4>173</vt:i4>
      </vt:variant>
      <vt:variant>
        <vt:i4>0</vt:i4>
      </vt:variant>
      <vt:variant>
        <vt:i4>5</vt:i4>
      </vt:variant>
      <vt:variant>
        <vt:lpwstr/>
      </vt:variant>
      <vt:variant>
        <vt:lpwstr>_Toc320264726</vt:lpwstr>
      </vt:variant>
      <vt:variant>
        <vt:i4>1114162</vt:i4>
      </vt:variant>
      <vt:variant>
        <vt:i4>167</vt:i4>
      </vt:variant>
      <vt:variant>
        <vt:i4>0</vt:i4>
      </vt:variant>
      <vt:variant>
        <vt:i4>5</vt:i4>
      </vt:variant>
      <vt:variant>
        <vt:lpwstr/>
      </vt:variant>
      <vt:variant>
        <vt:lpwstr>_Toc320264725</vt:lpwstr>
      </vt:variant>
      <vt:variant>
        <vt:i4>1114162</vt:i4>
      </vt:variant>
      <vt:variant>
        <vt:i4>161</vt:i4>
      </vt:variant>
      <vt:variant>
        <vt:i4>0</vt:i4>
      </vt:variant>
      <vt:variant>
        <vt:i4>5</vt:i4>
      </vt:variant>
      <vt:variant>
        <vt:lpwstr/>
      </vt:variant>
      <vt:variant>
        <vt:lpwstr>_Toc320264724</vt:lpwstr>
      </vt:variant>
      <vt:variant>
        <vt:i4>1114162</vt:i4>
      </vt:variant>
      <vt:variant>
        <vt:i4>155</vt:i4>
      </vt:variant>
      <vt:variant>
        <vt:i4>0</vt:i4>
      </vt:variant>
      <vt:variant>
        <vt:i4>5</vt:i4>
      </vt:variant>
      <vt:variant>
        <vt:lpwstr/>
      </vt:variant>
      <vt:variant>
        <vt:lpwstr>_Toc320264723</vt:lpwstr>
      </vt:variant>
      <vt:variant>
        <vt:i4>1114162</vt:i4>
      </vt:variant>
      <vt:variant>
        <vt:i4>149</vt:i4>
      </vt:variant>
      <vt:variant>
        <vt:i4>0</vt:i4>
      </vt:variant>
      <vt:variant>
        <vt:i4>5</vt:i4>
      </vt:variant>
      <vt:variant>
        <vt:lpwstr/>
      </vt:variant>
      <vt:variant>
        <vt:lpwstr>_Toc320264722</vt:lpwstr>
      </vt:variant>
      <vt:variant>
        <vt:i4>1114162</vt:i4>
      </vt:variant>
      <vt:variant>
        <vt:i4>143</vt:i4>
      </vt:variant>
      <vt:variant>
        <vt:i4>0</vt:i4>
      </vt:variant>
      <vt:variant>
        <vt:i4>5</vt:i4>
      </vt:variant>
      <vt:variant>
        <vt:lpwstr/>
      </vt:variant>
      <vt:variant>
        <vt:lpwstr>_Toc320264721</vt:lpwstr>
      </vt:variant>
      <vt:variant>
        <vt:i4>1114162</vt:i4>
      </vt:variant>
      <vt:variant>
        <vt:i4>137</vt:i4>
      </vt:variant>
      <vt:variant>
        <vt:i4>0</vt:i4>
      </vt:variant>
      <vt:variant>
        <vt:i4>5</vt:i4>
      </vt:variant>
      <vt:variant>
        <vt:lpwstr/>
      </vt:variant>
      <vt:variant>
        <vt:lpwstr>_Toc320264720</vt:lpwstr>
      </vt:variant>
      <vt:variant>
        <vt:i4>1179698</vt:i4>
      </vt:variant>
      <vt:variant>
        <vt:i4>131</vt:i4>
      </vt:variant>
      <vt:variant>
        <vt:i4>0</vt:i4>
      </vt:variant>
      <vt:variant>
        <vt:i4>5</vt:i4>
      </vt:variant>
      <vt:variant>
        <vt:lpwstr/>
      </vt:variant>
      <vt:variant>
        <vt:lpwstr>_Toc320264719</vt:lpwstr>
      </vt:variant>
      <vt:variant>
        <vt:i4>1179698</vt:i4>
      </vt:variant>
      <vt:variant>
        <vt:i4>125</vt:i4>
      </vt:variant>
      <vt:variant>
        <vt:i4>0</vt:i4>
      </vt:variant>
      <vt:variant>
        <vt:i4>5</vt:i4>
      </vt:variant>
      <vt:variant>
        <vt:lpwstr/>
      </vt:variant>
      <vt:variant>
        <vt:lpwstr>_Toc320264718</vt:lpwstr>
      </vt:variant>
      <vt:variant>
        <vt:i4>1966133</vt:i4>
      </vt:variant>
      <vt:variant>
        <vt:i4>116</vt:i4>
      </vt:variant>
      <vt:variant>
        <vt:i4>0</vt:i4>
      </vt:variant>
      <vt:variant>
        <vt:i4>5</vt:i4>
      </vt:variant>
      <vt:variant>
        <vt:lpwstr/>
      </vt:variant>
      <vt:variant>
        <vt:lpwstr>_Toc316981802</vt:lpwstr>
      </vt:variant>
      <vt:variant>
        <vt:i4>1966133</vt:i4>
      </vt:variant>
      <vt:variant>
        <vt:i4>110</vt:i4>
      </vt:variant>
      <vt:variant>
        <vt:i4>0</vt:i4>
      </vt:variant>
      <vt:variant>
        <vt:i4>5</vt:i4>
      </vt:variant>
      <vt:variant>
        <vt:lpwstr/>
      </vt:variant>
      <vt:variant>
        <vt:lpwstr>_Toc316981801</vt:lpwstr>
      </vt:variant>
      <vt:variant>
        <vt:i4>1966133</vt:i4>
      </vt:variant>
      <vt:variant>
        <vt:i4>104</vt:i4>
      </vt:variant>
      <vt:variant>
        <vt:i4>0</vt:i4>
      </vt:variant>
      <vt:variant>
        <vt:i4>5</vt:i4>
      </vt:variant>
      <vt:variant>
        <vt:lpwstr/>
      </vt:variant>
      <vt:variant>
        <vt:lpwstr>_Toc316981800</vt:lpwstr>
      </vt:variant>
      <vt:variant>
        <vt:i4>1507386</vt:i4>
      </vt:variant>
      <vt:variant>
        <vt:i4>98</vt:i4>
      </vt:variant>
      <vt:variant>
        <vt:i4>0</vt:i4>
      </vt:variant>
      <vt:variant>
        <vt:i4>5</vt:i4>
      </vt:variant>
      <vt:variant>
        <vt:lpwstr/>
      </vt:variant>
      <vt:variant>
        <vt:lpwstr>_Toc316981799</vt:lpwstr>
      </vt:variant>
      <vt:variant>
        <vt:i4>1507386</vt:i4>
      </vt:variant>
      <vt:variant>
        <vt:i4>92</vt:i4>
      </vt:variant>
      <vt:variant>
        <vt:i4>0</vt:i4>
      </vt:variant>
      <vt:variant>
        <vt:i4>5</vt:i4>
      </vt:variant>
      <vt:variant>
        <vt:lpwstr/>
      </vt:variant>
      <vt:variant>
        <vt:lpwstr>_Toc316981798</vt:lpwstr>
      </vt:variant>
      <vt:variant>
        <vt:i4>1507386</vt:i4>
      </vt:variant>
      <vt:variant>
        <vt:i4>86</vt:i4>
      </vt:variant>
      <vt:variant>
        <vt:i4>0</vt:i4>
      </vt:variant>
      <vt:variant>
        <vt:i4>5</vt:i4>
      </vt:variant>
      <vt:variant>
        <vt:lpwstr/>
      </vt:variant>
      <vt:variant>
        <vt:lpwstr>_Toc316981797</vt:lpwstr>
      </vt:variant>
      <vt:variant>
        <vt:i4>1507386</vt:i4>
      </vt:variant>
      <vt:variant>
        <vt:i4>80</vt:i4>
      </vt:variant>
      <vt:variant>
        <vt:i4>0</vt:i4>
      </vt:variant>
      <vt:variant>
        <vt:i4>5</vt:i4>
      </vt:variant>
      <vt:variant>
        <vt:lpwstr/>
      </vt:variant>
      <vt:variant>
        <vt:lpwstr>_Toc316981796</vt:lpwstr>
      </vt:variant>
      <vt:variant>
        <vt:i4>1507386</vt:i4>
      </vt:variant>
      <vt:variant>
        <vt:i4>74</vt:i4>
      </vt:variant>
      <vt:variant>
        <vt:i4>0</vt:i4>
      </vt:variant>
      <vt:variant>
        <vt:i4>5</vt:i4>
      </vt:variant>
      <vt:variant>
        <vt:lpwstr/>
      </vt:variant>
      <vt:variant>
        <vt:lpwstr>_Toc316981795</vt:lpwstr>
      </vt:variant>
      <vt:variant>
        <vt:i4>1507386</vt:i4>
      </vt:variant>
      <vt:variant>
        <vt:i4>68</vt:i4>
      </vt:variant>
      <vt:variant>
        <vt:i4>0</vt:i4>
      </vt:variant>
      <vt:variant>
        <vt:i4>5</vt:i4>
      </vt:variant>
      <vt:variant>
        <vt:lpwstr/>
      </vt:variant>
      <vt:variant>
        <vt:lpwstr>_Toc316981794</vt:lpwstr>
      </vt:variant>
      <vt:variant>
        <vt:i4>1507386</vt:i4>
      </vt:variant>
      <vt:variant>
        <vt:i4>62</vt:i4>
      </vt:variant>
      <vt:variant>
        <vt:i4>0</vt:i4>
      </vt:variant>
      <vt:variant>
        <vt:i4>5</vt:i4>
      </vt:variant>
      <vt:variant>
        <vt:lpwstr/>
      </vt:variant>
      <vt:variant>
        <vt:lpwstr>_Toc316981793</vt:lpwstr>
      </vt:variant>
      <vt:variant>
        <vt:i4>1507386</vt:i4>
      </vt:variant>
      <vt:variant>
        <vt:i4>56</vt:i4>
      </vt:variant>
      <vt:variant>
        <vt:i4>0</vt:i4>
      </vt:variant>
      <vt:variant>
        <vt:i4>5</vt:i4>
      </vt:variant>
      <vt:variant>
        <vt:lpwstr/>
      </vt:variant>
      <vt:variant>
        <vt:lpwstr>_Toc316981792</vt:lpwstr>
      </vt:variant>
      <vt:variant>
        <vt:i4>1507386</vt:i4>
      </vt:variant>
      <vt:variant>
        <vt:i4>50</vt:i4>
      </vt:variant>
      <vt:variant>
        <vt:i4>0</vt:i4>
      </vt:variant>
      <vt:variant>
        <vt:i4>5</vt:i4>
      </vt:variant>
      <vt:variant>
        <vt:lpwstr/>
      </vt:variant>
      <vt:variant>
        <vt:lpwstr>_Toc316981791</vt:lpwstr>
      </vt:variant>
      <vt:variant>
        <vt:i4>1507386</vt:i4>
      </vt:variant>
      <vt:variant>
        <vt:i4>44</vt:i4>
      </vt:variant>
      <vt:variant>
        <vt:i4>0</vt:i4>
      </vt:variant>
      <vt:variant>
        <vt:i4>5</vt:i4>
      </vt:variant>
      <vt:variant>
        <vt:lpwstr/>
      </vt:variant>
      <vt:variant>
        <vt:lpwstr>_Toc316981790</vt:lpwstr>
      </vt:variant>
      <vt:variant>
        <vt:i4>1441850</vt:i4>
      </vt:variant>
      <vt:variant>
        <vt:i4>38</vt:i4>
      </vt:variant>
      <vt:variant>
        <vt:i4>0</vt:i4>
      </vt:variant>
      <vt:variant>
        <vt:i4>5</vt:i4>
      </vt:variant>
      <vt:variant>
        <vt:lpwstr/>
      </vt:variant>
      <vt:variant>
        <vt:lpwstr>_Toc316981789</vt:lpwstr>
      </vt:variant>
      <vt:variant>
        <vt:i4>1441850</vt:i4>
      </vt:variant>
      <vt:variant>
        <vt:i4>32</vt:i4>
      </vt:variant>
      <vt:variant>
        <vt:i4>0</vt:i4>
      </vt:variant>
      <vt:variant>
        <vt:i4>5</vt:i4>
      </vt:variant>
      <vt:variant>
        <vt:lpwstr/>
      </vt:variant>
      <vt:variant>
        <vt:lpwstr>_Toc316981788</vt:lpwstr>
      </vt:variant>
      <vt:variant>
        <vt:i4>1441850</vt:i4>
      </vt:variant>
      <vt:variant>
        <vt:i4>26</vt:i4>
      </vt:variant>
      <vt:variant>
        <vt:i4>0</vt:i4>
      </vt:variant>
      <vt:variant>
        <vt:i4>5</vt:i4>
      </vt:variant>
      <vt:variant>
        <vt:lpwstr/>
      </vt:variant>
      <vt:variant>
        <vt:lpwstr>_Toc316981787</vt:lpwstr>
      </vt:variant>
      <vt:variant>
        <vt:i4>1441850</vt:i4>
      </vt:variant>
      <vt:variant>
        <vt:i4>20</vt:i4>
      </vt:variant>
      <vt:variant>
        <vt:i4>0</vt:i4>
      </vt:variant>
      <vt:variant>
        <vt:i4>5</vt:i4>
      </vt:variant>
      <vt:variant>
        <vt:lpwstr/>
      </vt:variant>
      <vt:variant>
        <vt:lpwstr>_Toc316981786</vt:lpwstr>
      </vt:variant>
      <vt:variant>
        <vt:i4>1441850</vt:i4>
      </vt:variant>
      <vt:variant>
        <vt:i4>14</vt:i4>
      </vt:variant>
      <vt:variant>
        <vt:i4>0</vt:i4>
      </vt:variant>
      <vt:variant>
        <vt:i4>5</vt:i4>
      </vt:variant>
      <vt:variant>
        <vt:lpwstr/>
      </vt:variant>
      <vt:variant>
        <vt:lpwstr>_Toc316981785</vt:lpwstr>
      </vt:variant>
      <vt:variant>
        <vt:i4>1441850</vt:i4>
      </vt:variant>
      <vt:variant>
        <vt:i4>8</vt:i4>
      </vt:variant>
      <vt:variant>
        <vt:i4>0</vt:i4>
      </vt:variant>
      <vt:variant>
        <vt:i4>5</vt:i4>
      </vt:variant>
      <vt:variant>
        <vt:lpwstr/>
      </vt:variant>
      <vt:variant>
        <vt:lpwstr>_Toc316981784</vt:lpwstr>
      </vt:variant>
      <vt:variant>
        <vt:i4>1441850</vt:i4>
      </vt:variant>
      <vt:variant>
        <vt:i4>2</vt:i4>
      </vt:variant>
      <vt:variant>
        <vt:i4>0</vt:i4>
      </vt:variant>
      <vt:variant>
        <vt:i4>5</vt:i4>
      </vt:variant>
      <vt:variant>
        <vt:lpwstr/>
      </vt:variant>
      <vt:variant>
        <vt:lpwstr>_Toc316981783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Submissions</dc:title>
  <dc:creator>Sep</dc:creator>
  <cp:lastModifiedBy>user</cp:lastModifiedBy>
  <cp:revision>2</cp:revision>
  <cp:lastPrinted>2015-02-13T10:51:00Z</cp:lastPrinted>
  <dcterms:created xsi:type="dcterms:W3CDTF">2015-02-16T04:49:00Z</dcterms:created>
  <dcterms:modified xsi:type="dcterms:W3CDTF">2015-02-16T04:49:00Z</dcterms:modified>
</cp:coreProperties>
</file>